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07DD" w14:textId="77777777" w:rsidR="00115898" w:rsidRPr="005C22E5" w:rsidRDefault="00115898" w:rsidP="005C22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lang w:val="pl-PL"/>
        </w:rPr>
      </w:pPr>
      <w:r w:rsidRPr="005C22E5">
        <w:rPr>
          <w:rFonts w:ascii="Times New Roman" w:eastAsia="Times New Roman" w:hAnsi="Times New Roman" w:cs="Times New Roman"/>
          <w:b/>
          <w:bCs/>
          <w:noProof/>
          <w:lang w:val="pl"/>
        </w:rPr>
        <w:t>Ulotka dołączona do opakowania: informacja dla użytkownika</w:t>
      </w:r>
    </w:p>
    <w:p w14:paraId="735A07DE" w14:textId="13107260" w:rsidR="00E70994" w:rsidRPr="005C22E5" w:rsidRDefault="00B42C09" w:rsidP="005C2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920924">
        <w:rPr>
          <w:rFonts w:ascii="Times New Roman" w:hAnsi="Times New Roman" w:cs="Times New Roman"/>
          <w:b/>
          <w:bCs/>
          <w:noProof/>
          <w:lang w:val="pl-PL"/>
        </w:rPr>
        <w:t>Pyreoxing</w:t>
      </w:r>
      <w:r w:rsidR="00196573" w:rsidRPr="005C22E5">
        <w:rPr>
          <w:rFonts w:ascii="Times New Roman" w:hAnsi="Times New Roman" w:cs="Times New Roman"/>
          <w:b/>
          <w:bCs/>
          <w:lang w:val="pl"/>
        </w:rPr>
        <w:t xml:space="preserve">, </w:t>
      </w:r>
      <w:r w:rsidR="00481C8C" w:rsidRPr="005C22E5">
        <w:rPr>
          <w:rFonts w:ascii="Times New Roman" w:hAnsi="Times New Roman" w:cs="Times New Roman"/>
          <w:b/>
          <w:bCs/>
          <w:lang w:val="pl"/>
        </w:rPr>
        <w:t>500 mg/m</w:t>
      </w:r>
      <w:r w:rsidR="0075601F">
        <w:rPr>
          <w:rFonts w:ascii="Times New Roman" w:hAnsi="Times New Roman" w:cs="Times New Roman"/>
          <w:b/>
          <w:bCs/>
          <w:lang w:val="pl"/>
        </w:rPr>
        <w:t>l</w:t>
      </w:r>
      <w:r w:rsidR="00481C8C" w:rsidRPr="005C22E5">
        <w:rPr>
          <w:rFonts w:ascii="Times New Roman" w:hAnsi="Times New Roman" w:cs="Times New Roman"/>
          <w:b/>
          <w:bCs/>
          <w:lang w:val="pl"/>
        </w:rPr>
        <w:t>,</w:t>
      </w:r>
      <w:r w:rsidR="00481C8C" w:rsidRPr="005C22E5">
        <w:rPr>
          <w:rFonts w:ascii="Times New Roman" w:hAnsi="Times New Roman" w:cs="Times New Roman"/>
          <w:lang w:val="pl"/>
        </w:rPr>
        <w:t xml:space="preserve"> </w:t>
      </w:r>
      <w:r w:rsidR="00481C8C" w:rsidRPr="005C22E5">
        <w:rPr>
          <w:rFonts w:ascii="Times New Roman" w:hAnsi="Times New Roman" w:cs="Times New Roman"/>
          <w:b/>
          <w:bCs/>
          <w:lang w:val="pl"/>
        </w:rPr>
        <w:t xml:space="preserve">roztwór do </w:t>
      </w:r>
      <w:proofErr w:type="spellStart"/>
      <w:r w:rsidR="00481C8C" w:rsidRPr="005C22E5">
        <w:rPr>
          <w:rFonts w:ascii="Times New Roman" w:hAnsi="Times New Roman" w:cs="Times New Roman"/>
          <w:b/>
          <w:bCs/>
          <w:lang w:val="pl"/>
        </w:rPr>
        <w:t>wstrzykiwań</w:t>
      </w:r>
      <w:proofErr w:type="spellEnd"/>
    </w:p>
    <w:p w14:paraId="0E2A190F" w14:textId="77777777" w:rsidR="00196573" w:rsidRPr="005C22E5" w:rsidRDefault="00196573" w:rsidP="005C2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lang w:val="pl"/>
        </w:rPr>
      </w:pPr>
    </w:p>
    <w:p w14:paraId="172F36BD" w14:textId="77777777" w:rsidR="00196573" w:rsidRPr="00196573" w:rsidRDefault="00196573" w:rsidP="005C22E5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/>
          <w:iCs/>
          <w:noProof/>
          <w:lang w:val="pl-PL" w:eastAsia="pl-PL"/>
        </w:rPr>
      </w:pPr>
      <w:r w:rsidRPr="00196573">
        <w:rPr>
          <w:rFonts w:ascii="Times New Roman" w:eastAsia="Times New Roman" w:hAnsi="Times New Roman" w:cs="Times New Roman"/>
          <w:i/>
          <w:iCs/>
          <w:noProof/>
          <w:lang w:val="pl-PL" w:eastAsia="pl-PL"/>
        </w:rPr>
        <w:t>Metamizolum natricum</w:t>
      </w:r>
    </w:p>
    <w:p w14:paraId="735A07E1" w14:textId="77777777" w:rsidR="00115898" w:rsidRPr="005C22E5" w:rsidRDefault="00115898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35A07E2" w14:textId="77777777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C22E5">
        <w:rPr>
          <w:rFonts w:ascii="Times New Roman" w:hAnsi="Times New Roman" w:cs="Times New Roman"/>
          <w:b/>
          <w:bCs/>
          <w:lang w:val="pl"/>
        </w:rPr>
        <w:t>Należy uważnie zapoznać się z treścią ulotki przed zastosowaniem leku,</w:t>
      </w:r>
      <w:r w:rsidRPr="005C22E5">
        <w:rPr>
          <w:rFonts w:ascii="Times New Roman" w:hAnsi="Times New Roman" w:cs="Times New Roman"/>
          <w:b/>
          <w:bCs/>
          <w:noProof/>
          <w:lang w:val="pl"/>
        </w:rPr>
        <w:t xml:space="preserve"> </w:t>
      </w:r>
      <w:r w:rsidRPr="005C22E5">
        <w:rPr>
          <w:rFonts w:ascii="Times New Roman" w:hAnsi="Times New Roman" w:cs="Times New Roman"/>
          <w:b/>
          <w:bCs/>
          <w:lang w:val="pl"/>
        </w:rPr>
        <w:t>ponieważ zawiera ona informacje ważne dla pacjenta.</w:t>
      </w:r>
    </w:p>
    <w:p w14:paraId="735A07E3" w14:textId="77777777" w:rsidR="00E70994" w:rsidRPr="005C22E5" w:rsidRDefault="00E70994" w:rsidP="005C22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Należy zachować tę ulotkę, aby w razie potrzeby móc ją ponownie przeczytać.</w:t>
      </w:r>
    </w:p>
    <w:p w14:paraId="735A07E4" w14:textId="77777777" w:rsidR="00E70994" w:rsidRPr="005C22E5" w:rsidRDefault="00E70994" w:rsidP="005C22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W razie jakichkolwiek wątpliwości należy zwrócić się do lekarza lub farmaceuty.</w:t>
      </w:r>
    </w:p>
    <w:p w14:paraId="735A07E5" w14:textId="77777777" w:rsidR="00E70994" w:rsidRPr="005C22E5" w:rsidRDefault="00E70994" w:rsidP="005C22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Lek ten przepisano ściśle określonej osobie. Nie należy go przekazywać innym. Lek może zaszkodzić innej osobie, nawet jeśli objawy jej choroby są takie same.</w:t>
      </w:r>
    </w:p>
    <w:p w14:paraId="735A07E6" w14:textId="77777777" w:rsidR="00E70994" w:rsidRPr="005C22E5" w:rsidRDefault="00115898" w:rsidP="005C22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</w:rPr>
      </w:pPr>
      <w:r w:rsidRPr="005C22E5">
        <w:rPr>
          <w:rFonts w:ascii="Times New Roman" w:eastAsia="TimesNewRoman" w:hAnsi="Times New Roman" w:cs="Times New Roman"/>
          <w:lang w:val="pl"/>
        </w:rPr>
        <w:t>Jeśli u pacjenta wystąpią jakiekolwiek objawy niepożądane, w tym wszelkie objawy niepożądane niewymienione w tej ulotce, należy powiedzieć o tym lekarzowi lub farmaceucie. Patrz punkt 4.</w:t>
      </w:r>
    </w:p>
    <w:p w14:paraId="735A07E7" w14:textId="2E93E5A1" w:rsidR="00115898" w:rsidRDefault="00115898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7ADD1AC4" w14:textId="77777777" w:rsidR="005C22E5" w:rsidRPr="005C22E5" w:rsidRDefault="005C22E5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735A07E8" w14:textId="50FBC725" w:rsidR="00E70994" w:rsidRPr="005C22E5" w:rsidRDefault="00115898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5C22E5">
        <w:rPr>
          <w:rFonts w:ascii="Times New Roman" w:hAnsi="Times New Roman" w:cs="Times New Roman"/>
          <w:b/>
          <w:bCs/>
          <w:lang w:val="pl"/>
        </w:rPr>
        <w:t>Spis treści ulotki</w:t>
      </w:r>
    </w:p>
    <w:p w14:paraId="735A07E9" w14:textId="790077F5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 xml:space="preserve">1. Co to jest lek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  <w:r w:rsidRPr="005C22E5">
        <w:rPr>
          <w:rFonts w:ascii="Times New Roman" w:eastAsia="TimesNewRoman" w:hAnsi="Times New Roman" w:cs="Times New Roman"/>
          <w:lang w:val="pl"/>
        </w:rPr>
        <w:t xml:space="preserve"> i w jakim celu się go stosuje</w:t>
      </w:r>
    </w:p>
    <w:p w14:paraId="735A07EA" w14:textId="2206DCDB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 xml:space="preserve">2. Informacje ważne przed zastosowaniem leku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</w:p>
    <w:p w14:paraId="735A07EB" w14:textId="7C5371EE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 xml:space="preserve">3. Jak stosować lek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</w:p>
    <w:p w14:paraId="735A07EC" w14:textId="77777777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4. Możliwe działania niepożądane</w:t>
      </w:r>
    </w:p>
    <w:p w14:paraId="735A07ED" w14:textId="2846B664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 xml:space="preserve">5. Jak przechowywać lek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</w:p>
    <w:p w14:paraId="735A07EE" w14:textId="77777777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6. Zawartość opakowania i inne informacje</w:t>
      </w:r>
    </w:p>
    <w:p w14:paraId="735A07EF" w14:textId="77777777" w:rsidR="00115898" w:rsidRPr="005C22E5" w:rsidRDefault="00115898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35A07F0" w14:textId="77777777" w:rsidR="00115898" w:rsidRPr="005C22E5" w:rsidRDefault="00115898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35A07F1" w14:textId="3BCFE8C7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C22E5">
        <w:rPr>
          <w:rFonts w:ascii="Times New Roman" w:hAnsi="Times New Roman" w:cs="Times New Roman"/>
          <w:b/>
          <w:bCs/>
          <w:lang w:val="pl"/>
        </w:rPr>
        <w:t xml:space="preserve">1. Co to jest lek </w:t>
      </w:r>
      <w:r w:rsidR="00B42C09" w:rsidRPr="00920924">
        <w:rPr>
          <w:rFonts w:ascii="Times New Roman" w:hAnsi="Times New Roman" w:cs="Times New Roman"/>
          <w:b/>
          <w:bCs/>
          <w:noProof/>
          <w:lang w:val="pl-PL"/>
        </w:rPr>
        <w:t>Pyreoxing</w:t>
      </w:r>
      <w:r w:rsidR="00B42C09" w:rsidRPr="00D52DDB" w:rsidDel="00B42C09">
        <w:rPr>
          <w:rFonts w:ascii="Times New Roman" w:hAnsi="Times New Roman" w:cs="Times New Roman"/>
          <w:b/>
          <w:bCs/>
          <w:lang w:val="pl"/>
        </w:rPr>
        <w:t xml:space="preserve"> </w:t>
      </w:r>
      <w:r w:rsidRPr="005C22E5">
        <w:rPr>
          <w:rFonts w:ascii="Times New Roman" w:hAnsi="Times New Roman" w:cs="Times New Roman"/>
          <w:b/>
          <w:bCs/>
          <w:lang w:val="pl"/>
        </w:rPr>
        <w:t>i w jakim celu się go stosuje</w:t>
      </w:r>
    </w:p>
    <w:p w14:paraId="12D5D3CB" w14:textId="3221FAF4" w:rsidR="005C22E5" w:rsidRDefault="00481C8C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"/>
        </w:rPr>
      </w:pPr>
      <w:r w:rsidRPr="005C22E5">
        <w:rPr>
          <w:rFonts w:ascii="Times New Roman" w:eastAsia="TimesNewRoman" w:hAnsi="Times New Roman" w:cs="Times New Roman"/>
          <w:lang w:val="pl"/>
        </w:rPr>
        <w:t xml:space="preserve">Lek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  <w:r w:rsidR="00196573" w:rsidRPr="005C22E5">
        <w:rPr>
          <w:rFonts w:ascii="Times New Roman" w:eastAsia="TimesNewRoman" w:hAnsi="Times New Roman" w:cs="Times New Roman"/>
          <w:lang w:val="pl"/>
        </w:rPr>
        <w:t xml:space="preserve"> </w:t>
      </w:r>
      <w:r w:rsidR="005C22E5">
        <w:rPr>
          <w:rFonts w:ascii="Times New Roman" w:eastAsia="TimesNewRoman" w:hAnsi="Times New Roman" w:cs="Times New Roman"/>
          <w:lang w:val="pl"/>
        </w:rPr>
        <w:t xml:space="preserve">jest </w:t>
      </w:r>
      <w:r w:rsidR="005C22E5" w:rsidRPr="005C22E5">
        <w:rPr>
          <w:rFonts w:ascii="Times New Roman" w:eastAsia="TimesNewRoman" w:hAnsi="Times New Roman" w:cs="Times New Roman"/>
          <w:lang w:val="pl"/>
        </w:rPr>
        <w:t>niepowodującym uzależnienia lekiem o działaniu przeciwbólowym (</w:t>
      </w:r>
      <w:r w:rsidR="008E727F">
        <w:rPr>
          <w:rFonts w:ascii="Times New Roman" w:eastAsia="TimesNewRoman" w:hAnsi="Times New Roman" w:cs="Times New Roman"/>
          <w:lang w:val="pl"/>
        </w:rPr>
        <w:t>łagodzącym</w:t>
      </w:r>
      <w:r w:rsidR="008E727F" w:rsidRPr="005C22E5">
        <w:rPr>
          <w:rFonts w:ascii="Times New Roman" w:eastAsia="TimesNewRoman" w:hAnsi="Times New Roman" w:cs="Times New Roman"/>
          <w:lang w:val="pl"/>
        </w:rPr>
        <w:t xml:space="preserve"> </w:t>
      </w:r>
      <w:r w:rsidR="005C22E5" w:rsidRPr="005C22E5">
        <w:rPr>
          <w:rFonts w:ascii="Times New Roman" w:eastAsia="TimesNewRoman" w:hAnsi="Times New Roman" w:cs="Times New Roman"/>
          <w:lang w:val="pl"/>
        </w:rPr>
        <w:t>ból), przeciwgorączkowym (obniża</w:t>
      </w:r>
      <w:r w:rsidR="005C22E5">
        <w:rPr>
          <w:rFonts w:ascii="Times New Roman" w:eastAsia="TimesNewRoman" w:hAnsi="Times New Roman" w:cs="Times New Roman"/>
          <w:lang w:val="pl"/>
        </w:rPr>
        <w:t>jącym</w:t>
      </w:r>
      <w:r w:rsidR="005C22E5" w:rsidRPr="005C22E5">
        <w:rPr>
          <w:rFonts w:ascii="Times New Roman" w:eastAsia="TimesNewRoman" w:hAnsi="Times New Roman" w:cs="Times New Roman"/>
          <w:lang w:val="pl"/>
        </w:rPr>
        <w:t xml:space="preserve"> gorączkę), oraz rozkurczowym (zmniejsza</w:t>
      </w:r>
      <w:r w:rsidR="005C22E5">
        <w:rPr>
          <w:rFonts w:ascii="Times New Roman" w:eastAsia="TimesNewRoman" w:hAnsi="Times New Roman" w:cs="Times New Roman"/>
          <w:lang w:val="pl"/>
        </w:rPr>
        <w:t>jącym</w:t>
      </w:r>
      <w:r w:rsidR="005C22E5" w:rsidRPr="005C22E5">
        <w:rPr>
          <w:rFonts w:ascii="Times New Roman" w:eastAsia="TimesNewRoman" w:hAnsi="Times New Roman" w:cs="Times New Roman"/>
          <w:lang w:val="pl"/>
        </w:rPr>
        <w:t xml:space="preserve"> skurcze mięśni gładkich). </w:t>
      </w:r>
    </w:p>
    <w:p w14:paraId="57A99544" w14:textId="24B4FB76" w:rsid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"/>
        </w:rPr>
      </w:pPr>
      <w:r w:rsidRPr="005C22E5">
        <w:rPr>
          <w:rFonts w:ascii="Times New Roman" w:eastAsia="TimesNewRoman" w:hAnsi="Times New Roman" w:cs="Times New Roman"/>
          <w:lang w:val="pl"/>
        </w:rPr>
        <w:t>Stosuje się go w </w:t>
      </w:r>
      <w:r w:rsidR="00D5021A">
        <w:rPr>
          <w:rFonts w:ascii="Times New Roman" w:eastAsia="TimesNewRoman" w:hAnsi="Times New Roman" w:cs="Times New Roman"/>
          <w:lang w:val="pl"/>
        </w:rPr>
        <w:t>celu z</w:t>
      </w:r>
      <w:r w:rsidRPr="005C22E5">
        <w:rPr>
          <w:rFonts w:ascii="Times New Roman" w:eastAsia="TimesNewRoman" w:hAnsi="Times New Roman" w:cs="Times New Roman"/>
          <w:lang w:val="pl"/>
        </w:rPr>
        <w:t>łagodzeni</w:t>
      </w:r>
      <w:r w:rsidR="00D5021A">
        <w:rPr>
          <w:rFonts w:ascii="Times New Roman" w:eastAsia="TimesNewRoman" w:hAnsi="Times New Roman" w:cs="Times New Roman"/>
          <w:lang w:val="pl"/>
        </w:rPr>
        <w:t>a</w:t>
      </w:r>
      <w:r w:rsidRPr="005C22E5">
        <w:rPr>
          <w:rFonts w:ascii="Times New Roman" w:eastAsia="TimesNewRoman" w:hAnsi="Times New Roman" w:cs="Times New Roman"/>
          <w:lang w:val="pl"/>
        </w:rPr>
        <w:t xml:space="preserve"> </w:t>
      </w:r>
      <w:r w:rsidR="00D5021A">
        <w:rPr>
          <w:rFonts w:ascii="Times New Roman" w:eastAsia="TimesNewRoman" w:hAnsi="Times New Roman" w:cs="Times New Roman"/>
          <w:lang w:val="pl"/>
        </w:rPr>
        <w:t xml:space="preserve">silnego </w:t>
      </w:r>
      <w:r w:rsidR="005C22E5">
        <w:rPr>
          <w:rFonts w:ascii="Times New Roman" w:eastAsia="TimesNewRoman" w:hAnsi="Times New Roman" w:cs="Times New Roman"/>
          <w:lang w:val="pl"/>
        </w:rPr>
        <w:t>ostrego</w:t>
      </w:r>
      <w:r w:rsidRPr="005C22E5">
        <w:rPr>
          <w:rFonts w:ascii="Times New Roman" w:eastAsia="TimesNewRoman" w:hAnsi="Times New Roman" w:cs="Times New Roman"/>
          <w:lang w:val="pl"/>
        </w:rPr>
        <w:t xml:space="preserve"> bólu i gorączki, </w:t>
      </w:r>
      <w:r w:rsidR="005C22E5">
        <w:rPr>
          <w:rFonts w:ascii="Times New Roman" w:eastAsia="TimesNewRoman" w:hAnsi="Times New Roman" w:cs="Times New Roman"/>
          <w:lang w:val="pl"/>
        </w:rPr>
        <w:t>gdy inne metody leczenia są nie skuteczne</w:t>
      </w:r>
      <w:r w:rsidRPr="005C22E5">
        <w:rPr>
          <w:rFonts w:ascii="Times New Roman" w:eastAsia="TimesNewRoman" w:hAnsi="Times New Roman" w:cs="Times New Roman"/>
          <w:lang w:val="pl"/>
        </w:rPr>
        <w:t xml:space="preserve">. </w:t>
      </w:r>
      <w:r w:rsidR="005C22E5" w:rsidRPr="005C22E5">
        <w:rPr>
          <w:rFonts w:ascii="Times New Roman" w:eastAsia="TimesNewRoman" w:hAnsi="Times New Roman" w:cs="Times New Roman"/>
          <w:lang w:val="pl"/>
        </w:rPr>
        <w:t>Lek w</w:t>
      </w:r>
      <w:r w:rsidR="005C22E5">
        <w:rPr>
          <w:rFonts w:ascii="Times New Roman" w:eastAsia="TimesNewRoman" w:hAnsi="Times New Roman" w:cs="Times New Roman"/>
          <w:lang w:val="pl"/>
        </w:rPr>
        <w:t> </w:t>
      </w:r>
      <w:r w:rsidR="005C22E5" w:rsidRPr="005C22E5">
        <w:rPr>
          <w:rFonts w:ascii="Times New Roman" w:eastAsia="TimesNewRoman" w:hAnsi="Times New Roman" w:cs="Times New Roman"/>
          <w:lang w:val="pl"/>
        </w:rPr>
        <w:t xml:space="preserve">postaci </w:t>
      </w:r>
      <w:r w:rsidR="00A9752B" w:rsidRPr="00A9752B">
        <w:rPr>
          <w:rFonts w:ascii="Times New Roman" w:eastAsia="TimesNewRoman" w:hAnsi="Times New Roman" w:cs="Times New Roman"/>
          <w:lang w:val="pl"/>
        </w:rPr>
        <w:t>roztworu do wstrzykiwań</w:t>
      </w:r>
      <w:r w:rsidR="005C22E5" w:rsidRPr="005C22E5">
        <w:rPr>
          <w:rFonts w:ascii="Times New Roman" w:eastAsia="TimesNewRoman" w:hAnsi="Times New Roman" w:cs="Times New Roman"/>
          <w:lang w:val="pl"/>
        </w:rPr>
        <w:t xml:space="preserve">, powinien być stosowany tylko w przypadku, gdy podanie doustne nie jest wskazane. </w:t>
      </w:r>
    </w:p>
    <w:p w14:paraId="4193F336" w14:textId="5CA52241" w:rsidR="00735F8E" w:rsidRPr="00466B3D" w:rsidRDefault="00A9752B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 xml:space="preserve">Droga podawania w postaci </w:t>
      </w:r>
      <w:r w:rsidRPr="00A9752B">
        <w:rPr>
          <w:rFonts w:ascii="Times New Roman" w:hAnsi="Times New Roman" w:cs="Times New Roman"/>
          <w:lang w:val="pl"/>
        </w:rPr>
        <w:t>wstrzyknięcia dożylnego</w:t>
      </w:r>
      <w:r>
        <w:rPr>
          <w:rFonts w:ascii="Times New Roman" w:hAnsi="Times New Roman" w:cs="Times New Roman"/>
          <w:lang w:val="pl"/>
        </w:rPr>
        <w:t xml:space="preserve"> pozwala na uzyskanie niezwykle s</w:t>
      </w:r>
      <w:r w:rsidR="00A92D3B">
        <w:rPr>
          <w:rFonts w:ascii="Times New Roman" w:hAnsi="Times New Roman" w:cs="Times New Roman"/>
          <w:lang w:val="pl"/>
        </w:rPr>
        <w:t>ilnego</w:t>
      </w:r>
      <w:r>
        <w:rPr>
          <w:rFonts w:ascii="Times New Roman" w:hAnsi="Times New Roman" w:cs="Times New Roman"/>
          <w:lang w:val="pl"/>
        </w:rPr>
        <w:t xml:space="preserve"> działania przeciwbólowego w różnych warunkach, dzięki czemu pozwala opanować ból, który </w:t>
      </w:r>
      <w:r w:rsidR="00466B3D">
        <w:rPr>
          <w:rFonts w:ascii="Times New Roman" w:hAnsi="Times New Roman" w:cs="Times New Roman"/>
          <w:lang w:val="pl"/>
        </w:rPr>
        <w:t xml:space="preserve">w innych przypadkach </w:t>
      </w:r>
      <w:r w:rsidR="00735F8E" w:rsidRPr="005C22E5">
        <w:rPr>
          <w:rFonts w:ascii="Times New Roman" w:hAnsi="Times New Roman" w:cs="Times New Roman"/>
          <w:lang w:val="pl"/>
        </w:rPr>
        <w:t xml:space="preserve">reagowałby tylko na produkty zawierające </w:t>
      </w:r>
      <w:proofErr w:type="spellStart"/>
      <w:r w:rsidR="00735F8E" w:rsidRPr="005C22E5">
        <w:rPr>
          <w:rFonts w:ascii="Times New Roman" w:hAnsi="Times New Roman" w:cs="Times New Roman"/>
          <w:lang w:val="pl"/>
        </w:rPr>
        <w:t>opioidy</w:t>
      </w:r>
      <w:proofErr w:type="spellEnd"/>
      <w:r w:rsidR="00735F8E" w:rsidRPr="005C22E5">
        <w:rPr>
          <w:rFonts w:ascii="Times New Roman" w:hAnsi="Times New Roman" w:cs="Times New Roman"/>
          <w:lang w:val="pl"/>
        </w:rPr>
        <w:t xml:space="preserve">. W przeciwieństwie do </w:t>
      </w:r>
      <w:proofErr w:type="spellStart"/>
      <w:r w:rsidR="00735F8E" w:rsidRPr="005C22E5">
        <w:rPr>
          <w:rFonts w:ascii="Times New Roman" w:hAnsi="Times New Roman" w:cs="Times New Roman"/>
          <w:lang w:val="pl"/>
        </w:rPr>
        <w:t>opioidów</w:t>
      </w:r>
      <w:proofErr w:type="spellEnd"/>
      <w:r w:rsidR="00735F8E" w:rsidRPr="005C22E5">
        <w:rPr>
          <w:rFonts w:ascii="Times New Roman" w:hAnsi="Times New Roman" w:cs="Times New Roman"/>
          <w:lang w:val="pl"/>
        </w:rPr>
        <w:t xml:space="preserve"> lek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  <w:r w:rsidR="005C22E5" w:rsidRPr="005C22E5">
        <w:rPr>
          <w:rFonts w:ascii="Times New Roman" w:hAnsi="Times New Roman" w:cs="Times New Roman"/>
          <w:lang w:val="pl"/>
        </w:rPr>
        <w:t xml:space="preserve"> </w:t>
      </w:r>
      <w:r w:rsidR="00466B3D" w:rsidRPr="00466B3D">
        <w:rPr>
          <w:rFonts w:ascii="Times New Roman" w:hAnsi="Times New Roman" w:cs="Times New Roman"/>
          <w:lang w:val="pl"/>
        </w:rPr>
        <w:t xml:space="preserve">nawet w wysokich dawkach </w:t>
      </w:r>
      <w:r w:rsidR="00735F8E" w:rsidRPr="005C22E5">
        <w:rPr>
          <w:rFonts w:ascii="Times New Roman" w:hAnsi="Times New Roman" w:cs="Times New Roman"/>
          <w:lang w:val="pl"/>
        </w:rPr>
        <w:t xml:space="preserve">nie powoduje uzależnienia ani depresji układu oddechowego. </w:t>
      </w:r>
      <w:r>
        <w:rPr>
          <w:rFonts w:ascii="Times New Roman" w:hAnsi="Times New Roman" w:cs="Times New Roman"/>
          <w:lang w:val="pl"/>
        </w:rPr>
        <w:t>Lek n</w:t>
      </w:r>
      <w:r w:rsidR="00735F8E" w:rsidRPr="005C22E5">
        <w:rPr>
          <w:rFonts w:ascii="Times New Roman" w:hAnsi="Times New Roman" w:cs="Times New Roman"/>
          <w:lang w:val="pl"/>
        </w:rPr>
        <w:t>ie zakłóca perystaltyki jelit ani skurczów porodowych.</w:t>
      </w:r>
    </w:p>
    <w:p w14:paraId="09D16B81" w14:textId="24B7FDE5" w:rsidR="00735F8E" w:rsidRPr="005C22E5" w:rsidRDefault="00735F8E" w:rsidP="005C22E5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Stosuje się go w leczeniu ciężkiego, nagłego lub uporczywego bólu i gorączki, które nie reagują na inne metody leczenia.</w:t>
      </w:r>
    </w:p>
    <w:p w14:paraId="4215F14E" w14:textId="461FF99F" w:rsidR="00735F8E" w:rsidRPr="005C22E5" w:rsidRDefault="00735F8E" w:rsidP="005C22E5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 xml:space="preserve">Substancją czynną leku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  <w:r w:rsidR="005C22E5" w:rsidRPr="005C22E5">
        <w:rPr>
          <w:rFonts w:ascii="Times New Roman" w:hAnsi="Times New Roman" w:cs="Times New Roman"/>
          <w:lang w:val="pl"/>
        </w:rPr>
        <w:t xml:space="preserve"> </w:t>
      </w:r>
      <w:r w:rsidRPr="005C22E5">
        <w:rPr>
          <w:rFonts w:ascii="Times New Roman" w:hAnsi="Times New Roman" w:cs="Times New Roman"/>
          <w:lang w:val="pl"/>
        </w:rPr>
        <w:t>jest metamizol.</w:t>
      </w:r>
    </w:p>
    <w:p w14:paraId="735A07F4" w14:textId="77777777" w:rsidR="00115898" w:rsidRPr="005C22E5" w:rsidRDefault="00115898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735A07F5" w14:textId="77777777" w:rsidR="00115898" w:rsidRPr="005C22E5" w:rsidRDefault="00115898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735A07F6" w14:textId="57B2DB08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C22E5">
        <w:rPr>
          <w:rFonts w:ascii="Times New Roman" w:hAnsi="Times New Roman" w:cs="Times New Roman"/>
          <w:b/>
          <w:bCs/>
          <w:lang w:val="pl"/>
        </w:rPr>
        <w:t xml:space="preserve">2. Informacje ważne przed zastosowaniem leku </w:t>
      </w:r>
      <w:r w:rsidR="00B42C09" w:rsidRPr="00920924">
        <w:rPr>
          <w:rFonts w:ascii="Times New Roman" w:hAnsi="Times New Roman" w:cs="Times New Roman"/>
          <w:b/>
          <w:bCs/>
          <w:noProof/>
          <w:lang w:val="pl-PL"/>
        </w:rPr>
        <w:t>Pyreoxing</w:t>
      </w:r>
    </w:p>
    <w:p w14:paraId="735A07F7" w14:textId="77777777" w:rsidR="00115898" w:rsidRPr="005C22E5" w:rsidRDefault="00115898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35A07F8" w14:textId="0389B8F9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C22E5">
        <w:rPr>
          <w:rFonts w:ascii="Times New Roman" w:hAnsi="Times New Roman" w:cs="Times New Roman"/>
          <w:b/>
          <w:bCs/>
          <w:lang w:val="pl"/>
        </w:rPr>
        <w:t xml:space="preserve">Kiedy nie stosować leku </w:t>
      </w:r>
      <w:r w:rsidR="00B42C09" w:rsidRPr="00920924">
        <w:rPr>
          <w:rFonts w:ascii="Times New Roman" w:hAnsi="Times New Roman" w:cs="Times New Roman"/>
          <w:b/>
          <w:bCs/>
          <w:noProof/>
          <w:lang w:val="pl-PL"/>
        </w:rPr>
        <w:t>Pyreoxing</w:t>
      </w:r>
      <w:r w:rsidRPr="005C22E5">
        <w:rPr>
          <w:rFonts w:ascii="Times New Roman" w:hAnsi="Times New Roman" w:cs="Times New Roman"/>
          <w:lang w:val="pl"/>
        </w:rPr>
        <w:t xml:space="preserve"> </w:t>
      </w:r>
    </w:p>
    <w:p w14:paraId="735A07F9" w14:textId="07508672" w:rsidR="00115898" w:rsidRPr="005C22E5" w:rsidRDefault="00C26F78" w:rsidP="005C22E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 xml:space="preserve">Jeśli pacjent ma uczulenie na metamizol lub którykolwiek z pozostałych składników tego leku (wymienionych w punkcie 6) lub na inne </w:t>
      </w:r>
      <w:r w:rsidR="00466B3D">
        <w:rPr>
          <w:rFonts w:ascii="Times New Roman" w:hAnsi="Times New Roman" w:cs="Times New Roman"/>
          <w:lang w:val="pl"/>
        </w:rPr>
        <w:t>podobne</w:t>
      </w:r>
      <w:r w:rsidRPr="005C22E5">
        <w:rPr>
          <w:rFonts w:ascii="Times New Roman" w:hAnsi="Times New Roman" w:cs="Times New Roman"/>
          <w:lang w:val="pl"/>
        </w:rPr>
        <w:t xml:space="preserve"> substancje </w:t>
      </w:r>
      <w:r w:rsidR="00466B3D">
        <w:rPr>
          <w:rFonts w:ascii="Times New Roman" w:hAnsi="Times New Roman" w:cs="Times New Roman"/>
          <w:lang w:val="pl"/>
        </w:rPr>
        <w:t xml:space="preserve">czynne </w:t>
      </w:r>
      <w:r w:rsidRPr="005C22E5">
        <w:rPr>
          <w:rFonts w:ascii="Times New Roman" w:hAnsi="Times New Roman" w:cs="Times New Roman"/>
          <w:lang w:val="pl"/>
        </w:rPr>
        <w:t xml:space="preserve">(np. </w:t>
      </w:r>
      <w:proofErr w:type="spellStart"/>
      <w:r w:rsidRPr="005C22E5">
        <w:rPr>
          <w:rFonts w:ascii="Times New Roman" w:hAnsi="Times New Roman" w:cs="Times New Roman"/>
          <w:lang w:val="pl"/>
        </w:rPr>
        <w:t>fenazon</w:t>
      </w:r>
      <w:proofErr w:type="spellEnd"/>
      <w:r w:rsidRPr="005C22E5">
        <w:rPr>
          <w:rFonts w:ascii="Times New Roman" w:hAnsi="Times New Roman" w:cs="Times New Roman"/>
          <w:lang w:val="pl"/>
        </w:rPr>
        <w:t xml:space="preserve">, </w:t>
      </w:r>
      <w:proofErr w:type="spellStart"/>
      <w:r w:rsidRPr="005C22E5">
        <w:rPr>
          <w:rFonts w:ascii="Times New Roman" w:hAnsi="Times New Roman" w:cs="Times New Roman"/>
          <w:lang w:val="pl"/>
        </w:rPr>
        <w:t>propyfenazon</w:t>
      </w:r>
      <w:proofErr w:type="spellEnd"/>
      <w:r w:rsidRPr="005C22E5">
        <w:rPr>
          <w:rFonts w:ascii="Times New Roman" w:hAnsi="Times New Roman" w:cs="Times New Roman"/>
          <w:lang w:val="pl"/>
        </w:rPr>
        <w:t xml:space="preserve">, </w:t>
      </w:r>
      <w:proofErr w:type="spellStart"/>
      <w:r w:rsidRPr="005C22E5">
        <w:rPr>
          <w:rFonts w:ascii="Times New Roman" w:hAnsi="Times New Roman" w:cs="Times New Roman"/>
          <w:lang w:val="pl"/>
        </w:rPr>
        <w:t>fenylobutazon</w:t>
      </w:r>
      <w:proofErr w:type="spellEnd"/>
      <w:r w:rsidRPr="005C22E5">
        <w:rPr>
          <w:rFonts w:ascii="Times New Roman" w:hAnsi="Times New Roman" w:cs="Times New Roman"/>
          <w:lang w:val="pl"/>
        </w:rPr>
        <w:t xml:space="preserve">, </w:t>
      </w:r>
      <w:proofErr w:type="spellStart"/>
      <w:r w:rsidRPr="005C22E5">
        <w:rPr>
          <w:rFonts w:ascii="Times New Roman" w:hAnsi="Times New Roman" w:cs="Times New Roman"/>
          <w:lang w:val="pl"/>
        </w:rPr>
        <w:t>oksyfenbutazon</w:t>
      </w:r>
      <w:proofErr w:type="spellEnd"/>
      <w:r w:rsidRPr="005C22E5">
        <w:rPr>
          <w:rFonts w:ascii="Times New Roman" w:hAnsi="Times New Roman" w:cs="Times New Roman"/>
          <w:lang w:val="pl"/>
        </w:rPr>
        <w:t>).</w:t>
      </w:r>
    </w:p>
    <w:p w14:paraId="70C11DBB" w14:textId="2524903E" w:rsidR="008F549C" w:rsidRPr="005C22E5" w:rsidRDefault="00735F8E" w:rsidP="005C22E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Jeśli u pacjenta występują zaburzenia czynności szpiku kostnego (np. po leczeniu przeciwnowotworowym) lub choroby układu krwiotwórczego.</w:t>
      </w:r>
    </w:p>
    <w:p w14:paraId="735A07FB" w14:textId="19CC9C42" w:rsidR="00E70994" w:rsidRPr="005C22E5" w:rsidRDefault="00E70994" w:rsidP="005C22E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lastRenderedPageBreak/>
        <w:t xml:space="preserve">Jeśli u pacjenta </w:t>
      </w:r>
      <w:r w:rsidR="00A92D3B">
        <w:rPr>
          <w:rFonts w:ascii="Times New Roman" w:hAnsi="Times New Roman" w:cs="Times New Roman"/>
          <w:lang w:val="pl"/>
        </w:rPr>
        <w:t xml:space="preserve">występuję lub </w:t>
      </w:r>
      <w:r w:rsidRPr="005C22E5">
        <w:rPr>
          <w:rFonts w:ascii="Times New Roman" w:hAnsi="Times New Roman" w:cs="Times New Roman"/>
          <w:lang w:val="pl"/>
        </w:rPr>
        <w:t>kiedykolwiek wyst</w:t>
      </w:r>
      <w:r w:rsidR="00466B3D">
        <w:rPr>
          <w:rFonts w:ascii="Times New Roman" w:hAnsi="Times New Roman" w:cs="Times New Roman"/>
          <w:lang w:val="pl"/>
        </w:rPr>
        <w:t>ępowała</w:t>
      </w:r>
      <w:r w:rsidRPr="005C22E5">
        <w:rPr>
          <w:rFonts w:ascii="Times New Roman" w:hAnsi="Times New Roman" w:cs="Times New Roman"/>
          <w:lang w:val="pl"/>
        </w:rPr>
        <w:t xml:space="preserve"> astma lub reakcje alergiczne na leki przeciwbólowe (salicylany, paracetamol lub inne leki przeciwbólowe, np. </w:t>
      </w:r>
      <w:proofErr w:type="spellStart"/>
      <w:r w:rsidRPr="005C22E5">
        <w:rPr>
          <w:rFonts w:ascii="Times New Roman" w:hAnsi="Times New Roman" w:cs="Times New Roman"/>
          <w:lang w:val="pl"/>
        </w:rPr>
        <w:t>diklofenak</w:t>
      </w:r>
      <w:proofErr w:type="spellEnd"/>
      <w:r w:rsidRPr="005C22E5">
        <w:rPr>
          <w:rFonts w:ascii="Times New Roman" w:hAnsi="Times New Roman" w:cs="Times New Roman"/>
          <w:lang w:val="pl"/>
        </w:rPr>
        <w:t xml:space="preserve">, </w:t>
      </w:r>
      <w:proofErr w:type="spellStart"/>
      <w:r w:rsidRPr="005C22E5">
        <w:rPr>
          <w:rFonts w:ascii="Times New Roman" w:hAnsi="Times New Roman" w:cs="Times New Roman"/>
          <w:lang w:val="pl"/>
        </w:rPr>
        <w:t>ibuprofen</w:t>
      </w:r>
      <w:proofErr w:type="spellEnd"/>
      <w:r w:rsidRPr="005C22E5">
        <w:rPr>
          <w:rFonts w:ascii="Times New Roman" w:hAnsi="Times New Roman" w:cs="Times New Roman"/>
          <w:lang w:val="pl"/>
        </w:rPr>
        <w:t xml:space="preserve">, </w:t>
      </w:r>
      <w:proofErr w:type="spellStart"/>
      <w:r w:rsidRPr="005C22E5">
        <w:rPr>
          <w:rFonts w:ascii="Times New Roman" w:hAnsi="Times New Roman" w:cs="Times New Roman"/>
          <w:lang w:val="pl"/>
        </w:rPr>
        <w:t>indometacynę</w:t>
      </w:r>
      <w:proofErr w:type="spellEnd"/>
      <w:r w:rsidRPr="005C22E5">
        <w:rPr>
          <w:rFonts w:ascii="Times New Roman" w:hAnsi="Times New Roman" w:cs="Times New Roman"/>
          <w:lang w:val="pl"/>
        </w:rPr>
        <w:t xml:space="preserve">, </w:t>
      </w:r>
      <w:proofErr w:type="spellStart"/>
      <w:r w:rsidRPr="005C22E5">
        <w:rPr>
          <w:rFonts w:ascii="Times New Roman" w:hAnsi="Times New Roman" w:cs="Times New Roman"/>
          <w:lang w:val="pl"/>
        </w:rPr>
        <w:t>naproksen</w:t>
      </w:r>
      <w:proofErr w:type="spellEnd"/>
      <w:r w:rsidRPr="005C22E5">
        <w:rPr>
          <w:rFonts w:ascii="Times New Roman" w:hAnsi="Times New Roman" w:cs="Times New Roman"/>
          <w:lang w:val="pl"/>
        </w:rPr>
        <w:t>), takie jak pokrzywka lub tzw. obrzęk naczynioruchowy (obrzęk twarzy i błon śluzowych dróg oddechowych, układu trawiennego lub przewodu pokarmowego).</w:t>
      </w:r>
    </w:p>
    <w:p w14:paraId="416B8418" w14:textId="49702A48" w:rsidR="00735F8E" w:rsidRPr="005C22E5" w:rsidRDefault="00E70994" w:rsidP="005C22E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 xml:space="preserve">Jeśli u pacjenta występuje ciężka choroba wątroby, tzw. porfiria (ryzyko napadu porfirii). </w:t>
      </w:r>
    </w:p>
    <w:p w14:paraId="735A07FD" w14:textId="4F023951" w:rsidR="00E70994" w:rsidRPr="005C22E5" w:rsidRDefault="00F43E73" w:rsidP="005C22E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Jeśli u pacjenta występuje wrodzony niedobór dehydrogenazy glukozo-6-fosforanowej (ryzyko hemolizy).</w:t>
      </w:r>
    </w:p>
    <w:p w14:paraId="2CD21287" w14:textId="3C00F51A" w:rsidR="00B32921" w:rsidRPr="005C22E5" w:rsidRDefault="00735F8E" w:rsidP="005C22E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W </w:t>
      </w:r>
      <w:r w:rsidR="00A92D3B">
        <w:rPr>
          <w:rFonts w:ascii="Times New Roman" w:eastAsia="TimesNewRoman" w:hAnsi="Times New Roman" w:cs="Times New Roman"/>
          <w:lang w:val="pl"/>
        </w:rPr>
        <w:t xml:space="preserve">czasie </w:t>
      </w:r>
      <w:r w:rsidRPr="005C22E5">
        <w:rPr>
          <w:rFonts w:ascii="Times New Roman" w:eastAsia="TimesNewRoman" w:hAnsi="Times New Roman" w:cs="Times New Roman"/>
          <w:lang w:val="pl"/>
        </w:rPr>
        <w:t>ostatnich trzech miesięcy ciąży.</w:t>
      </w:r>
    </w:p>
    <w:p w14:paraId="735A07FE" w14:textId="69F27467" w:rsidR="00E70994" w:rsidRPr="005C22E5" w:rsidRDefault="00735F8E" w:rsidP="005C22E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Jeśli u pacjenta występuje niskie ciśnienie krwi lub problemy z krążeniem krwi.</w:t>
      </w:r>
    </w:p>
    <w:p w14:paraId="735A0801" w14:textId="09DA541B" w:rsidR="00115898" w:rsidRPr="005C22E5" w:rsidRDefault="00115898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735A0802" w14:textId="7FC982E3" w:rsidR="00115898" w:rsidRPr="005C22E5" w:rsidRDefault="00115898" w:rsidP="005C22E5">
      <w:pPr>
        <w:numPr>
          <w:ilvl w:val="12"/>
          <w:numId w:val="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noProof/>
          <w:lang w:val="pl-PL"/>
        </w:rPr>
      </w:pPr>
      <w:r w:rsidRPr="005C22E5">
        <w:rPr>
          <w:rFonts w:ascii="Times New Roman" w:eastAsia="Times New Roman" w:hAnsi="Times New Roman" w:cs="Times New Roman"/>
          <w:b/>
          <w:bCs/>
          <w:noProof/>
          <w:lang w:val="pl"/>
        </w:rPr>
        <w:t xml:space="preserve">Ostrzeżenia i środki ostrożności </w:t>
      </w:r>
    </w:p>
    <w:p w14:paraId="70AF4BC7" w14:textId="77777777" w:rsidR="00B32921" w:rsidRPr="005C22E5" w:rsidRDefault="00B32921" w:rsidP="005C22E5">
      <w:pPr>
        <w:numPr>
          <w:ilvl w:val="12"/>
          <w:numId w:val="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noProof/>
          <w:lang w:val="pl-PL"/>
        </w:rPr>
      </w:pPr>
    </w:p>
    <w:p w14:paraId="735A0803" w14:textId="5589CD9F" w:rsidR="00115898" w:rsidRPr="005C22E5" w:rsidRDefault="00115898" w:rsidP="005C22E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pl-PL"/>
        </w:rPr>
      </w:pPr>
      <w:r w:rsidRPr="005C22E5">
        <w:rPr>
          <w:rFonts w:ascii="Times New Roman" w:hAnsi="Times New Roman" w:cs="Times New Roman"/>
          <w:noProof/>
          <w:lang w:val="pl"/>
        </w:rPr>
        <w:t xml:space="preserve">Przed rozpoczęciem stosowania leku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  <w:r w:rsidRPr="005C22E5">
        <w:rPr>
          <w:rFonts w:ascii="Times New Roman" w:hAnsi="Times New Roman" w:cs="Times New Roman"/>
          <w:noProof/>
          <w:lang w:val="pl"/>
        </w:rPr>
        <w:t xml:space="preserve"> należy omówić to z lekarzem lub farmaceutą:</w:t>
      </w:r>
    </w:p>
    <w:p w14:paraId="2B8C5E28" w14:textId="41503B2A" w:rsidR="00481C8C" w:rsidRPr="00DF6C05" w:rsidRDefault="00481C8C" w:rsidP="00DF6C05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DF6C05">
        <w:rPr>
          <w:rFonts w:ascii="Times New Roman" w:hAnsi="Times New Roman" w:cs="Times New Roman"/>
          <w:lang w:val="pl"/>
        </w:rPr>
        <w:t xml:space="preserve">W przypadku wystąpienia </w:t>
      </w:r>
      <w:r w:rsidR="00B644D6" w:rsidRPr="00DF6C05">
        <w:rPr>
          <w:rFonts w:ascii="Times New Roman" w:hAnsi="Times New Roman" w:cs="Times New Roman"/>
          <w:lang w:val="pl"/>
        </w:rPr>
        <w:t>gorączki, dreszczy, bólu gardła lub owrzodzenia w jamie ustnej</w:t>
      </w:r>
      <w:r w:rsidRPr="00DF6C05">
        <w:rPr>
          <w:rFonts w:ascii="Times New Roman" w:hAnsi="Times New Roman" w:cs="Times New Roman"/>
          <w:lang w:val="pl"/>
        </w:rPr>
        <w:t xml:space="preserve"> należy natychmiast przerwać leczenie i skontaktować się z lekarzem. Objawy te mogą być związane z </w:t>
      </w:r>
      <w:proofErr w:type="spellStart"/>
      <w:r w:rsidRPr="00DF6C05">
        <w:rPr>
          <w:rFonts w:ascii="Times New Roman" w:hAnsi="Times New Roman" w:cs="Times New Roman"/>
          <w:lang w:val="pl"/>
        </w:rPr>
        <w:t>neutropenią</w:t>
      </w:r>
      <w:proofErr w:type="spellEnd"/>
      <w:r w:rsidRPr="00DF6C05">
        <w:rPr>
          <w:rFonts w:ascii="Times New Roman" w:hAnsi="Times New Roman" w:cs="Times New Roman"/>
          <w:lang w:val="pl"/>
        </w:rPr>
        <w:t xml:space="preserve"> (niezwykle małą liczbą komórek nazywanych granulocytami obojętnochłonnymi) lub agranulocytozą (znacznym zmniejszeniem liczby lub całkowitym zanikiem białych krwinek zwanych granulocytami we krwi). Agranulocytoza wywołana metamizolem jest zaburzeniem pochodzenia </w:t>
      </w:r>
      <w:proofErr w:type="spellStart"/>
      <w:r w:rsidRPr="00DF6C05">
        <w:rPr>
          <w:rFonts w:ascii="Times New Roman" w:hAnsi="Times New Roman" w:cs="Times New Roman"/>
          <w:lang w:val="pl"/>
        </w:rPr>
        <w:t>immunoalergicznego</w:t>
      </w:r>
      <w:proofErr w:type="spellEnd"/>
      <w:r w:rsidRPr="00DF6C05">
        <w:rPr>
          <w:rFonts w:ascii="Times New Roman" w:hAnsi="Times New Roman" w:cs="Times New Roman"/>
          <w:lang w:val="pl"/>
        </w:rPr>
        <w:t>, trwającym co najmniej tydzień. Obie te reakcje występują bardzo rzadko, mogą mieć ciężkie nasilenie i zagrażać życiu. Nie są one zależne od dawki i mogą wystąpić w dowolnym momencie</w:t>
      </w:r>
      <w:r w:rsidR="004E0195" w:rsidRPr="00DF6C05">
        <w:rPr>
          <w:rFonts w:ascii="Times New Roman" w:hAnsi="Times New Roman" w:cs="Times New Roman"/>
          <w:lang w:val="pl"/>
        </w:rPr>
        <w:t xml:space="preserve"> </w:t>
      </w:r>
      <w:r w:rsidRPr="00DF6C05">
        <w:rPr>
          <w:rFonts w:ascii="Times New Roman" w:hAnsi="Times New Roman" w:cs="Times New Roman"/>
          <w:lang w:val="pl"/>
        </w:rPr>
        <w:t xml:space="preserve">leczenia. W przypadku wystąpienia </w:t>
      </w:r>
      <w:proofErr w:type="spellStart"/>
      <w:r w:rsidRPr="00DF6C05">
        <w:rPr>
          <w:rFonts w:ascii="Times New Roman" w:hAnsi="Times New Roman" w:cs="Times New Roman"/>
          <w:lang w:val="pl"/>
        </w:rPr>
        <w:t>neutropenii</w:t>
      </w:r>
      <w:proofErr w:type="spellEnd"/>
      <w:r w:rsidRPr="00DF6C05">
        <w:rPr>
          <w:rFonts w:ascii="Times New Roman" w:hAnsi="Times New Roman" w:cs="Times New Roman"/>
          <w:lang w:val="pl"/>
        </w:rPr>
        <w:t xml:space="preserve"> (1500 granulocytów obojętnochłonnych na </w:t>
      </w:r>
      <w:proofErr w:type="spellStart"/>
      <w:r w:rsidRPr="00DF6C05">
        <w:rPr>
          <w:rFonts w:ascii="Times New Roman" w:hAnsi="Times New Roman" w:cs="Times New Roman"/>
          <w:lang w:val="pl"/>
        </w:rPr>
        <w:t>mikrolitr</w:t>
      </w:r>
      <w:proofErr w:type="spellEnd"/>
      <w:r w:rsidRPr="00DF6C05">
        <w:rPr>
          <w:rFonts w:ascii="Times New Roman" w:hAnsi="Times New Roman" w:cs="Times New Roman"/>
          <w:lang w:val="pl"/>
        </w:rPr>
        <w:t xml:space="preserve"> krwi lub mniej) należy natychmiast przerwać leczenie. Lekarz </w:t>
      </w:r>
      <w:r w:rsidR="004E0195" w:rsidRPr="00DF6C05">
        <w:rPr>
          <w:rFonts w:ascii="Times New Roman" w:hAnsi="Times New Roman" w:cs="Times New Roman"/>
          <w:lang w:val="pl"/>
        </w:rPr>
        <w:t>powinien</w:t>
      </w:r>
      <w:r w:rsidRPr="00DF6C05">
        <w:rPr>
          <w:rFonts w:ascii="Times New Roman" w:hAnsi="Times New Roman" w:cs="Times New Roman"/>
          <w:lang w:val="pl"/>
        </w:rPr>
        <w:t xml:space="preserve"> kontrolować </w:t>
      </w:r>
      <w:r w:rsidR="004E0195" w:rsidRPr="00DF6C05">
        <w:rPr>
          <w:rFonts w:ascii="Times New Roman" w:hAnsi="Times New Roman" w:cs="Times New Roman"/>
          <w:lang w:val="pl"/>
        </w:rPr>
        <w:t xml:space="preserve">parametry </w:t>
      </w:r>
      <w:r w:rsidRPr="00DF6C05">
        <w:rPr>
          <w:rFonts w:ascii="Times New Roman" w:hAnsi="Times New Roman" w:cs="Times New Roman"/>
          <w:lang w:val="pl"/>
        </w:rPr>
        <w:t>morfologi</w:t>
      </w:r>
      <w:r w:rsidR="004E0195" w:rsidRPr="00DF6C05">
        <w:rPr>
          <w:rFonts w:ascii="Times New Roman" w:hAnsi="Times New Roman" w:cs="Times New Roman"/>
          <w:lang w:val="pl"/>
        </w:rPr>
        <w:t>i</w:t>
      </w:r>
      <w:r w:rsidRPr="00DF6C05">
        <w:rPr>
          <w:rFonts w:ascii="Times New Roman" w:hAnsi="Times New Roman" w:cs="Times New Roman"/>
          <w:lang w:val="pl"/>
        </w:rPr>
        <w:t xml:space="preserve"> krwi </w:t>
      </w:r>
      <w:r w:rsidR="004E0195" w:rsidRPr="00DF6C05">
        <w:rPr>
          <w:rFonts w:ascii="Times New Roman" w:hAnsi="Times New Roman" w:cs="Times New Roman"/>
          <w:lang w:val="pl"/>
        </w:rPr>
        <w:t xml:space="preserve">pacjenta </w:t>
      </w:r>
      <w:r w:rsidRPr="00DF6C05">
        <w:rPr>
          <w:rFonts w:ascii="Times New Roman" w:hAnsi="Times New Roman" w:cs="Times New Roman"/>
          <w:lang w:val="pl"/>
        </w:rPr>
        <w:t>do czasu</w:t>
      </w:r>
      <w:r w:rsidR="004E0195" w:rsidRPr="00DF6C05">
        <w:rPr>
          <w:rFonts w:ascii="Times New Roman" w:hAnsi="Times New Roman" w:cs="Times New Roman"/>
          <w:lang w:val="pl"/>
        </w:rPr>
        <w:t xml:space="preserve"> ich</w:t>
      </w:r>
      <w:r w:rsidRPr="00DF6C05">
        <w:rPr>
          <w:rFonts w:ascii="Times New Roman" w:hAnsi="Times New Roman" w:cs="Times New Roman"/>
          <w:lang w:val="pl"/>
        </w:rPr>
        <w:t xml:space="preserve"> powrotu </w:t>
      </w:r>
      <w:r w:rsidR="004E0195" w:rsidRPr="00DF6C05">
        <w:rPr>
          <w:rFonts w:ascii="Times New Roman" w:hAnsi="Times New Roman" w:cs="Times New Roman"/>
          <w:lang w:val="pl"/>
        </w:rPr>
        <w:t xml:space="preserve">do </w:t>
      </w:r>
      <w:r w:rsidRPr="00DF6C05">
        <w:rPr>
          <w:rFonts w:ascii="Times New Roman" w:hAnsi="Times New Roman" w:cs="Times New Roman"/>
          <w:lang w:val="pl"/>
        </w:rPr>
        <w:t xml:space="preserve">wartości </w:t>
      </w:r>
      <w:r w:rsidR="004E0195" w:rsidRPr="00DF6C05">
        <w:rPr>
          <w:rFonts w:ascii="Times New Roman" w:hAnsi="Times New Roman" w:cs="Times New Roman"/>
          <w:lang w:val="pl"/>
        </w:rPr>
        <w:t>wyjściowych</w:t>
      </w:r>
      <w:r w:rsidRPr="00DF6C05">
        <w:rPr>
          <w:rFonts w:ascii="Times New Roman" w:hAnsi="Times New Roman" w:cs="Times New Roman"/>
          <w:lang w:val="pl"/>
        </w:rPr>
        <w:t>.</w:t>
      </w:r>
    </w:p>
    <w:p w14:paraId="288F8793" w14:textId="1FBC1527" w:rsidR="004E0195" w:rsidRPr="004E0195" w:rsidRDefault="00481C8C" w:rsidP="004E019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lang w:val="pl"/>
        </w:rPr>
      </w:pPr>
      <w:r w:rsidRPr="004E0195">
        <w:rPr>
          <w:rFonts w:ascii="Times New Roman" w:hAnsi="Times New Roman" w:cs="Times New Roman"/>
          <w:lang w:val="pl"/>
        </w:rPr>
        <w:t xml:space="preserve">W przypadku </w:t>
      </w:r>
      <w:r w:rsidR="004E0195" w:rsidRPr="004E0195">
        <w:rPr>
          <w:rFonts w:ascii="Times New Roman" w:hAnsi="Times New Roman" w:cs="Times New Roman"/>
          <w:lang w:val="pl"/>
        </w:rPr>
        <w:t>wystąpienia jakichkolwiek objawów wskazujących na zaburze</w:t>
      </w:r>
      <w:r w:rsidR="0090442E">
        <w:rPr>
          <w:rFonts w:ascii="Times New Roman" w:hAnsi="Times New Roman" w:cs="Times New Roman"/>
          <w:lang w:val="pl"/>
        </w:rPr>
        <w:t>nia</w:t>
      </w:r>
      <w:r w:rsidR="005B56B9">
        <w:rPr>
          <w:rFonts w:ascii="Times New Roman" w:hAnsi="Times New Roman" w:cs="Times New Roman"/>
          <w:lang w:val="pl"/>
        </w:rPr>
        <w:t xml:space="preserve"> parametrów</w:t>
      </w:r>
      <w:r w:rsidR="004E0195" w:rsidRPr="004E0195">
        <w:rPr>
          <w:rFonts w:ascii="Times New Roman" w:hAnsi="Times New Roman" w:cs="Times New Roman"/>
          <w:lang w:val="pl"/>
        </w:rPr>
        <w:t xml:space="preserve"> krwi (np. ogólne osłabienie, infekcja, utrzymująca się gorączka, siniaki, krwawienie, bladość) należy niezwłocznie zgłosić się do lekarza. Objawy te mogą być spowodowane przez pancytopenię</w:t>
      </w:r>
      <w:r w:rsidR="004E0195">
        <w:rPr>
          <w:rFonts w:ascii="Times New Roman" w:hAnsi="Times New Roman" w:cs="Times New Roman"/>
          <w:lang w:val="pl"/>
        </w:rPr>
        <w:t xml:space="preserve"> </w:t>
      </w:r>
      <w:r w:rsidR="004E0195" w:rsidRPr="004E0195">
        <w:rPr>
          <w:rFonts w:ascii="Times New Roman" w:hAnsi="Times New Roman" w:cs="Times New Roman"/>
          <w:lang w:val="pl"/>
        </w:rPr>
        <w:t>(zmniejszenie liczby wszystkich rodzajów komórek krwi)</w:t>
      </w:r>
    </w:p>
    <w:p w14:paraId="735A0804" w14:textId="3BC7BA69" w:rsidR="00E70994" w:rsidRPr="004E0195" w:rsidRDefault="00481C8C" w:rsidP="004E019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4E0195">
        <w:rPr>
          <w:rFonts w:ascii="Times New Roman" w:hAnsi="Times New Roman" w:cs="Times New Roman"/>
          <w:lang w:val="pl"/>
        </w:rPr>
        <w:t>Jeśli u pacjenta występuje astma oskrzelowa lub atopia (rodzaj alergii)</w:t>
      </w:r>
      <w:r w:rsidR="004E0195">
        <w:rPr>
          <w:rFonts w:ascii="Times New Roman" w:hAnsi="Times New Roman" w:cs="Times New Roman"/>
          <w:lang w:val="pl"/>
        </w:rPr>
        <w:t xml:space="preserve"> to po podaniu metamizolu</w:t>
      </w:r>
      <w:r w:rsidRPr="004E0195">
        <w:rPr>
          <w:rFonts w:ascii="Times New Roman" w:hAnsi="Times New Roman" w:cs="Times New Roman"/>
          <w:lang w:val="pl"/>
        </w:rPr>
        <w:t xml:space="preserve"> istnieje zwiększone ryzyko wstrząsu anafilaktycznego (zagrażającej życiu reakcji alergicznej), zwłaszcza po podaniu leku w</w:t>
      </w:r>
      <w:r w:rsidR="004E0195">
        <w:rPr>
          <w:rFonts w:ascii="Times New Roman" w:hAnsi="Times New Roman" w:cs="Times New Roman"/>
          <w:lang w:val="pl"/>
        </w:rPr>
        <w:t xml:space="preserve"> postaci</w:t>
      </w:r>
      <w:r w:rsidRPr="004E0195">
        <w:rPr>
          <w:rFonts w:ascii="Times New Roman" w:hAnsi="Times New Roman" w:cs="Times New Roman"/>
          <w:lang w:val="pl"/>
        </w:rPr>
        <w:t xml:space="preserve"> wstrzyknięcia.</w:t>
      </w:r>
    </w:p>
    <w:p w14:paraId="7A820635" w14:textId="1C6D22A2" w:rsidR="00481C8C" w:rsidRPr="005C22E5" w:rsidRDefault="00481C8C" w:rsidP="005C22E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 xml:space="preserve">Jeśli u pacjenta występuje którykolwiek z poniższych schorzeń, </w:t>
      </w:r>
      <w:r w:rsidR="00D63EA3" w:rsidRPr="00D63EA3">
        <w:rPr>
          <w:rFonts w:ascii="Times New Roman" w:hAnsi="Times New Roman" w:cs="Times New Roman"/>
          <w:lang w:val="pl"/>
        </w:rPr>
        <w:t>ze względu na zwiększone</w:t>
      </w:r>
      <w:r w:rsidRPr="005C22E5">
        <w:rPr>
          <w:rFonts w:ascii="Times New Roman" w:hAnsi="Times New Roman" w:cs="Times New Roman"/>
          <w:lang w:val="pl"/>
        </w:rPr>
        <w:t xml:space="preserve"> ryzyko wystąpienia ciężkich reakcji </w:t>
      </w:r>
      <w:proofErr w:type="spellStart"/>
      <w:r w:rsidRPr="005C22E5">
        <w:rPr>
          <w:rFonts w:ascii="Times New Roman" w:hAnsi="Times New Roman" w:cs="Times New Roman"/>
          <w:lang w:val="pl"/>
        </w:rPr>
        <w:t>anafilaktoidalnych</w:t>
      </w:r>
      <w:proofErr w:type="spellEnd"/>
      <w:r w:rsidRPr="005C22E5">
        <w:rPr>
          <w:rFonts w:ascii="Times New Roman" w:hAnsi="Times New Roman" w:cs="Times New Roman"/>
          <w:lang w:val="pl"/>
        </w:rPr>
        <w:t xml:space="preserve"> </w:t>
      </w:r>
      <w:r w:rsidR="00D63EA3">
        <w:rPr>
          <w:rFonts w:ascii="Times New Roman" w:hAnsi="Times New Roman" w:cs="Times New Roman"/>
          <w:lang w:val="pl"/>
        </w:rPr>
        <w:t>po podaniu</w:t>
      </w:r>
      <w:r w:rsidRPr="005C22E5">
        <w:rPr>
          <w:rFonts w:ascii="Times New Roman" w:hAnsi="Times New Roman" w:cs="Times New Roman"/>
          <w:lang w:val="pl"/>
        </w:rPr>
        <w:t xml:space="preserve"> metamizol</w:t>
      </w:r>
      <w:r w:rsidR="00D63EA3">
        <w:rPr>
          <w:rFonts w:ascii="Times New Roman" w:hAnsi="Times New Roman" w:cs="Times New Roman"/>
          <w:lang w:val="pl"/>
        </w:rPr>
        <w:t>u</w:t>
      </w:r>
      <w:r w:rsidRPr="005C22E5">
        <w:rPr>
          <w:rFonts w:ascii="Times New Roman" w:hAnsi="Times New Roman" w:cs="Times New Roman"/>
          <w:lang w:val="pl"/>
        </w:rPr>
        <w:t>:</w:t>
      </w:r>
    </w:p>
    <w:p w14:paraId="735A0806" w14:textId="1C43F480" w:rsidR="00E70994" w:rsidRPr="005C22E5" w:rsidRDefault="00BA4F7C" w:rsidP="005C22E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 xml:space="preserve">astma oskrzelowa i współistniejące zapalenie błony śluzowej; </w:t>
      </w:r>
    </w:p>
    <w:p w14:paraId="735A0807" w14:textId="742EF8F9" w:rsidR="00E70994" w:rsidRPr="008B5D80" w:rsidRDefault="00D63EA3" w:rsidP="005C22E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długo</w:t>
      </w:r>
      <w:r>
        <w:rPr>
          <w:rFonts w:ascii="Times New Roman" w:eastAsia="TimesNewRoman" w:hAnsi="Times New Roman" w:cs="Times New Roman"/>
          <w:lang w:val="pl"/>
        </w:rPr>
        <w:t>trwająca</w:t>
      </w:r>
      <w:r w:rsidR="00785C80" w:rsidRPr="008B5D80">
        <w:rPr>
          <w:rFonts w:ascii="Times New Roman" w:hAnsi="Times New Roman" w:cs="Times New Roman"/>
          <w:lang w:val="pl-PL"/>
        </w:rPr>
        <w:t xml:space="preserve"> i (lub) </w:t>
      </w:r>
      <w:r w:rsidR="004E734D" w:rsidRPr="005C22E5">
        <w:rPr>
          <w:rFonts w:ascii="Times New Roman" w:eastAsia="TimesNewRoman" w:hAnsi="Times New Roman" w:cs="Times New Roman"/>
          <w:lang w:val="pl"/>
        </w:rPr>
        <w:t>przewlekła pokrzywka;</w:t>
      </w:r>
    </w:p>
    <w:p w14:paraId="735A0808" w14:textId="6D19D7C1" w:rsidR="00E70994" w:rsidRPr="00D63EA3" w:rsidRDefault="004E734D" w:rsidP="00D63E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 xml:space="preserve">nadwrażliwość na alkohol, </w:t>
      </w:r>
      <w:r w:rsidR="00D63EA3" w:rsidRPr="00D63EA3">
        <w:rPr>
          <w:rFonts w:ascii="Times New Roman" w:hAnsi="Times New Roman" w:cs="Times New Roman"/>
          <w:lang w:val="pl"/>
        </w:rPr>
        <w:t xml:space="preserve">objawiająca się kichaniem, </w:t>
      </w:r>
      <w:r w:rsidR="00D63EA3">
        <w:rPr>
          <w:rFonts w:ascii="Times New Roman" w:hAnsi="Times New Roman" w:cs="Times New Roman"/>
          <w:lang w:val="pl"/>
        </w:rPr>
        <w:t xml:space="preserve">łzawieniem </w:t>
      </w:r>
      <w:r w:rsidR="00D63EA3" w:rsidRPr="00D63EA3">
        <w:rPr>
          <w:rFonts w:ascii="Times New Roman" w:hAnsi="Times New Roman" w:cs="Times New Roman"/>
          <w:lang w:val="pl"/>
        </w:rPr>
        <w:t>oraz znacznym zaczerwienieniem twarzy po spożyciu nawet niewielk</w:t>
      </w:r>
      <w:r w:rsidR="00D63EA3">
        <w:rPr>
          <w:rFonts w:ascii="Times New Roman" w:hAnsi="Times New Roman" w:cs="Times New Roman"/>
          <w:lang w:val="pl"/>
        </w:rPr>
        <w:t>ich</w:t>
      </w:r>
      <w:r w:rsidR="00D63EA3" w:rsidRPr="00D63EA3">
        <w:rPr>
          <w:rFonts w:ascii="Times New Roman" w:hAnsi="Times New Roman" w:cs="Times New Roman"/>
          <w:lang w:val="pl"/>
        </w:rPr>
        <w:t xml:space="preserve"> ilości napojów alkoholowych;</w:t>
      </w:r>
    </w:p>
    <w:p w14:paraId="735A0809" w14:textId="1F9561FD" w:rsidR="00E70994" w:rsidRPr="005C22E5" w:rsidRDefault="004E734D" w:rsidP="005C22E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 xml:space="preserve">nadwrażliwość na barwniki (np. </w:t>
      </w:r>
      <w:proofErr w:type="spellStart"/>
      <w:r w:rsidRPr="005C22E5">
        <w:rPr>
          <w:rFonts w:ascii="Times New Roman" w:hAnsi="Times New Roman" w:cs="Times New Roman"/>
          <w:lang w:val="pl"/>
        </w:rPr>
        <w:t>tartrazynę</w:t>
      </w:r>
      <w:proofErr w:type="spellEnd"/>
      <w:r w:rsidRPr="005C22E5">
        <w:rPr>
          <w:rFonts w:ascii="Times New Roman" w:hAnsi="Times New Roman" w:cs="Times New Roman"/>
          <w:lang w:val="pl"/>
        </w:rPr>
        <w:t>) lub na środki konserwujące (np. benzoesany).</w:t>
      </w:r>
    </w:p>
    <w:p w14:paraId="735A080A" w14:textId="6B905F72" w:rsidR="00E70994" w:rsidRPr="00462DDA" w:rsidRDefault="008F549C" w:rsidP="00462DD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DF6C05">
        <w:rPr>
          <w:rFonts w:ascii="Times New Roman" w:hAnsi="Times New Roman" w:cs="Times New Roman"/>
          <w:lang w:val="pl"/>
        </w:rPr>
        <w:t>Jeśli pacjent ma</w:t>
      </w:r>
      <w:r w:rsidR="00462DDA" w:rsidRPr="00462DDA">
        <w:rPr>
          <w:rFonts w:ascii="Times New Roman" w:hAnsi="Times New Roman" w:cs="Times New Roman"/>
          <w:lang w:val="pl"/>
        </w:rPr>
        <w:t xml:space="preserve"> niskie ciśnienie tętnicze lub jest odwodniony, ma niestabilną objętość płynów ustrojowych</w:t>
      </w:r>
      <w:r w:rsidR="00462DDA">
        <w:rPr>
          <w:rFonts w:ascii="Times New Roman" w:hAnsi="Times New Roman" w:cs="Times New Roman"/>
          <w:lang w:val="pl"/>
        </w:rPr>
        <w:t>,</w:t>
      </w:r>
      <w:r w:rsidR="00462DDA" w:rsidRPr="00462DDA">
        <w:rPr>
          <w:rFonts w:ascii="Times New Roman" w:hAnsi="Times New Roman" w:cs="Times New Roman"/>
          <w:lang w:val="pl"/>
        </w:rPr>
        <w:t xml:space="preserve"> niewydolność krążenia w początkowym stadium lub wysoką gorączkę</w:t>
      </w:r>
      <w:r w:rsidR="00462DDA">
        <w:rPr>
          <w:rFonts w:ascii="Times New Roman" w:hAnsi="Times New Roman" w:cs="Times New Roman"/>
          <w:lang w:val="pl"/>
        </w:rPr>
        <w:t xml:space="preserve">. </w:t>
      </w:r>
      <w:r w:rsidRPr="00462DDA">
        <w:rPr>
          <w:rFonts w:ascii="Times New Roman" w:hAnsi="Times New Roman" w:cs="Times New Roman"/>
          <w:lang w:val="pl"/>
        </w:rPr>
        <w:t xml:space="preserve">W takich przypadkach istnieje zwiększone ryzyko wystąpienia ciężkich reakcji hipotensyjnych (reakcji związanych ze spadkiem ciśnienia krwi). </w:t>
      </w:r>
      <w:r w:rsidR="00462DDA">
        <w:rPr>
          <w:rFonts w:ascii="Times New Roman" w:hAnsi="Times New Roman" w:cs="Times New Roman"/>
          <w:lang w:val="pl"/>
        </w:rPr>
        <w:t xml:space="preserve">Dlatego </w:t>
      </w:r>
      <w:r w:rsidR="0090442E" w:rsidRPr="0090442E">
        <w:rPr>
          <w:rFonts w:ascii="Times New Roman" w:hAnsi="Times New Roman" w:cs="Times New Roman"/>
          <w:lang w:val="pl"/>
        </w:rPr>
        <w:t xml:space="preserve">w takich przypadkach </w:t>
      </w:r>
      <w:r w:rsidR="00462DDA">
        <w:rPr>
          <w:rFonts w:ascii="Times New Roman" w:hAnsi="Times New Roman" w:cs="Times New Roman"/>
          <w:lang w:val="pl"/>
        </w:rPr>
        <w:t>n</w:t>
      </w:r>
      <w:r w:rsidRPr="00462DDA">
        <w:rPr>
          <w:rFonts w:ascii="Times New Roman" w:hAnsi="Times New Roman" w:cs="Times New Roman"/>
          <w:lang w:val="pl"/>
        </w:rPr>
        <w:t>ależy szczególnie uważnie rozważyć pod</w:t>
      </w:r>
      <w:r w:rsidR="00462DDA">
        <w:rPr>
          <w:rFonts w:ascii="Times New Roman" w:hAnsi="Times New Roman" w:cs="Times New Roman"/>
          <w:lang w:val="pl"/>
        </w:rPr>
        <w:t>anie</w:t>
      </w:r>
      <w:r w:rsidRPr="00462DDA">
        <w:rPr>
          <w:rFonts w:ascii="Times New Roman" w:hAnsi="Times New Roman" w:cs="Times New Roman"/>
          <w:lang w:val="pl"/>
        </w:rPr>
        <w:t xml:space="preserve"> metamizolu, a jeżeli zostanie podjęta decyzja o jego zastosowaniu, konieczny jest ścisły nadzór medyczny. Niezbędne jest wdrożenie środków zapobiegawczych w celu zmniejszenia ryzyka reakcji hipotensyjnej. Podanie metamizolu może powodować reakcje hipotensyjne niezwiązane z powyższymi chorobami. Reakcje te wydają się być zależne od dawki, a ich wystąpienie jest bardziej prawdopodobne po podaniu w postaci wstrzyknięcia.</w:t>
      </w:r>
    </w:p>
    <w:p w14:paraId="735A080B" w14:textId="2F2169AF" w:rsidR="00E70994" w:rsidRPr="00DF6C05" w:rsidRDefault="00520C26" w:rsidP="00DF6C0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DF6C05">
        <w:rPr>
          <w:rFonts w:ascii="Times New Roman" w:hAnsi="Times New Roman" w:cs="Times New Roman"/>
          <w:lang w:val="pl"/>
        </w:rPr>
        <w:t xml:space="preserve">Jeśli u pacjenta występuje ciężka choroba </w:t>
      </w:r>
      <w:r w:rsidR="00462DDA" w:rsidRPr="00462DDA">
        <w:rPr>
          <w:rFonts w:ascii="Times New Roman" w:hAnsi="Times New Roman" w:cs="Times New Roman"/>
          <w:lang w:val="pl"/>
        </w:rPr>
        <w:t>naczyń wieńcowych</w:t>
      </w:r>
      <w:r w:rsidRPr="00DF6C05">
        <w:rPr>
          <w:rFonts w:ascii="Times New Roman" w:hAnsi="Times New Roman" w:cs="Times New Roman"/>
          <w:lang w:val="pl"/>
        </w:rPr>
        <w:t xml:space="preserve"> lub znaczne zwężenie naczyń krwionośnych doprowadzających krew do mózgu. W takich przypadkach bezwzględnie konieczne jest unikanie obniżenia ciśnienia krwi, dlatego metamizol powinien być podawany wyłącznie po wdrożeniu uważnego monitorowania czynności układu krążenia.</w:t>
      </w:r>
    </w:p>
    <w:p w14:paraId="735A080C" w14:textId="35131D00" w:rsidR="00E70994" w:rsidRPr="00DF6C05" w:rsidRDefault="00520C26" w:rsidP="00DF6C0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DF6C05">
        <w:rPr>
          <w:rFonts w:ascii="Times New Roman" w:hAnsi="Times New Roman" w:cs="Times New Roman"/>
          <w:lang w:val="pl"/>
        </w:rPr>
        <w:lastRenderedPageBreak/>
        <w:t>Jeśli u pacjenta występuje choroba nerek lub wątroby. W takim przypadku nie należy podawać dużych dawek metamizolu, ponieważ jego wydalanie jest zmniejszone.</w:t>
      </w:r>
    </w:p>
    <w:p w14:paraId="50640D24" w14:textId="4E1CE155" w:rsidR="004D57C4" w:rsidRPr="00DF6C05" w:rsidRDefault="008F549C" w:rsidP="00DF6C0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DF6C05">
        <w:rPr>
          <w:rFonts w:ascii="Times New Roman" w:eastAsia="TimesNewRoman" w:hAnsi="Times New Roman" w:cs="Times New Roman"/>
          <w:lang w:val="pl"/>
        </w:rPr>
        <w:t>Jeśli pacjent przyjmował wcześniej jakikolwiek lek zawierający metamizol i miał problemy z wątrobą.</w:t>
      </w:r>
    </w:p>
    <w:p w14:paraId="20CD07AE" w14:textId="215BF83D" w:rsidR="004D57C4" w:rsidRPr="005C22E5" w:rsidRDefault="004D57C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51237CAD" w14:textId="6CCC8EF2" w:rsidR="00D622AC" w:rsidRPr="005B56B9" w:rsidRDefault="00D622AC" w:rsidP="005C22E5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5B56B9">
        <w:rPr>
          <w:rFonts w:ascii="Times New Roman" w:hAnsi="Times New Roman" w:cs="Times New Roman"/>
          <w:i/>
          <w:iCs/>
          <w:color w:val="auto"/>
          <w:sz w:val="22"/>
          <w:szCs w:val="22"/>
          <w:lang w:val="pl"/>
        </w:rPr>
        <w:t xml:space="preserve">Problemy z wątrobą </w:t>
      </w:r>
    </w:p>
    <w:p w14:paraId="7A3FDA97" w14:textId="22A22A33" w:rsidR="005B56B9" w:rsidRPr="005B56B9" w:rsidRDefault="00D622AC" w:rsidP="005B56B9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pl"/>
        </w:rPr>
      </w:pPr>
      <w:r w:rsidRPr="005C22E5">
        <w:rPr>
          <w:rFonts w:ascii="Times New Roman" w:hAnsi="Times New Roman" w:cs="Times New Roman"/>
          <w:color w:val="auto"/>
          <w:sz w:val="22"/>
          <w:szCs w:val="22"/>
          <w:lang w:val="pl"/>
        </w:rPr>
        <w:t xml:space="preserve">U pacjentów przyjmujących metamizol obserwowano przypadki </w:t>
      </w:r>
      <w:r w:rsidR="005B56B9">
        <w:rPr>
          <w:rFonts w:ascii="Times New Roman" w:hAnsi="Times New Roman" w:cs="Times New Roman"/>
          <w:color w:val="auto"/>
          <w:sz w:val="22"/>
          <w:szCs w:val="22"/>
          <w:lang w:val="pl"/>
        </w:rPr>
        <w:t xml:space="preserve">wystąpienia </w:t>
      </w:r>
      <w:r w:rsidRPr="005C22E5">
        <w:rPr>
          <w:rFonts w:ascii="Times New Roman" w:hAnsi="Times New Roman" w:cs="Times New Roman"/>
          <w:color w:val="auto"/>
          <w:sz w:val="22"/>
          <w:szCs w:val="22"/>
          <w:lang w:val="pl"/>
        </w:rPr>
        <w:t xml:space="preserve">zapalenia wątroby </w:t>
      </w:r>
      <w:r w:rsidR="005B56B9" w:rsidRPr="005B56B9">
        <w:rPr>
          <w:rFonts w:ascii="Times New Roman" w:hAnsi="Times New Roman" w:cs="Times New Roman"/>
          <w:color w:val="auto"/>
          <w:sz w:val="22"/>
          <w:szCs w:val="22"/>
          <w:lang w:val="pl"/>
        </w:rPr>
        <w:t>którego objawy pojawiały się w okresie od kilku dni do kilku miesięcy po rozpoczęciu leczenia.</w:t>
      </w:r>
      <w:r w:rsidR="005B56B9">
        <w:rPr>
          <w:rFonts w:ascii="Times New Roman" w:hAnsi="Times New Roman" w:cs="Times New Roman"/>
          <w:color w:val="auto"/>
          <w:sz w:val="22"/>
          <w:szCs w:val="22"/>
          <w:lang w:val="pl"/>
        </w:rPr>
        <w:t xml:space="preserve"> </w:t>
      </w:r>
      <w:r w:rsidRPr="005C22E5">
        <w:rPr>
          <w:rFonts w:ascii="Times New Roman" w:hAnsi="Times New Roman" w:cs="Times New Roman"/>
          <w:color w:val="auto"/>
          <w:sz w:val="22"/>
          <w:szCs w:val="22"/>
          <w:lang w:val="pl"/>
        </w:rPr>
        <w:t xml:space="preserve">Należy przerwać stosowanie leku </w:t>
      </w:r>
      <w:r w:rsidR="00B42C09" w:rsidRPr="00662C9A">
        <w:rPr>
          <w:rFonts w:ascii="Times New Roman" w:hAnsi="Times New Roman" w:cs="Times New Roman"/>
          <w:noProof/>
        </w:rPr>
        <w:t>Pyreoxing</w:t>
      </w:r>
      <w:r w:rsidR="005B56B9" w:rsidRPr="005B56B9">
        <w:rPr>
          <w:rFonts w:ascii="Times New Roman" w:hAnsi="Times New Roman" w:cs="Times New Roman"/>
          <w:color w:val="auto"/>
          <w:sz w:val="22"/>
          <w:szCs w:val="22"/>
          <w:lang w:val="pl"/>
        </w:rPr>
        <w:t xml:space="preserve"> </w:t>
      </w:r>
      <w:r w:rsidRPr="005C22E5">
        <w:rPr>
          <w:rFonts w:ascii="Times New Roman" w:hAnsi="Times New Roman" w:cs="Times New Roman"/>
          <w:color w:val="auto"/>
          <w:sz w:val="22"/>
          <w:szCs w:val="22"/>
          <w:lang w:val="pl"/>
        </w:rPr>
        <w:t>i skontaktować się z lekarzem</w:t>
      </w:r>
      <w:r w:rsidR="005B56B9" w:rsidRPr="005B56B9">
        <w:rPr>
          <w:rFonts w:ascii="Times New Roman" w:hAnsi="Times New Roman" w:cs="Times New Roman"/>
          <w:color w:val="auto"/>
          <w:sz w:val="22"/>
          <w:szCs w:val="22"/>
          <w:lang w:val="pl"/>
        </w:rPr>
        <w:t xml:space="preserve">, jeśli u pacjenta </w:t>
      </w:r>
    </w:p>
    <w:p w14:paraId="272BA30A" w14:textId="238D9FEE" w:rsidR="00D622AC" w:rsidRPr="005B56B9" w:rsidRDefault="005B56B9" w:rsidP="005B56B9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pl"/>
        </w:rPr>
      </w:pPr>
      <w:r w:rsidRPr="005B56B9">
        <w:rPr>
          <w:rFonts w:ascii="Times New Roman" w:hAnsi="Times New Roman" w:cs="Times New Roman"/>
          <w:color w:val="auto"/>
          <w:sz w:val="22"/>
          <w:szCs w:val="22"/>
          <w:lang w:val="pl"/>
        </w:rPr>
        <w:t xml:space="preserve">wystąpią </w:t>
      </w:r>
      <w:r w:rsidR="00897C2E">
        <w:rPr>
          <w:rFonts w:ascii="Times New Roman" w:hAnsi="Times New Roman" w:cs="Times New Roman"/>
          <w:color w:val="auto"/>
          <w:sz w:val="22"/>
          <w:szCs w:val="22"/>
          <w:lang w:val="pl"/>
        </w:rPr>
        <w:t>objawy</w:t>
      </w:r>
      <w:r w:rsidR="00D622AC" w:rsidRPr="005C22E5">
        <w:rPr>
          <w:rFonts w:ascii="Times New Roman" w:hAnsi="Times New Roman" w:cs="Times New Roman"/>
          <w:color w:val="auto"/>
          <w:sz w:val="22"/>
          <w:szCs w:val="22"/>
          <w:lang w:val="pl"/>
        </w:rPr>
        <w:t xml:space="preserve"> zaburze</w:t>
      </w:r>
      <w:r w:rsidR="00897C2E">
        <w:rPr>
          <w:rFonts w:ascii="Times New Roman" w:hAnsi="Times New Roman" w:cs="Times New Roman"/>
          <w:color w:val="auto"/>
          <w:sz w:val="22"/>
          <w:szCs w:val="22"/>
          <w:lang w:val="pl"/>
        </w:rPr>
        <w:t>nia</w:t>
      </w:r>
      <w:r w:rsidR="00D622AC" w:rsidRPr="005C22E5">
        <w:rPr>
          <w:rFonts w:ascii="Times New Roman" w:hAnsi="Times New Roman" w:cs="Times New Roman"/>
          <w:color w:val="auto"/>
          <w:sz w:val="22"/>
          <w:szCs w:val="22"/>
          <w:lang w:val="pl"/>
        </w:rPr>
        <w:t xml:space="preserve"> czynności wątroby, tak</w:t>
      </w:r>
      <w:r w:rsidR="00897C2E">
        <w:rPr>
          <w:rFonts w:ascii="Times New Roman" w:hAnsi="Times New Roman" w:cs="Times New Roman"/>
          <w:color w:val="auto"/>
          <w:sz w:val="22"/>
          <w:szCs w:val="22"/>
          <w:lang w:val="pl"/>
        </w:rPr>
        <w:t>ie</w:t>
      </w:r>
      <w:r w:rsidR="00D622AC" w:rsidRPr="005C22E5">
        <w:rPr>
          <w:rFonts w:ascii="Times New Roman" w:hAnsi="Times New Roman" w:cs="Times New Roman"/>
          <w:color w:val="auto"/>
          <w:sz w:val="22"/>
          <w:szCs w:val="22"/>
          <w:lang w:val="pl"/>
        </w:rPr>
        <w:t xml:space="preserve"> jak nudności lub wymioty, gorączka, uczucie zmęczenia, utrata apetytu, ciemne zabarwienie moczu, jasne zabarwienie stolca, zażółcenie skóry lub </w:t>
      </w:r>
      <w:r w:rsidR="00897C2E" w:rsidRPr="00897C2E">
        <w:rPr>
          <w:rFonts w:ascii="Times New Roman" w:hAnsi="Times New Roman" w:cs="Times New Roman"/>
          <w:color w:val="auto"/>
          <w:sz w:val="22"/>
          <w:szCs w:val="22"/>
          <w:lang w:val="pl"/>
        </w:rPr>
        <w:t>białkówek oczu</w:t>
      </w:r>
      <w:r w:rsidR="00D622AC" w:rsidRPr="005C22E5">
        <w:rPr>
          <w:rFonts w:ascii="Times New Roman" w:hAnsi="Times New Roman" w:cs="Times New Roman"/>
          <w:color w:val="auto"/>
          <w:sz w:val="22"/>
          <w:szCs w:val="22"/>
          <w:lang w:val="pl"/>
        </w:rPr>
        <w:t xml:space="preserve">, świąd, wysypka lub ból w górnej części brzucha. Lekarz </w:t>
      </w:r>
      <w:r w:rsidR="00897C2E">
        <w:rPr>
          <w:rFonts w:ascii="Times New Roman" w:hAnsi="Times New Roman" w:cs="Times New Roman"/>
          <w:color w:val="auto"/>
          <w:sz w:val="22"/>
          <w:szCs w:val="22"/>
          <w:lang w:val="pl"/>
        </w:rPr>
        <w:t>skontroluje</w:t>
      </w:r>
      <w:r w:rsidR="00D622AC" w:rsidRPr="005C22E5">
        <w:rPr>
          <w:rFonts w:ascii="Times New Roman" w:hAnsi="Times New Roman" w:cs="Times New Roman"/>
          <w:color w:val="auto"/>
          <w:sz w:val="22"/>
          <w:szCs w:val="22"/>
          <w:lang w:val="pl"/>
        </w:rPr>
        <w:t xml:space="preserve"> </w:t>
      </w:r>
      <w:r w:rsidR="00897C2E">
        <w:rPr>
          <w:rFonts w:ascii="Times New Roman" w:hAnsi="Times New Roman" w:cs="Times New Roman"/>
          <w:color w:val="auto"/>
          <w:sz w:val="22"/>
          <w:szCs w:val="22"/>
          <w:lang w:val="pl"/>
        </w:rPr>
        <w:t>u</w:t>
      </w:r>
      <w:r w:rsidR="00D622AC" w:rsidRPr="005C22E5">
        <w:rPr>
          <w:rFonts w:ascii="Times New Roman" w:hAnsi="Times New Roman" w:cs="Times New Roman"/>
          <w:color w:val="auto"/>
          <w:sz w:val="22"/>
          <w:szCs w:val="22"/>
          <w:lang w:val="pl"/>
        </w:rPr>
        <w:t xml:space="preserve"> pacjenta</w:t>
      </w:r>
      <w:r w:rsidR="00897C2E" w:rsidRPr="00897C2E">
        <w:t xml:space="preserve"> </w:t>
      </w:r>
      <w:r w:rsidR="00897C2E" w:rsidRPr="00897C2E">
        <w:rPr>
          <w:rFonts w:ascii="Times New Roman" w:hAnsi="Times New Roman" w:cs="Times New Roman"/>
          <w:color w:val="auto"/>
          <w:sz w:val="22"/>
          <w:szCs w:val="22"/>
          <w:lang w:val="pl"/>
        </w:rPr>
        <w:t>prawidłowość funkcjonowania wątroby</w:t>
      </w:r>
      <w:r w:rsidR="00D622AC" w:rsidRPr="005C22E5">
        <w:rPr>
          <w:rFonts w:ascii="Times New Roman" w:hAnsi="Times New Roman" w:cs="Times New Roman"/>
          <w:color w:val="auto"/>
          <w:sz w:val="22"/>
          <w:szCs w:val="22"/>
          <w:lang w:val="pl"/>
        </w:rPr>
        <w:t xml:space="preserve">. </w:t>
      </w:r>
    </w:p>
    <w:p w14:paraId="501A8049" w14:textId="39BE688A" w:rsidR="00D622AC" w:rsidRPr="005C22E5" w:rsidRDefault="00D622AC" w:rsidP="005C2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Nie należy stosować leku</w:t>
      </w:r>
      <w:r w:rsidR="00B060BD">
        <w:rPr>
          <w:rFonts w:ascii="Times New Roman" w:hAnsi="Times New Roman" w:cs="Times New Roman"/>
          <w:lang w:val="pl"/>
        </w:rPr>
        <w:t xml:space="preserve"> </w:t>
      </w:r>
      <w:r w:rsidR="00B060BD" w:rsidRPr="00E50486">
        <w:rPr>
          <w:rFonts w:ascii="Times New Roman" w:hAnsi="Times New Roman" w:cs="Times New Roman"/>
          <w:noProof/>
          <w:lang w:val="pl-PL"/>
        </w:rPr>
        <w:t>Pyreoxing</w:t>
      </w:r>
      <w:r w:rsidRPr="005C22E5">
        <w:rPr>
          <w:rFonts w:ascii="Times New Roman" w:hAnsi="Times New Roman" w:cs="Times New Roman"/>
          <w:lang w:val="pl"/>
        </w:rPr>
        <w:t xml:space="preserve"> , jeśli pacjent wcześniej </w:t>
      </w:r>
      <w:r w:rsidR="00897C2E">
        <w:rPr>
          <w:rFonts w:ascii="Times New Roman" w:hAnsi="Times New Roman" w:cs="Times New Roman"/>
          <w:lang w:val="pl"/>
        </w:rPr>
        <w:t xml:space="preserve">przyjmował </w:t>
      </w:r>
      <w:r w:rsidRPr="005C22E5">
        <w:rPr>
          <w:rFonts w:ascii="Times New Roman" w:hAnsi="Times New Roman" w:cs="Times New Roman"/>
          <w:lang w:val="pl"/>
        </w:rPr>
        <w:t>jakikolwiek lek zawierający metamizol i </w:t>
      </w:r>
      <w:r w:rsidR="00897C2E" w:rsidRPr="00897C2E">
        <w:rPr>
          <w:rFonts w:ascii="Times New Roman" w:hAnsi="Times New Roman" w:cs="Times New Roman"/>
          <w:lang w:val="pl"/>
        </w:rPr>
        <w:t>miał dolegliwości ze strony wątroby</w:t>
      </w:r>
      <w:r w:rsidRPr="005C22E5">
        <w:rPr>
          <w:rFonts w:ascii="Times New Roman" w:hAnsi="Times New Roman" w:cs="Times New Roman"/>
          <w:lang w:val="pl"/>
        </w:rPr>
        <w:t>.</w:t>
      </w:r>
    </w:p>
    <w:p w14:paraId="604EFBEC" w14:textId="03A398FE" w:rsidR="00D622AC" w:rsidRPr="005C22E5" w:rsidRDefault="00D622AC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3630E9C4" w14:textId="7E29EEB3" w:rsidR="004405E8" w:rsidRPr="005B56B9" w:rsidRDefault="004405E8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lang w:val="pl-PL"/>
        </w:rPr>
      </w:pPr>
      <w:r w:rsidRPr="005B56B9">
        <w:rPr>
          <w:rFonts w:ascii="Times New Roman" w:eastAsia="TimesNewRoman" w:hAnsi="Times New Roman" w:cs="Times New Roman"/>
          <w:i/>
          <w:iCs/>
          <w:lang w:val="pl"/>
        </w:rPr>
        <w:t>Ciężkie reakcje skórne</w:t>
      </w:r>
    </w:p>
    <w:p w14:paraId="6CAE4110" w14:textId="5853AB0E" w:rsidR="00FD5C5B" w:rsidRPr="007264B6" w:rsidRDefault="00636D5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"/>
        </w:rPr>
      </w:pPr>
      <w:r w:rsidRPr="005C22E5">
        <w:rPr>
          <w:rFonts w:ascii="Times New Roman" w:hAnsi="Times New Roman" w:cs="Times New Roman"/>
          <w:lang w:val="pl"/>
        </w:rPr>
        <w:t xml:space="preserve">W związku z leczeniem metamizolem opisywano </w:t>
      </w:r>
      <w:r w:rsidR="00897C2E">
        <w:rPr>
          <w:rFonts w:ascii="Times New Roman" w:hAnsi="Times New Roman" w:cs="Times New Roman"/>
          <w:lang w:val="pl"/>
        </w:rPr>
        <w:t xml:space="preserve">wystąpienie </w:t>
      </w:r>
      <w:r w:rsidRPr="005C22E5">
        <w:rPr>
          <w:rFonts w:ascii="Times New Roman" w:hAnsi="Times New Roman" w:cs="Times New Roman"/>
          <w:lang w:val="pl"/>
        </w:rPr>
        <w:t>ciężk</w:t>
      </w:r>
      <w:r w:rsidR="00897C2E">
        <w:rPr>
          <w:rFonts w:ascii="Times New Roman" w:hAnsi="Times New Roman" w:cs="Times New Roman"/>
          <w:lang w:val="pl"/>
        </w:rPr>
        <w:t>ich</w:t>
      </w:r>
      <w:r w:rsidRPr="005C22E5">
        <w:rPr>
          <w:rFonts w:ascii="Times New Roman" w:hAnsi="Times New Roman" w:cs="Times New Roman"/>
          <w:lang w:val="pl"/>
        </w:rPr>
        <w:t xml:space="preserve"> reakcj</w:t>
      </w:r>
      <w:r w:rsidR="00897C2E">
        <w:rPr>
          <w:rFonts w:ascii="Times New Roman" w:hAnsi="Times New Roman" w:cs="Times New Roman"/>
          <w:lang w:val="pl"/>
        </w:rPr>
        <w:t>i</w:t>
      </w:r>
      <w:r w:rsidRPr="005C22E5">
        <w:rPr>
          <w:rFonts w:ascii="Times New Roman" w:hAnsi="Times New Roman" w:cs="Times New Roman"/>
          <w:lang w:val="pl"/>
        </w:rPr>
        <w:t xml:space="preserve"> skórn</w:t>
      </w:r>
      <w:r w:rsidR="00897C2E">
        <w:rPr>
          <w:rFonts w:ascii="Times New Roman" w:hAnsi="Times New Roman" w:cs="Times New Roman"/>
          <w:lang w:val="pl"/>
        </w:rPr>
        <w:t>ych</w:t>
      </w:r>
      <w:r w:rsidRPr="005C22E5">
        <w:rPr>
          <w:rFonts w:ascii="Times New Roman" w:hAnsi="Times New Roman" w:cs="Times New Roman"/>
          <w:lang w:val="pl"/>
        </w:rPr>
        <w:t xml:space="preserve">, w tym </w:t>
      </w:r>
      <w:r w:rsidR="00425397" w:rsidRPr="005C22E5">
        <w:rPr>
          <w:rFonts w:ascii="Times New Roman" w:hAnsi="Times New Roman" w:cs="Times New Roman"/>
          <w:lang w:val="pl"/>
        </w:rPr>
        <w:t>zespoł</w:t>
      </w:r>
      <w:r w:rsidR="00425397">
        <w:rPr>
          <w:rFonts w:ascii="Times New Roman" w:hAnsi="Times New Roman" w:cs="Times New Roman"/>
          <w:lang w:val="pl"/>
        </w:rPr>
        <w:t>u</w:t>
      </w:r>
      <w:r w:rsidRPr="005C22E5">
        <w:rPr>
          <w:rFonts w:ascii="Times New Roman" w:hAnsi="Times New Roman" w:cs="Times New Roman"/>
          <w:lang w:val="pl"/>
        </w:rPr>
        <w:t xml:space="preserve"> Stevensa-Johnsona (SJS), toksyczne</w:t>
      </w:r>
      <w:r w:rsidR="00897C2E">
        <w:rPr>
          <w:rFonts w:ascii="Times New Roman" w:hAnsi="Times New Roman" w:cs="Times New Roman"/>
          <w:lang w:val="pl"/>
        </w:rPr>
        <w:t>go</w:t>
      </w:r>
      <w:r w:rsidRPr="005C22E5">
        <w:rPr>
          <w:rFonts w:ascii="Times New Roman" w:hAnsi="Times New Roman" w:cs="Times New Roman"/>
          <w:lang w:val="pl"/>
        </w:rPr>
        <w:t xml:space="preserve"> martwicze</w:t>
      </w:r>
      <w:r w:rsidR="00897C2E">
        <w:rPr>
          <w:rFonts w:ascii="Times New Roman" w:hAnsi="Times New Roman" w:cs="Times New Roman"/>
          <w:lang w:val="pl"/>
        </w:rPr>
        <w:t>go</w:t>
      </w:r>
      <w:r w:rsidRPr="005C22E5">
        <w:rPr>
          <w:rFonts w:ascii="Times New Roman" w:hAnsi="Times New Roman" w:cs="Times New Roman"/>
          <w:lang w:val="pl"/>
        </w:rPr>
        <w:t xml:space="preserve"> oddzielani</w:t>
      </w:r>
      <w:r w:rsidR="00897C2E">
        <w:rPr>
          <w:rFonts w:ascii="Times New Roman" w:hAnsi="Times New Roman" w:cs="Times New Roman"/>
          <w:lang w:val="pl"/>
        </w:rPr>
        <w:t>a</w:t>
      </w:r>
      <w:r w:rsidRPr="005C22E5">
        <w:rPr>
          <w:rFonts w:ascii="Times New Roman" w:hAnsi="Times New Roman" w:cs="Times New Roman"/>
          <w:lang w:val="pl"/>
        </w:rPr>
        <w:t xml:space="preserve"> się naskórka (TEN) oraz reakcj</w:t>
      </w:r>
      <w:r w:rsidR="00425397">
        <w:rPr>
          <w:rFonts w:ascii="Times New Roman" w:hAnsi="Times New Roman" w:cs="Times New Roman"/>
          <w:lang w:val="pl"/>
        </w:rPr>
        <w:t>i</w:t>
      </w:r>
      <w:r w:rsidRPr="005C22E5">
        <w:rPr>
          <w:rFonts w:ascii="Times New Roman" w:hAnsi="Times New Roman" w:cs="Times New Roman"/>
          <w:lang w:val="pl"/>
        </w:rPr>
        <w:t xml:space="preserve"> polekow</w:t>
      </w:r>
      <w:r w:rsidR="00425397">
        <w:rPr>
          <w:rFonts w:ascii="Times New Roman" w:hAnsi="Times New Roman" w:cs="Times New Roman"/>
          <w:lang w:val="pl"/>
        </w:rPr>
        <w:t xml:space="preserve">ych </w:t>
      </w:r>
      <w:r w:rsidRPr="005C22E5">
        <w:rPr>
          <w:rFonts w:ascii="Times New Roman" w:hAnsi="Times New Roman" w:cs="Times New Roman"/>
          <w:lang w:val="pl"/>
        </w:rPr>
        <w:t xml:space="preserve">z eozynofilią i objawami </w:t>
      </w:r>
      <w:r w:rsidR="00425397">
        <w:rPr>
          <w:rFonts w:ascii="Times New Roman" w:hAnsi="Times New Roman" w:cs="Times New Roman"/>
          <w:lang w:val="pl"/>
        </w:rPr>
        <w:t>ogólnymi</w:t>
      </w:r>
      <w:r w:rsidRPr="005C22E5">
        <w:rPr>
          <w:rFonts w:ascii="Times New Roman" w:hAnsi="Times New Roman" w:cs="Times New Roman"/>
          <w:lang w:val="pl"/>
        </w:rPr>
        <w:t xml:space="preserve"> (DRESS). </w:t>
      </w:r>
      <w:r w:rsidR="007264B6">
        <w:rPr>
          <w:rFonts w:ascii="Times New Roman" w:hAnsi="Times New Roman" w:cs="Times New Roman"/>
          <w:lang w:val="pl"/>
        </w:rPr>
        <w:t>W</w:t>
      </w:r>
      <w:r w:rsidR="007264B6" w:rsidRPr="007264B6">
        <w:rPr>
          <w:rFonts w:ascii="Times New Roman" w:hAnsi="Times New Roman" w:cs="Times New Roman"/>
          <w:lang w:val="pl"/>
        </w:rPr>
        <w:t xml:space="preserve"> przypadku wystąpienia któregokolwiek z </w:t>
      </w:r>
      <w:r w:rsidR="007264B6">
        <w:rPr>
          <w:rFonts w:ascii="Times New Roman" w:hAnsi="Times New Roman" w:cs="Times New Roman"/>
          <w:lang w:val="pl"/>
        </w:rPr>
        <w:t xml:space="preserve">tych </w:t>
      </w:r>
      <w:r w:rsidR="007264B6" w:rsidRPr="007264B6">
        <w:rPr>
          <w:rFonts w:ascii="Times New Roman" w:hAnsi="Times New Roman" w:cs="Times New Roman"/>
          <w:lang w:val="pl"/>
        </w:rPr>
        <w:t>objawów związanych z ciężkimi reakcjami skórnymi, opisanymi w punkcie 4.</w:t>
      </w:r>
      <w:r w:rsidR="007264B6">
        <w:rPr>
          <w:rFonts w:ascii="Times New Roman" w:hAnsi="Times New Roman" w:cs="Times New Roman"/>
          <w:lang w:val="pl"/>
        </w:rPr>
        <w:t xml:space="preserve"> n</w:t>
      </w:r>
      <w:r w:rsidRPr="005C22E5">
        <w:rPr>
          <w:rFonts w:ascii="Times New Roman" w:hAnsi="Times New Roman" w:cs="Times New Roman"/>
          <w:lang w:val="pl"/>
        </w:rPr>
        <w:t xml:space="preserve">ależy przerwać stosowanie metamizolu i natychmiast zgłosić </w:t>
      </w:r>
      <w:r w:rsidR="007264B6">
        <w:rPr>
          <w:rFonts w:ascii="Times New Roman" w:hAnsi="Times New Roman" w:cs="Times New Roman"/>
          <w:lang w:val="pl"/>
        </w:rPr>
        <w:t>si</w:t>
      </w:r>
      <w:r w:rsidR="007264B6" w:rsidRPr="007264B6">
        <w:rPr>
          <w:rFonts w:ascii="Times New Roman" w:hAnsi="Times New Roman" w:cs="Times New Roman"/>
          <w:lang w:val="pl"/>
        </w:rPr>
        <w:t>ę po pomoc medyczną</w:t>
      </w:r>
      <w:r w:rsidRPr="005C22E5">
        <w:rPr>
          <w:rFonts w:ascii="Times New Roman" w:hAnsi="Times New Roman" w:cs="Times New Roman"/>
          <w:lang w:val="pl"/>
        </w:rPr>
        <w:t>.</w:t>
      </w:r>
    </w:p>
    <w:p w14:paraId="29B7573E" w14:textId="58BD5657" w:rsidR="004405E8" w:rsidRPr="005C22E5" w:rsidRDefault="00636D5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 xml:space="preserve">Jeśli u pacjenta kiedykolwiek wystąpiły ciężkie reakcje skórne, nie wolno w żadnym przypadku wznawiać leczenia </w:t>
      </w:r>
      <w:r w:rsidR="00CF3C6C">
        <w:rPr>
          <w:rFonts w:ascii="Times New Roman" w:hAnsi="Times New Roman" w:cs="Times New Roman"/>
          <w:lang w:val="pl"/>
        </w:rPr>
        <w:t>lekiem</w:t>
      </w:r>
      <w:r w:rsidRPr="005C22E5">
        <w:rPr>
          <w:rFonts w:ascii="Times New Roman" w:hAnsi="Times New Roman" w:cs="Times New Roman"/>
          <w:lang w:val="pl"/>
        </w:rPr>
        <w:t xml:space="preserve">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  <w:r w:rsidR="007264B6" w:rsidRPr="007264B6">
        <w:rPr>
          <w:rFonts w:ascii="Times New Roman" w:hAnsi="Times New Roman" w:cs="Times New Roman"/>
          <w:lang w:val="pl"/>
        </w:rPr>
        <w:t xml:space="preserve"> </w:t>
      </w:r>
      <w:r w:rsidRPr="005C22E5">
        <w:rPr>
          <w:rFonts w:ascii="Times New Roman" w:hAnsi="Times New Roman" w:cs="Times New Roman"/>
          <w:noProof/>
          <w:lang w:val="pl"/>
        </w:rPr>
        <w:t>(patrz punkt 4).</w:t>
      </w:r>
    </w:p>
    <w:p w14:paraId="735A080D" w14:textId="77777777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35A080E" w14:textId="72A62A22" w:rsidR="00E70994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lang w:val="pl-PL"/>
        </w:rPr>
      </w:pPr>
      <w:r w:rsidRPr="005C22E5">
        <w:rPr>
          <w:rFonts w:ascii="Times New Roman" w:hAnsi="Times New Roman" w:cs="Times New Roman"/>
          <w:b/>
          <w:bCs/>
          <w:lang w:val="pl"/>
        </w:rPr>
        <w:t xml:space="preserve">Lek </w:t>
      </w:r>
      <w:r w:rsidR="00B42C09" w:rsidRPr="00920924">
        <w:rPr>
          <w:rFonts w:ascii="Times New Roman" w:hAnsi="Times New Roman" w:cs="Times New Roman"/>
          <w:b/>
          <w:bCs/>
          <w:noProof/>
          <w:lang w:val="pl-PL"/>
        </w:rPr>
        <w:t>Pyreoxing</w:t>
      </w:r>
      <w:r w:rsidR="00CF3C6C" w:rsidRPr="00CF3C6C">
        <w:rPr>
          <w:rFonts w:ascii="Times New Roman" w:hAnsi="Times New Roman" w:cs="Times New Roman"/>
          <w:b/>
          <w:bCs/>
          <w:lang w:val="pl"/>
        </w:rPr>
        <w:t xml:space="preserve"> </w:t>
      </w:r>
      <w:r w:rsidRPr="005C22E5">
        <w:rPr>
          <w:rFonts w:ascii="Times New Roman" w:hAnsi="Times New Roman" w:cs="Times New Roman"/>
          <w:b/>
          <w:bCs/>
          <w:lang w:val="pl"/>
        </w:rPr>
        <w:t xml:space="preserve">a inne leki </w:t>
      </w:r>
    </w:p>
    <w:p w14:paraId="111B0008" w14:textId="3E8CD7D2" w:rsidR="00D622AC" w:rsidRPr="005C22E5" w:rsidRDefault="00D622AC" w:rsidP="005C22E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 xml:space="preserve">Należy powiedzieć lekarzowi lub farmaceucie o wszystkich lekach przyjmowanych przez pacjenta obecnie lub ostatnio, a także o lekach, które pacjent planuje przyjmować. </w:t>
      </w:r>
    </w:p>
    <w:p w14:paraId="31628A89" w14:textId="441324EA" w:rsidR="00BE4D6B" w:rsidRPr="005C22E5" w:rsidRDefault="00BE4D6B" w:rsidP="005C22E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val="pl-PL"/>
        </w:rPr>
      </w:pPr>
    </w:p>
    <w:p w14:paraId="5B2EAF83" w14:textId="77777777" w:rsidR="00BE4D6B" w:rsidRPr="005C22E5" w:rsidRDefault="00BE4D6B" w:rsidP="005C22E5">
      <w:pPr>
        <w:pStyle w:val="Teksttreci0"/>
        <w:rPr>
          <w:lang w:val="pl-PL"/>
        </w:rPr>
      </w:pPr>
      <w:r w:rsidRPr="005C22E5">
        <w:rPr>
          <w:lang w:val="pl"/>
        </w:rPr>
        <w:t>Metamizol może osłabiać działanie niektórych leków:</w:t>
      </w:r>
    </w:p>
    <w:p w14:paraId="2D7BF089" w14:textId="77777777" w:rsidR="00BE4D6B" w:rsidRPr="005C22E5" w:rsidRDefault="00BE4D6B" w:rsidP="005C22E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val="pl-PL"/>
        </w:rPr>
      </w:pPr>
    </w:p>
    <w:p w14:paraId="57D249E6" w14:textId="7B9CB873" w:rsidR="00D622AC" w:rsidRPr="005C22E5" w:rsidRDefault="00D622AC" w:rsidP="00AC74D4">
      <w:pPr>
        <w:pStyle w:val="Default"/>
        <w:numPr>
          <w:ilvl w:val="0"/>
          <w:numId w:val="5"/>
        </w:numPr>
        <w:ind w:left="567" w:hanging="567"/>
        <w:rPr>
          <w:rFonts w:ascii="Times New Roman" w:eastAsia="TimesNewRoman" w:hAnsi="Times New Roman" w:cs="Times New Roman"/>
          <w:color w:val="auto"/>
          <w:sz w:val="22"/>
          <w:szCs w:val="22"/>
        </w:rPr>
      </w:pPr>
      <w:proofErr w:type="spellStart"/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>bupropion</w:t>
      </w:r>
      <w:proofErr w:type="spellEnd"/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 xml:space="preserve">, lek stosowany w leczeniu depresji lub </w:t>
      </w:r>
      <w:r w:rsidR="00AC74D4" w:rsidRPr="00AC74D4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>wspomagająco podczas rzucania palenia</w:t>
      </w:r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 xml:space="preserve"> tytoniu; </w:t>
      </w:r>
    </w:p>
    <w:p w14:paraId="3969F318" w14:textId="77777777" w:rsidR="00D622AC" w:rsidRPr="005C22E5" w:rsidRDefault="00D622AC" w:rsidP="00AC74D4">
      <w:pPr>
        <w:pStyle w:val="Default"/>
        <w:numPr>
          <w:ilvl w:val="0"/>
          <w:numId w:val="5"/>
        </w:numPr>
        <w:ind w:left="567" w:hanging="567"/>
        <w:rPr>
          <w:rFonts w:ascii="Times New Roman" w:eastAsia="TimesNewRoman" w:hAnsi="Times New Roman" w:cs="Times New Roman"/>
          <w:color w:val="auto"/>
          <w:sz w:val="22"/>
          <w:szCs w:val="22"/>
        </w:rPr>
      </w:pPr>
      <w:proofErr w:type="spellStart"/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>efawirenz</w:t>
      </w:r>
      <w:proofErr w:type="spellEnd"/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 xml:space="preserve">, lek stosowany w leczeniu zakażenia wirusem HIV/AIDS; </w:t>
      </w:r>
    </w:p>
    <w:p w14:paraId="309FA0D5" w14:textId="6FC65E60" w:rsidR="00D622AC" w:rsidRPr="005C22E5" w:rsidRDefault="00D622AC" w:rsidP="00AC74D4">
      <w:pPr>
        <w:pStyle w:val="Default"/>
        <w:numPr>
          <w:ilvl w:val="0"/>
          <w:numId w:val="5"/>
        </w:numPr>
        <w:ind w:left="567" w:hanging="567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>metadon, lek stosowany w leczeniu uzależnienia od nielegalnych</w:t>
      </w:r>
      <w:r w:rsidR="00AC74D4" w:rsidRPr="00AC74D4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 xml:space="preserve"> środków odurzających</w:t>
      </w:r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 xml:space="preserve"> (tzw. </w:t>
      </w:r>
      <w:proofErr w:type="spellStart"/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>opioidów</w:t>
      </w:r>
      <w:proofErr w:type="spellEnd"/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 xml:space="preserve">); </w:t>
      </w:r>
    </w:p>
    <w:p w14:paraId="76E9DF4C" w14:textId="77777777" w:rsidR="00D622AC" w:rsidRPr="005C22E5" w:rsidRDefault="00D622AC" w:rsidP="00AC74D4">
      <w:pPr>
        <w:pStyle w:val="Default"/>
        <w:numPr>
          <w:ilvl w:val="0"/>
          <w:numId w:val="5"/>
        </w:numPr>
        <w:ind w:left="567" w:hanging="567"/>
        <w:rPr>
          <w:rFonts w:ascii="Times New Roman" w:eastAsia="TimesNewRoman" w:hAnsi="Times New Roman" w:cs="Times New Roman"/>
          <w:color w:val="auto"/>
          <w:sz w:val="22"/>
          <w:szCs w:val="22"/>
        </w:rPr>
      </w:pPr>
      <w:proofErr w:type="spellStart"/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>walproinian</w:t>
      </w:r>
      <w:proofErr w:type="spellEnd"/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 xml:space="preserve">, lek stosowany w leczeniu padaczki lub choroby afektywnej dwubiegunowej; </w:t>
      </w:r>
    </w:p>
    <w:p w14:paraId="0528513C" w14:textId="77777777" w:rsidR="00D622AC" w:rsidRPr="005C22E5" w:rsidRDefault="00D622AC" w:rsidP="00AC74D4">
      <w:pPr>
        <w:pStyle w:val="Default"/>
        <w:numPr>
          <w:ilvl w:val="0"/>
          <w:numId w:val="5"/>
        </w:numPr>
        <w:ind w:left="567" w:hanging="567"/>
        <w:rPr>
          <w:rFonts w:ascii="Times New Roman" w:eastAsia="TimesNewRoman" w:hAnsi="Times New Roman" w:cs="Times New Roman"/>
          <w:color w:val="auto"/>
          <w:sz w:val="22"/>
          <w:szCs w:val="22"/>
        </w:rPr>
      </w:pPr>
      <w:proofErr w:type="spellStart"/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>takrolimus</w:t>
      </w:r>
      <w:proofErr w:type="spellEnd"/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 xml:space="preserve">, lek stosowany w zapobieganiu odrzuceniu przeszczepu u pacjentów po przeszczepieniu narządów; </w:t>
      </w:r>
    </w:p>
    <w:p w14:paraId="3FF9B5A0" w14:textId="56BAC30A" w:rsidR="008A67EF" w:rsidRPr="005C22E5" w:rsidRDefault="008A67EF" w:rsidP="00AC74D4">
      <w:pPr>
        <w:pStyle w:val="Default"/>
        <w:numPr>
          <w:ilvl w:val="0"/>
          <w:numId w:val="5"/>
        </w:numPr>
        <w:ind w:left="567" w:hanging="567"/>
        <w:rPr>
          <w:rFonts w:ascii="Times New Roman" w:eastAsia="TimesNewRoman" w:hAnsi="Times New Roman" w:cs="Times New Roman"/>
          <w:color w:val="auto"/>
          <w:sz w:val="22"/>
          <w:szCs w:val="22"/>
        </w:rPr>
      </w:pPr>
      <w:proofErr w:type="spellStart"/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>sertralina</w:t>
      </w:r>
      <w:proofErr w:type="spellEnd"/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>, lek stosowany w leczeniu depresji;</w:t>
      </w:r>
    </w:p>
    <w:p w14:paraId="76C1308D" w14:textId="176D9780" w:rsidR="00D622AC" w:rsidRPr="005C22E5" w:rsidRDefault="00197E1A" w:rsidP="00AC74D4">
      <w:pPr>
        <w:pStyle w:val="Default"/>
        <w:numPr>
          <w:ilvl w:val="0"/>
          <w:numId w:val="5"/>
        </w:numPr>
        <w:ind w:left="567" w:hanging="567"/>
        <w:rPr>
          <w:rFonts w:ascii="Times New Roman" w:eastAsia="TimesNewRoman" w:hAnsi="Times New Roman" w:cs="Times New Roman"/>
          <w:color w:val="auto"/>
          <w:sz w:val="22"/>
          <w:szCs w:val="22"/>
        </w:rPr>
      </w:pPr>
      <w:proofErr w:type="spellStart"/>
      <w:r w:rsidRPr="005C22E5">
        <w:rPr>
          <w:rFonts w:ascii="Times New Roman" w:hAnsi="Times New Roman" w:cs="Times New Roman"/>
          <w:sz w:val="22"/>
          <w:szCs w:val="22"/>
          <w:lang w:val="pl"/>
        </w:rPr>
        <w:t>cyklosporyna</w:t>
      </w:r>
      <w:proofErr w:type="spellEnd"/>
      <w:r w:rsidRPr="005C22E5">
        <w:rPr>
          <w:rFonts w:ascii="Times New Roman" w:hAnsi="Times New Roman" w:cs="Times New Roman"/>
          <w:color w:val="auto"/>
          <w:sz w:val="22"/>
          <w:szCs w:val="22"/>
          <w:lang w:val="pl"/>
        </w:rPr>
        <w:t xml:space="preserve">, lek </w:t>
      </w:r>
      <w:r w:rsidR="00AC74D4">
        <w:rPr>
          <w:rFonts w:ascii="Times New Roman" w:hAnsi="Times New Roman" w:cs="Times New Roman"/>
          <w:color w:val="auto"/>
          <w:sz w:val="22"/>
          <w:szCs w:val="22"/>
          <w:lang w:val="pl"/>
        </w:rPr>
        <w:t>hamujący</w:t>
      </w:r>
      <w:r w:rsidRPr="005C22E5">
        <w:rPr>
          <w:rFonts w:ascii="Times New Roman" w:hAnsi="Times New Roman" w:cs="Times New Roman"/>
          <w:color w:val="auto"/>
          <w:sz w:val="22"/>
          <w:szCs w:val="22"/>
          <w:lang w:val="pl"/>
        </w:rPr>
        <w:t xml:space="preserve"> aktywność układu odpornościowego.</w:t>
      </w:r>
    </w:p>
    <w:p w14:paraId="06DE0AD8" w14:textId="34A8D678" w:rsidR="006140BB" w:rsidRPr="005C22E5" w:rsidRDefault="006140BB" w:rsidP="005C22E5">
      <w:pPr>
        <w:pStyle w:val="Teksttreci0"/>
        <w:tabs>
          <w:tab w:val="left" w:pos="557"/>
        </w:tabs>
        <w:spacing w:after="40"/>
        <w:ind w:left="720"/>
        <w:rPr>
          <w:lang w:val="pl-PL"/>
        </w:rPr>
      </w:pPr>
    </w:p>
    <w:p w14:paraId="570E3CE3" w14:textId="1EE49A4D" w:rsidR="006140BB" w:rsidRPr="005C22E5" w:rsidRDefault="006140BB" w:rsidP="005C22E5">
      <w:pPr>
        <w:pStyle w:val="Teksttreci0"/>
        <w:spacing w:after="40"/>
        <w:rPr>
          <w:lang w:val="pl-PL"/>
        </w:rPr>
      </w:pPr>
      <w:r w:rsidRPr="005C22E5">
        <w:rPr>
          <w:lang w:val="pl"/>
        </w:rPr>
        <w:t xml:space="preserve">Lekarz </w:t>
      </w:r>
      <w:r w:rsidR="000F2522">
        <w:rPr>
          <w:lang w:val="pl"/>
        </w:rPr>
        <w:t>powinien</w:t>
      </w:r>
      <w:r w:rsidRPr="005C22E5">
        <w:rPr>
          <w:lang w:val="pl"/>
        </w:rPr>
        <w:t xml:space="preserve"> uważnie monitorować, czy pacjent przyjmuje metamizol w tym samym czasie co którykolwiek z wymienionych powyżej leków.</w:t>
      </w:r>
    </w:p>
    <w:p w14:paraId="4C5E30E2" w14:textId="77777777" w:rsidR="00F23268" w:rsidRPr="005C22E5" w:rsidRDefault="006140BB" w:rsidP="005C22E5">
      <w:pPr>
        <w:pStyle w:val="Teksttreci0"/>
        <w:spacing w:after="360"/>
        <w:rPr>
          <w:lang w:val="pl-PL"/>
        </w:rPr>
      </w:pPr>
      <w:r w:rsidRPr="005C22E5">
        <w:rPr>
          <w:lang w:val="pl"/>
        </w:rPr>
        <w:t xml:space="preserve">Dodanie metamizolu do </w:t>
      </w:r>
      <w:proofErr w:type="spellStart"/>
      <w:r w:rsidRPr="005C22E5">
        <w:rPr>
          <w:lang w:val="pl"/>
        </w:rPr>
        <w:t>metotreksatu</w:t>
      </w:r>
      <w:proofErr w:type="spellEnd"/>
      <w:r w:rsidRPr="005C22E5">
        <w:rPr>
          <w:lang w:val="pl"/>
        </w:rPr>
        <w:t xml:space="preserve"> (leku hamującego odporność) może nasilać niekorzystny wpływ </w:t>
      </w:r>
      <w:proofErr w:type="spellStart"/>
      <w:r w:rsidRPr="005C22E5">
        <w:rPr>
          <w:lang w:val="pl"/>
        </w:rPr>
        <w:t>metotreksatu</w:t>
      </w:r>
      <w:proofErr w:type="spellEnd"/>
      <w:r w:rsidRPr="005C22E5">
        <w:rPr>
          <w:lang w:val="pl"/>
        </w:rPr>
        <w:t xml:space="preserve"> w postaci działania toksycznego na układ krwiotwórczy, zwłaszcza u pacjentów w podeszłym wieku. Należy unikać jednoczesnego stosowania tych leków.</w:t>
      </w:r>
    </w:p>
    <w:p w14:paraId="66891C09" w14:textId="26EBF4DA" w:rsidR="00D622AC" w:rsidRPr="005C22E5" w:rsidRDefault="006140BB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5C22E5">
        <w:rPr>
          <w:rFonts w:ascii="Times New Roman" w:eastAsia="Times New Roman" w:hAnsi="Times New Roman" w:cs="Times New Roman"/>
          <w:lang w:val="pl"/>
        </w:rPr>
        <w:t xml:space="preserve">Należy zachować ostrożność podczas jednoczesnego stosowania leku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  <w:r w:rsidR="00B42C09" w:rsidRPr="000559E6" w:rsidDel="00B42C09">
        <w:rPr>
          <w:rFonts w:ascii="Times New Roman" w:eastAsia="Times New Roman" w:hAnsi="Times New Roman" w:cs="Times New Roman"/>
          <w:lang w:val="pl"/>
        </w:rPr>
        <w:t xml:space="preserve"> </w:t>
      </w:r>
      <w:r w:rsidRPr="005C22E5">
        <w:rPr>
          <w:rFonts w:ascii="Times New Roman" w:eastAsia="Times New Roman" w:hAnsi="Times New Roman" w:cs="Times New Roman"/>
          <w:lang w:val="pl"/>
        </w:rPr>
        <w:t>i aspiryny podawanej w celu zapobiegania zdarzeniom sercowym.</w:t>
      </w:r>
    </w:p>
    <w:p w14:paraId="49196222" w14:textId="77777777" w:rsidR="008F549C" w:rsidRPr="005C22E5" w:rsidRDefault="008F549C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735A0815" w14:textId="77777777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C22E5">
        <w:rPr>
          <w:rFonts w:ascii="Times New Roman" w:hAnsi="Times New Roman" w:cs="Times New Roman"/>
          <w:b/>
          <w:bCs/>
          <w:lang w:val="pl"/>
        </w:rPr>
        <w:lastRenderedPageBreak/>
        <w:t>Ciąża i karmienie piersią</w:t>
      </w:r>
    </w:p>
    <w:p w14:paraId="735A0816" w14:textId="5FBEB70F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noProof/>
          <w:lang w:val="pl"/>
        </w:rPr>
        <w:t xml:space="preserve">Jeśli pacjentka jest w ciąży lub karmi piersią, przypuszcza, że może być w ciąży, lub gdy planuje mieć dziecko, </w:t>
      </w:r>
      <w:r w:rsidRPr="005C22E5">
        <w:rPr>
          <w:rFonts w:ascii="Times New Roman" w:hAnsi="Times New Roman" w:cs="Times New Roman"/>
          <w:lang w:val="pl"/>
        </w:rPr>
        <w:t xml:space="preserve">powinna poradzić się lekarza lub farmaceuty przed zastosowaniem tego leku. </w:t>
      </w:r>
    </w:p>
    <w:p w14:paraId="0015461C" w14:textId="77777777" w:rsidR="00EC6ECA" w:rsidRPr="005C22E5" w:rsidRDefault="00EC6ECA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0D94BDA5" w14:textId="77777777" w:rsidR="00EC6ECA" w:rsidRPr="005C22E5" w:rsidRDefault="00EC6ECA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u w:val="single"/>
          <w:lang w:val="pl-PL"/>
        </w:rPr>
      </w:pPr>
      <w:r w:rsidRPr="005C22E5">
        <w:rPr>
          <w:rFonts w:ascii="Times New Roman" w:eastAsia="TimesNewRoman" w:hAnsi="Times New Roman" w:cs="Times New Roman"/>
          <w:u w:val="single"/>
          <w:lang w:val="pl"/>
        </w:rPr>
        <w:t>Ciąża</w:t>
      </w:r>
    </w:p>
    <w:p w14:paraId="1B835167" w14:textId="0E1627B6" w:rsidR="00F43BEB" w:rsidRPr="00E21B66" w:rsidRDefault="00EC6ECA" w:rsidP="005C22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pl"/>
        </w:rPr>
      </w:pPr>
      <w:r w:rsidRPr="005C22E5">
        <w:rPr>
          <w:rFonts w:ascii="Times New Roman" w:hAnsi="Times New Roman" w:cs="Times New Roman"/>
          <w:lang w:val="pl"/>
        </w:rPr>
        <w:t xml:space="preserve">Dostępne dane dotyczące stosowania metamizolu podczas pierwszych trzech miesięcy ciąży są ograniczone, ale nie wskazują na szkodliwy wpływ na płód. W wybranych przypadkach, gdy nie ma innych możliwości leczenia, </w:t>
      </w:r>
      <w:r w:rsidR="000559E6">
        <w:rPr>
          <w:rFonts w:ascii="Times New Roman" w:hAnsi="Times New Roman" w:cs="Times New Roman"/>
          <w:lang w:val="pl"/>
        </w:rPr>
        <w:t xml:space="preserve">po konsultacji z lekarzem lub farmaceutą </w:t>
      </w:r>
      <w:r w:rsidR="000559E6" w:rsidRPr="000559E6">
        <w:rPr>
          <w:rFonts w:ascii="Times New Roman" w:hAnsi="Times New Roman" w:cs="Times New Roman"/>
          <w:lang w:val="pl"/>
        </w:rPr>
        <w:t>pacjentka może przyjmować pojedyncze dawki metamizolu w pierwszym i drugim trymestrze</w:t>
      </w:r>
      <w:r w:rsidR="000559E6">
        <w:rPr>
          <w:rFonts w:ascii="Times New Roman" w:hAnsi="Times New Roman" w:cs="Times New Roman"/>
          <w:lang w:val="pl"/>
        </w:rPr>
        <w:t xml:space="preserve"> </w:t>
      </w:r>
      <w:r w:rsidR="000559E6" w:rsidRPr="000559E6">
        <w:rPr>
          <w:rFonts w:ascii="Times New Roman" w:hAnsi="Times New Roman" w:cs="Times New Roman"/>
          <w:lang w:val="pl"/>
        </w:rPr>
        <w:t xml:space="preserve">ciąży, pod warunkiem </w:t>
      </w:r>
      <w:r w:rsidR="000559E6">
        <w:rPr>
          <w:rFonts w:ascii="Times New Roman" w:hAnsi="Times New Roman" w:cs="Times New Roman"/>
          <w:lang w:val="pl"/>
        </w:rPr>
        <w:t>dokładnego</w:t>
      </w:r>
      <w:r w:rsidR="000559E6" w:rsidRPr="000559E6">
        <w:rPr>
          <w:rFonts w:ascii="Times New Roman" w:hAnsi="Times New Roman" w:cs="Times New Roman"/>
          <w:lang w:val="pl"/>
        </w:rPr>
        <w:t xml:space="preserve"> rozważenia korzyści i</w:t>
      </w:r>
      <w:r w:rsidR="00E21B66">
        <w:rPr>
          <w:rFonts w:ascii="Times New Roman" w:hAnsi="Times New Roman" w:cs="Times New Roman"/>
          <w:lang w:val="pl"/>
        </w:rPr>
        <w:t> </w:t>
      </w:r>
      <w:r w:rsidR="000559E6" w:rsidRPr="000559E6">
        <w:rPr>
          <w:rFonts w:ascii="Times New Roman" w:hAnsi="Times New Roman" w:cs="Times New Roman"/>
          <w:lang w:val="pl"/>
        </w:rPr>
        <w:t>zagrożeń związanych z przyjmowaniem metamizolu</w:t>
      </w:r>
      <w:r w:rsidR="000559E6">
        <w:rPr>
          <w:rFonts w:ascii="Times New Roman" w:hAnsi="Times New Roman" w:cs="Times New Roman"/>
          <w:lang w:val="pl"/>
        </w:rPr>
        <w:t>.</w:t>
      </w:r>
      <w:r w:rsidR="00E21B66">
        <w:rPr>
          <w:rFonts w:ascii="Times New Roman" w:hAnsi="Times New Roman" w:cs="Times New Roman"/>
          <w:lang w:val="pl"/>
        </w:rPr>
        <w:t xml:space="preserve"> Zasadniczo j</w:t>
      </w:r>
      <w:r w:rsidRPr="005C22E5">
        <w:rPr>
          <w:rFonts w:ascii="Times New Roman" w:hAnsi="Times New Roman" w:cs="Times New Roman"/>
          <w:lang w:val="pl"/>
        </w:rPr>
        <w:t>ednak nie zaleca się stosowania metamizolu podczas pierwszego i drugiego trymestru ciąży.</w:t>
      </w:r>
    </w:p>
    <w:p w14:paraId="7221938B" w14:textId="451D0A2A" w:rsidR="00EC6ECA" w:rsidRPr="005C22E5" w:rsidRDefault="00E21B66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>
        <w:rPr>
          <w:rFonts w:ascii="Times New Roman" w:hAnsi="Times New Roman" w:cs="Times New Roman"/>
          <w:lang w:val="pl"/>
        </w:rPr>
        <w:t>N</w:t>
      </w:r>
      <w:r w:rsidRPr="00E21B66">
        <w:rPr>
          <w:rFonts w:ascii="Times New Roman" w:hAnsi="Times New Roman" w:cs="Times New Roman"/>
          <w:lang w:val="pl"/>
        </w:rPr>
        <w:t xml:space="preserve">ie wolno przyjmować leku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  <w:r w:rsidRPr="00E21B66">
        <w:rPr>
          <w:rFonts w:ascii="Times New Roman" w:hAnsi="Times New Roman" w:cs="Times New Roman"/>
          <w:lang w:val="pl"/>
        </w:rPr>
        <w:t xml:space="preserve"> </w:t>
      </w:r>
      <w:r>
        <w:rPr>
          <w:rFonts w:ascii="Times New Roman" w:hAnsi="Times New Roman" w:cs="Times New Roman"/>
          <w:lang w:val="pl"/>
        </w:rPr>
        <w:t>w</w:t>
      </w:r>
      <w:r w:rsidR="00EC6ECA" w:rsidRPr="005C22E5">
        <w:rPr>
          <w:rFonts w:ascii="Times New Roman" w:hAnsi="Times New Roman" w:cs="Times New Roman"/>
          <w:lang w:val="pl"/>
        </w:rPr>
        <w:t> ciągu ostatnich trzech miesięcy ciąży ze względu na zwiększone ryzyko powikłań u matki i dziecka (</w:t>
      </w:r>
      <w:r>
        <w:rPr>
          <w:rFonts w:ascii="Times New Roman" w:hAnsi="Times New Roman" w:cs="Times New Roman"/>
          <w:lang w:val="pl"/>
        </w:rPr>
        <w:t>krwotoki</w:t>
      </w:r>
      <w:r w:rsidR="00EC6ECA" w:rsidRPr="005C22E5">
        <w:rPr>
          <w:rFonts w:ascii="Times New Roman" w:hAnsi="Times New Roman" w:cs="Times New Roman"/>
          <w:lang w:val="pl"/>
        </w:rPr>
        <w:t>, przedwczesne zamknięcie przewodu tętniczego</w:t>
      </w:r>
      <w:r>
        <w:rPr>
          <w:rFonts w:ascii="Times New Roman" w:hAnsi="Times New Roman" w:cs="Times New Roman"/>
          <w:lang w:val="pl"/>
        </w:rPr>
        <w:t xml:space="preserve"> u dziecka</w:t>
      </w:r>
      <w:r w:rsidR="00EC6ECA" w:rsidRPr="005C22E5">
        <w:rPr>
          <w:rFonts w:ascii="Times New Roman" w:hAnsi="Times New Roman" w:cs="Times New Roman"/>
          <w:lang w:val="pl"/>
        </w:rPr>
        <w:t xml:space="preserve">, tzw. przewód </w:t>
      </w:r>
      <w:proofErr w:type="spellStart"/>
      <w:r w:rsidR="00EC6ECA" w:rsidRPr="005C22E5">
        <w:rPr>
          <w:rFonts w:ascii="Times New Roman" w:hAnsi="Times New Roman" w:cs="Times New Roman"/>
          <w:lang w:val="pl"/>
        </w:rPr>
        <w:t>Botalla</w:t>
      </w:r>
      <w:proofErr w:type="spellEnd"/>
      <w:r w:rsidR="00EC6ECA" w:rsidRPr="005C22E5">
        <w:rPr>
          <w:rFonts w:ascii="Times New Roman" w:hAnsi="Times New Roman" w:cs="Times New Roman"/>
          <w:lang w:val="pl"/>
        </w:rPr>
        <w:t>, który zamyka się naturalnie po urodzeniu).</w:t>
      </w:r>
    </w:p>
    <w:p w14:paraId="1191BDDC" w14:textId="77777777" w:rsidR="00F308EF" w:rsidRPr="005C22E5" w:rsidRDefault="00F308EF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18FE7780" w14:textId="77777777" w:rsidR="00EC6ECA" w:rsidRPr="005C22E5" w:rsidRDefault="00EC6ECA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u w:val="single"/>
          <w:lang w:val="pl"/>
        </w:rPr>
        <w:t xml:space="preserve">Karmienie piersią </w:t>
      </w:r>
    </w:p>
    <w:p w14:paraId="0997AE22" w14:textId="7CECA887" w:rsidR="00D11832" w:rsidRPr="00E21B66" w:rsidRDefault="00E21B66" w:rsidP="00E2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"/>
        </w:rPr>
      </w:pPr>
      <w:r w:rsidRPr="00E21B66">
        <w:rPr>
          <w:rFonts w:ascii="Times New Roman" w:hAnsi="Times New Roman" w:cs="Times New Roman"/>
          <w:lang w:val="pl"/>
        </w:rPr>
        <w:t>Produkty rozkładu metamizolu</w:t>
      </w:r>
      <w:r w:rsidR="000559E6" w:rsidRPr="000559E6">
        <w:rPr>
          <w:lang w:val="pl-PL"/>
        </w:rPr>
        <w:t xml:space="preserve"> </w:t>
      </w:r>
      <w:r w:rsidR="000559E6" w:rsidRPr="000559E6">
        <w:rPr>
          <w:rFonts w:ascii="Times New Roman" w:hAnsi="Times New Roman" w:cs="Times New Roman"/>
          <w:lang w:val="pl"/>
        </w:rPr>
        <w:t>w znacznych ilościach</w:t>
      </w:r>
      <w:r w:rsidR="00D347E0" w:rsidRPr="005C22E5">
        <w:rPr>
          <w:rFonts w:ascii="Times New Roman" w:hAnsi="Times New Roman" w:cs="Times New Roman"/>
          <w:lang w:val="pl"/>
        </w:rPr>
        <w:t xml:space="preserve"> przenikają do mleka </w:t>
      </w:r>
      <w:r w:rsidR="000559E6">
        <w:rPr>
          <w:rFonts w:ascii="Times New Roman" w:hAnsi="Times New Roman" w:cs="Times New Roman"/>
          <w:lang w:val="pl"/>
        </w:rPr>
        <w:t>kobiecego</w:t>
      </w:r>
      <w:r w:rsidR="00D347E0" w:rsidRPr="005C22E5">
        <w:rPr>
          <w:rFonts w:ascii="Times New Roman" w:hAnsi="Times New Roman" w:cs="Times New Roman"/>
          <w:lang w:val="pl"/>
        </w:rPr>
        <w:t xml:space="preserve"> i nie można wykluczyć </w:t>
      </w:r>
      <w:r>
        <w:rPr>
          <w:rFonts w:ascii="Times New Roman" w:hAnsi="Times New Roman" w:cs="Times New Roman"/>
          <w:lang w:val="pl"/>
        </w:rPr>
        <w:t>ryzyka</w:t>
      </w:r>
      <w:r w:rsidR="00D347E0" w:rsidRPr="005C22E5">
        <w:rPr>
          <w:rFonts w:ascii="Times New Roman" w:hAnsi="Times New Roman" w:cs="Times New Roman"/>
          <w:lang w:val="pl"/>
        </w:rPr>
        <w:t xml:space="preserve"> dla niemowlęcia karmionego piersią. </w:t>
      </w:r>
      <w:r w:rsidRPr="00E21B66">
        <w:rPr>
          <w:rFonts w:ascii="Times New Roman" w:hAnsi="Times New Roman" w:cs="Times New Roman"/>
          <w:lang w:val="pl"/>
        </w:rPr>
        <w:t xml:space="preserve">Z tego względu należy w szczególności unikać wielokrotnego </w:t>
      </w:r>
      <w:r w:rsidR="00D347E0" w:rsidRPr="005C22E5">
        <w:rPr>
          <w:rFonts w:ascii="Times New Roman" w:hAnsi="Times New Roman" w:cs="Times New Roman"/>
          <w:lang w:val="pl"/>
        </w:rPr>
        <w:t xml:space="preserve">stosowania metamizolu w okresie karmienia piersią. W przypadku podania pojedynczej dawki metamizolu zaleca się, aby matki odciągały mleko z piersi i je </w:t>
      </w:r>
      <w:r>
        <w:rPr>
          <w:rFonts w:ascii="Times New Roman" w:hAnsi="Times New Roman" w:cs="Times New Roman"/>
          <w:lang w:val="pl"/>
        </w:rPr>
        <w:t>usuwały</w:t>
      </w:r>
      <w:r w:rsidR="00D347E0" w:rsidRPr="005C22E5">
        <w:rPr>
          <w:rFonts w:ascii="Times New Roman" w:hAnsi="Times New Roman" w:cs="Times New Roman"/>
          <w:lang w:val="pl"/>
        </w:rPr>
        <w:t xml:space="preserve"> przez 48 godzin </w:t>
      </w:r>
      <w:r>
        <w:rPr>
          <w:rFonts w:ascii="Times New Roman" w:hAnsi="Times New Roman" w:cs="Times New Roman"/>
          <w:lang w:val="pl"/>
        </w:rPr>
        <w:t>od</w:t>
      </w:r>
      <w:r w:rsidR="00D347E0" w:rsidRPr="005C22E5">
        <w:rPr>
          <w:rFonts w:ascii="Times New Roman" w:hAnsi="Times New Roman" w:cs="Times New Roman"/>
          <w:lang w:val="pl"/>
        </w:rPr>
        <w:t xml:space="preserve"> przyjęci</w:t>
      </w:r>
      <w:r>
        <w:rPr>
          <w:rFonts w:ascii="Times New Roman" w:hAnsi="Times New Roman" w:cs="Times New Roman"/>
          <w:lang w:val="pl"/>
        </w:rPr>
        <w:t>a</w:t>
      </w:r>
      <w:r w:rsidR="00D347E0" w:rsidRPr="005C22E5">
        <w:rPr>
          <w:rFonts w:ascii="Times New Roman" w:hAnsi="Times New Roman" w:cs="Times New Roman"/>
          <w:lang w:val="pl"/>
        </w:rPr>
        <w:t xml:space="preserve"> </w:t>
      </w:r>
      <w:r>
        <w:rPr>
          <w:rFonts w:ascii="Times New Roman" w:hAnsi="Times New Roman" w:cs="Times New Roman"/>
          <w:lang w:val="pl"/>
        </w:rPr>
        <w:t>leku</w:t>
      </w:r>
      <w:r w:rsidR="00D347E0" w:rsidRPr="005C22E5">
        <w:rPr>
          <w:rFonts w:ascii="Times New Roman" w:hAnsi="Times New Roman" w:cs="Times New Roman"/>
          <w:lang w:val="pl"/>
        </w:rPr>
        <w:t xml:space="preserve">. </w:t>
      </w:r>
    </w:p>
    <w:p w14:paraId="735A0818" w14:textId="77777777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35A0819" w14:textId="5F172405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bookmarkStart w:id="0" w:name="_Hlk70592482"/>
      <w:r w:rsidRPr="005C22E5">
        <w:rPr>
          <w:rFonts w:ascii="Times New Roman" w:hAnsi="Times New Roman" w:cs="Times New Roman"/>
          <w:b/>
          <w:bCs/>
          <w:lang w:val="pl"/>
        </w:rPr>
        <w:t>Prowadzenie pojazdów i obsługiwanie maszyn</w:t>
      </w:r>
    </w:p>
    <w:bookmarkEnd w:id="0"/>
    <w:p w14:paraId="1870CD61" w14:textId="51A1AE1A" w:rsidR="00352F5D" w:rsidRPr="005C22E5" w:rsidRDefault="003F3584" w:rsidP="005C22E5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W zalecanym zakresie dawkowania lek nie wpływa na zdolność prowadzenia pojazdów i obsługiwania maszyn.</w:t>
      </w:r>
    </w:p>
    <w:p w14:paraId="735A081A" w14:textId="061BC53A" w:rsidR="00E70994" w:rsidRPr="005C22E5" w:rsidRDefault="00352F5D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 xml:space="preserve">Stosowanie leku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  <w:r w:rsidR="00E21B66" w:rsidRPr="00E21B66">
        <w:rPr>
          <w:rFonts w:ascii="Times New Roman" w:hAnsi="Times New Roman" w:cs="Times New Roman"/>
          <w:lang w:val="pl"/>
        </w:rPr>
        <w:t xml:space="preserve"> </w:t>
      </w:r>
      <w:r w:rsidR="00E21B66">
        <w:rPr>
          <w:rFonts w:ascii="Times New Roman" w:hAnsi="Times New Roman" w:cs="Times New Roman"/>
          <w:lang w:val="pl"/>
        </w:rPr>
        <w:t xml:space="preserve">w dawkach </w:t>
      </w:r>
      <w:r w:rsidRPr="005C22E5">
        <w:rPr>
          <w:rFonts w:ascii="Times New Roman" w:hAnsi="Times New Roman" w:cs="Times New Roman"/>
          <w:lang w:val="pl"/>
        </w:rPr>
        <w:t>większych niż zalecane i równoczesne spożywanie alkoholu zaburzają zdolność reakcji i koncentracji. W takich przypadkach nie należy prowadzić pojazdów ani obsługiwać maszyn.</w:t>
      </w:r>
    </w:p>
    <w:p w14:paraId="735A081B" w14:textId="212F6E81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AAD004A" w14:textId="7269FEFC" w:rsidR="00471529" w:rsidRPr="005C22E5" w:rsidRDefault="00471529" w:rsidP="005C22E5">
      <w:pPr>
        <w:spacing w:line="240" w:lineRule="auto"/>
        <w:rPr>
          <w:rFonts w:ascii="Times New Roman" w:hAnsi="Times New Roman" w:cs="Times New Roman"/>
          <w:color w:val="000000" w:themeColor="text1"/>
          <w:lang w:val="pl-PL"/>
        </w:rPr>
      </w:pPr>
      <w:r w:rsidRPr="005C22E5">
        <w:rPr>
          <w:rFonts w:ascii="Times New Roman" w:hAnsi="Times New Roman" w:cs="Times New Roman"/>
          <w:color w:val="000000" w:themeColor="text1"/>
          <w:lang w:val="pl"/>
        </w:rPr>
        <w:t xml:space="preserve">Lek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  <w:r w:rsidR="00E21B66" w:rsidRPr="00E21B66">
        <w:rPr>
          <w:rFonts w:ascii="Times New Roman" w:hAnsi="Times New Roman" w:cs="Times New Roman"/>
          <w:color w:val="000000" w:themeColor="text1"/>
          <w:lang w:val="pl"/>
        </w:rPr>
        <w:t xml:space="preserve"> </w:t>
      </w:r>
      <w:r w:rsidRPr="005C22E5">
        <w:rPr>
          <w:rFonts w:ascii="Times New Roman" w:hAnsi="Times New Roman" w:cs="Times New Roman"/>
          <w:color w:val="000000" w:themeColor="text1"/>
          <w:lang w:val="pl"/>
        </w:rPr>
        <w:t>zawiera sód.</w:t>
      </w:r>
    </w:p>
    <w:p w14:paraId="59F10C25" w14:textId="5D29DAA4" w:rsidR="00471529" w:rsidRPr="005C22E5" w:rsidRDefault="00471529" w:rsidP="005C2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pl-PL"/>
        </w:rPr>
      </w:pPr>
      <w:r w:rsidRPr="005C22E5">
        <w:rPr>
          <w:rFonts w:ascii="Times New Roman" w:hAnsi="Times New Roman" w:cs="Times New Roman"/>
          <w:color w:val="000000" w:themeColor="text1"/>
          <w:lang w:val="pl"/>
        </w:rPr>
        <w:t>Ten lek zawiera 32,7 mg sodu (głównego składnika soli kuchennej) w każdym mililitrze roztworu do wstrzykiwań</w:t>
      </w:r>
      <w:r w:rsidR="00682BF9">
        <w:rPr>
          <w:rFonts w:ascii="Times New Roman" w:hAnsi="Times New Roman" w:cs="Times New Roman"/>
          <w:color w:val="000000" w:themeColor="text1"/>
          <w:lang w:val="pl"/>
        </w:rPr>
        <w:t xml:space="preserve"> co o</w:t>
      </w:r>
      <w:r w:rsidRPr="005C22E5">
        <w:rPr>
          <w:rFonts w:ascii="Times New Roman" w:hAnsi="Times New Roman" w:cs="Times New Roman"/>
          <w:color w:val="000000" w:themeColor="text1"/>
          <w:lang w:val="pl"/>
        </w:rPr>
        <w:t>dpowiada 1,63% maksymalnej zalecanej dobowej dawki sodu w diecie u osób dorosłych.</w:t>
      </w:r>
    </w:p>
    <w:p w14:paraId="735A081C" w14:textId="5A5B575B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D331FB0" w14:textId="77777777" w:rsidR="004A6A47" w:rsidRPr="005C22E5" w:rsidRDefault="004A6A47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35A081D" w14:textId="6767FD3C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C22E5">
        <w:rPr>
          <w:rFonts w:ascii="Times New Roman" w:hAnsi="Times New Roman" w:cs="Times New Roman"/>
          <w:b/>
          <w:bCs/>
          <w:lang w:val="pl"/>
        </w:rPr>
        <w:t xml:space="preserve">3. Jak stosować lek </w:t>
      </w:r>
      <w:r w:rsidR="00B42C09" w:rsidRPr="00920924">
        <w:rPr>
          <w:rFonts w:ascii="Times New Roman" w:hAnsi="Times New Roman" w:cs="Times New Roman"/>
          <w:b/>
          <w:bCs/>
          <w:noProof/>
          <w:lang w:val="pl-PL"/>
        </w:rPr>
        <w:t>Pyreoxing</w:t>
      </w:r>
    </w:p>
    <w:p w14:paraId="735A081E" w14:textId="77777777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735A081F" w14:textId="03C33B68" w:rsidR="00E70994" w:rsidRPr="005C22E5" w:rsidRDefault="00E70994" w:rsidP="005C22E5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Ten lek należy zawsze stosować zgodnie z zaleceniami lekarza lub farmaceuty. W razie wątpliwości należy zwrócić się do lekarza lub farmaceuty.</w:t>
      </w:r>
    </w:p>
    <w:p w14:paraId="193336BF" w14:textId="6C07E0E1" w:rsidR="00352F5D" w:rsidRPr="005C22E5" w:rsidRDefault="000D6E50" w:rsidP="005C22E5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Dawka jest uzależniona od nasilenia bólu lub gorączki oraz od</w:t>
      </w:r>
      <w:r w:rsidR="00D02A2B">
        <w:rPr>
          <w:rFonts w:ascii="Times New Roman" w:hAnsi="Times New Roman" w:cs="Times New Roman"/>
          <w:lang w:val="pl"/>
        </w:rPr>
        <w:t xml:space="preserve"> indywidualnej</w:t>
      </w:r>
      <w:r w:rsidR="001E2191" w:rsidRPr="008E727F">
        <w:rPr>
          <w:rFonts w:ascii="Times New Roman" w:eastAsia="TimesNewRoman" w:hAnsi="Times New Roman" w:cs="Times New Roman"/>
          <w:lang w:val="pl-PL"/>
        </w:rPr>
        <w:t xml:space="preserve"> </w:t>
      </w:r>
      <w:r w:rsidRPr="005C22E5">
        <w:rPr>
          <w:rFonts w:ascii="Times New Roman" w:hAnsi="Times New Roman" w:cs="Times New Roman"/>
          <w:lang w:val="pl"/>
        </w:rPr>
        <w:t xml:space="preserve">wrażliwości danego pacjenta na lek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  <w:r w:rsidRPr="005C22E5">
        <w:rPr>
          <w:rFonts w:ascii="Times New Roman" w:hAnsi="Times New Roman" w:cs="Times New Roman"/>
          <w:lang w:val="pl"/>
        </w:rPr>
        <w:t xml:space="preserve">. Lek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  <w:r w:rsidR="00434428" w:rsidRPr="00434428">
        <w:rPr>
          <w:rFonts w:ascii="Times New Roman" w:hAnsi="Times New Roman" w:cs="Times New Roman"/>
          <w:lang w:val="pl"/>
        </w:rPr>
        <w:t xml:space="preserve"> </w:t>
      </w:r>
      <w:r w:rsidRPr="005C22E5">
        <w:rPr>
          <w:rFonts w:ascii="Times New Roman" w:hAnsi="Times New Roman" w:cs="Times New Roman"/>
          <w:lang w:val="pl"/>
        </w:rPr>
        <w:t>będzie podawany w postaci wstrzyknięcia do żyły lub mięśnia. Początek działania obserwuje się po 30 minutach od podania, a czas działania wynosi zwykle około 4 godzin.</w:t>
      </w:r>
    </w:p>
    <w:p w14:paraId="124CC70E" w14:textId="267D16E4" w:rsidR="000D6E50" w:rsidRPr="005C22E5" w:rsidRDefault="000D6E50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5EF64FE4" w14:textId="77777777" w:rsidR="00FC51EA" w:rsidRPr="00FC51EA" w:rsidRDefault="00FC51EA" w:rsidP="00FC5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"/>
        </w:rPr>
      </w:pPr>
      <w:r w:rsidRPr="00FC51EA">
        <w:rPr>
          <w:rFonts w:ascii="Times New Roman" w:hAnsi="Times New Roman" w:cs="Times New Roman"/>
          <w:lang w:val="pl"/>
        </w:rPr>
        <w:t xml:space="preserve">Jeśli działanie przeciwbólowe po podaniu pojedynczej dawki leku jest niewystarczające lub, gdy </w:t>
      </w:r>
    </w:p>
    <w:p w14:paraId="27E3E226" w14:textId="3471669F" w:rsidR="000D6E50" w:rsidRPr="005C22E5" w:rsidRDefault="00FC51EA" w:rsidP="00FC5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FC51EA">
        <w:rPr>
          <w:rFonts w:ascii="Times New Roman" w:hAnsi="Times New Roman" w:cs="Times New Roman"/>
          <w:lang w:val="pl"/>
        </w:rPr>
        <w:t>działanie to ustąpi po pewnym czasie</w:t>
      </w:r>
      <w:r w:rsidR="000D6E50" w:rsidRPr="005C22E5">
        <w:rPr>
          <w:rFonts w:ascii="Times New Roman" w:hAnsi="Times New Roman" w:cs="Times New Roman"/>
          <w:lang w:val="pl"/>
        </w:rPr>
        <w:t>, lekarz może podać kolejną dawkę</w:t>
      </w:r>
      <w:r>
        <w:rPr>
          <w:rFonts w:ascii="Times New Roman" w:hAnsi="Times New Roman" w:cs="Times New Roman"/>
          <w:lang w:val="pl"/>
        </w:rPr>
        <w:t xml:space="preserve">, nie przekraczając </w:t>
      </w:r>
      <w:r w:rsidR="000D6E50" w:rsidRPr="005C22E5">
        <w:rPr>
          <w:rFonts w:ascii="Times New Roman" w:hAnsi="Times New Roman" w:cs="Times New Roman"/>
          <w:lang w:val="pl"/>
        </w:rPr>
        <w:t>maksymalnej dawki dobowej wymienionej w poniższej tabeli.</w:t>
      </w:r>
    </w:p>
    <w:p w14:paraId="50D0ADC0" w14:textId="70A6760A" w:rsidR="000D6E50" w:rsidRPr="005C22E5" w:rsidRDefault="000D6E50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1B52BE59" w14:textId="77777777" w:rsidR="000D6E50" w:rsidRPr="005C22E5" w:rsidRDefault="000D6E50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i/>
          <w:iCs/>
          <w:lang w:val="pl"/>
        </w:rPr>
        <w:lastRenderedPageBreak/>
        <w:t xml:space="preserve">Dorośli i młodzież w wieku 15 lat i powyżej </w:t>
      </w:r>
    </w:p>
    <w:p w14:paraId="1ED9CFCD" w14:textId="2D4405E7" w:rsidR="000D6E50" w:rsidRPr="005C22E5" w:rsidRDefault="000D6E50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Osobom dorosłym i młodzieży w wieku 15 lat i </w:t>
      </w:r>
      <w:r w:rsidR="001E2191">
        <w:rPr>
          <w:rFonts w:ascii="Times New Roman" w:hAnsi="Times New Roman" w:cs="Times New Roman"/>
          <w:lang w:val="pl"/>
        </w:rPr>
        <w:t>powyżej</w:t>
      </w:r>
      <w:r w:rsidR="001E2191" w:rsidRPr="005C22E5">
        <w:rPr>
          <w:rFonts w:ascii="Times New Roman" w:hAnsi="Times New Roman" w:cs="Times New Roman"/>
          <w:lang w:val="pl"/>
        </w:rPr>
        <w:t xml:space="preserve"> </w:t>
      </w:r>
      <w:r w:rsidRPr="005C22E5">
        <w:rPr>
          <w:rFonts w:ascii="Times New Roman" w:hAnsi="Times New Roman" w:cs="Times New Roman"/>
          <w:lang w:val="pl"/>
        </w:rPr>
        <w:t xml:space="preserve">(o masie ciała przekraczającej 53 kg) lek można podawać dożylnie lub domięśniowo w postaci pojedynczej dawki 1–2 ml; w razie potrzeby pojedynczą dawkę można zwiększyć do 5 ml (co odpowiada 2500 mg leku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  <w:r w:rsidRPr="005C22E5">
        <w:rPr>
          <w:rFonts w:ascii="Times New Roman" w:hAnsi="Times New Roman" w:cs="Times New Roman"/>
          <w:lang w:val="pl"/>
        </w:rPr>
        <w:t xml:space="preserve">). Maksymalna dawka dobowa wynosi 8 ml; w razie potrzeby dawkę dobową można zwiększyć do 10 ml (co odpowiada 5000 mg leku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  <w:r w:rsidR="00FC51EA">
        <w:rPr>
          <w:rFonts w:ascii="Times New Roman" w:hAnsi="Times New Roman" w:cs="Times New Roman"/>
          <w:lang w:val="pl"/>
        </w:rPr>
        <w:t>).</w:t>
      </w:r>
    </w:p>
    <w:p w14:paraId="6A4F5AB5" w14:textId="77777777" w:rsidR="000D6E50" w:rsidRPr="005C22E5" w:rsidRDefault="000D6E50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1D036C12" w14:textId="77777777" w:rsidR="000D6E50" w:rsidRPr="005C22E5" w:rsidRDefault="000D6E50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i/>
          <w:iCs/>
          <w:lang w:val="pl"/>
        </w:rPr>
        <w:t xml:space="preserve">Niemowlęta i dzieci </w:t>
      </w:r>
    </w:p>
    <w:p w14:paraId="3D0B4EED" w14:textId="4EC46DA5" w:rsidR="000D6E50" w:rsidRPr="005C22E5" w:rsidRDefault="000D6E50" w:rsidP="005C22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Należy kierować się następującym schematem podawania pojedynczych dawek dożylnych lub domięśniowych: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169"/>
        <w:gridCol w:w="2769"/>
      </w:tblGrid>
      <w:tr w:rsidR="000D6E50" w:rsidRPr="005C22E5" w14:paraId="653133E6" w14:textId="77777777" w:rsidTr="00506E17">
        <w:trPr>
          <w:trHeight w:val="121"/>
        </w:trPr>
        <w:tc>
          <w:tcPr>
            <w:tcW w:w="3369" w:type="dxa"/>
          </w:tcPr>
          <w:p w14:paraId="188EC72C" w14:textId="3C2960EB" w:rsidR="000D6E50" w:rsidRPr="005C22E5" w:rsidRDefault="000D6E50" w:rsidP="005C22E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NewRoman" w:hAnsi="Times New Roman" w:cs="Times New Roman"/>
                <w:lang w:val="pl-PL"/>
              </w:rPr>
            </w:pPr>
            <w:r w:rsidRPr="005C22E5">
              <w:rPr>
                <w:rFonts w:ascii="Times New Roman" w:eastAsia="TimesNewRoman" w:hAnsi="Times New Roman" w:cs="Times New Roman"/>
                <w:lang w:val="pl"/>
              </w:rPr>
              <w:t>Przedział wiekowy dzieci (masa ciała)</w:t>
            </w:r>
          </w:p>
        </w:tc>
        <w:tc>
          <w:tcPr>
            <w:tcW w:w="2169" w:type="dxa"/>
          </w:tcPr>
          <w:p w14:paraId="387B9D0E" w14:textId="1A77E36D" w:rsidR="000D6E50" w:rsidRPr="005C22E5" w:rsidRDefault="000D6E50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eastAsia="TimesNewRoman" w:hAnsi="Times New Roman" w:cs="Times New Roman"/>
                <w:lang w:val="pl"/>
              </w:rPr>
              <w:t>Dawka pojedyncza</w:t>
            </w:r>
          </w:p>
        </w:tc>
        <w:tc>
          <w:tcPr>
            <w:tcW w:w="2769" w:type="dxa"/>
          </w:tcPr>
          <w:p w14:paraId="7944F328" w14:textId="045C8E17" w:rsidR="000D6E50" w:rsidRPr="005C22E5" w:rsidRDefault="000D6E50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eastAsia="TimesNewRoman" w:hAnsi="Times New Roman" w:cs="Times New Roman"/>
                <w:lang w:val="pl"/>
              </w:rPr>
              <w:t>Maksymalna dawka dobowa</w:t>
            </w:r>
          </w:p>
        </w:tc>
      </w:tr>
      <w:tr w:rsidR="000D6E50" w:rsidRPr="005C22E5" w14:paraId="1FE0F791" w14:textId="77777777" w:rsidTr="00506E17">
        <w:trPr>
          <w:trHeight w:val="121"/>
        </w:trPr>
        <w:tc>
          <w:tcPr>
            <w:tcW w:w="3369" w:type="dxa"/>
          </w:tcPr>
          <w:p w14:paraId="2BA0EDD3" w14:textId="53B3BE43" w:rsidR="000D6E50" w:rsidRPr="005C22E5" w:rsidRDefault="000D6E50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val="pl-PL"/>
              </w:rPr>
            </w:pPr>
            <w:r w:rsidRPr="005C22E5">
              <w:rPr>
                <w:rFonts w:ascii="Times New Roman" w:eastAsia="TimesNewRoman" w:hAnsi="Times New Roman" w:cs="Times New Roman"/>
                <w:lang w:val="pl"/>
              </w:rPr>
              <w:t>Niemowlęta w wieku od 3 do 11 miesięcy (ok. 5–8 kg)</w:t>
            </w:r>
          </w:p>
        </w:tc>
        <w:tc>
          <w:tcPr>
            <w:tcW w:w="2169" w:type="dxa"/>
          </w:tcPr>
          <w:p w14:paraId="57D08760" w14:textId="3196FAAA" w:rsidR="000D6E50" w:rsidRPr="005C22E5" w:rsidRDefault="000D6E50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eastAsia="TimesNewRoman" w:hAnsi="Times New Roman" w:cs="Times New Roman"/>
                <w:lang w:val="pl"/>
              </w:rPr>
              <w:t>0,1–0,2 ml</w:t>
            </w:r>
          </w:p>
        </w:tc>
        <w:tc>
          <w:tcPr>
            <w:tcW w:w="2769" w:type="dxa"/>
          </w:tcPr>
          <w:p w14:paraId="75E651E7" w14:textId="081B1BEF" w:rsidR="000D6E50" w:rsidRPr="005C22E5" w:rsidRDefault="000D6E50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eastAsia="TimesNewRoman" w:hAnsi="Times New Roman" w:cs="Times New Roman"/>
                <w:lang w:val="pl"/>
              </w:rPr>
              <w:t>0,4–0,8 ml</w:t>
            </w:r>
          </w:p>
        </w:tc>
      </w:tr>
      <w:tr w:rsidR="000D6E50" w:rsidRPr="005C22E5" w14:paraId="5284E92E" w14:textId="77777777" w:rsidTr="00506E17">
        <w:trPr>
          <w:trHeight w:val="121"/>
        </w:trPr>
        <w:tc>
          <w:tcPr>
            <w:tcW w:w="3369" w:type="dxa"/>
          </w:tcPr>
          <w:p w14:paraId="148637D7" w14:textId="130B60F1" w:rsidR="000D6E50" w:rsidRPr="005C22E5" w:rsidRDefault="000D6E50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val="pl-PL"/>
              </w:rPr>
            </w:pPr>
            <w:r w:rsidRPr="005C22E5">
              <w:rPr>
                <w:rFonts w:ascii="Times New Roman" w:hAnsi="Times New Roman" w:cs="Times New Roman"/>
                <w:lang w:val="pl"/>
              </w:rPr>
              <w:t>od 1 roku do 3 lat (ok. 9–15 kg)</w:t>
            </w:r>
          </w:p>
        </w:tc>
        <w:tc>
          <w:tcPr>
            <w:tcW w:w="2169" w:type="dxa"/>
          </w:tcPr>
          <w:p w14:paraId="7C18F57D" w14:textId="3692AB1C" w:rsidR="000D6E50" w:rsidRPr="005C22E5" w:rsidRDefault="000D6E50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eastAsia="TimesNewRoman" w:hAnsi="Times New Roman" w:cs="Times New Roman"/>
                <w:lang w:val="pl"/>
              </w:rPr>
              <w:t>0,2–0,5 ml</w:t>
            </w:r>
          </w:p>
        </w:tc>
        <w:tc>
          <w:tcPr>
            <w:tcW w:w="2769" w:type="dxa"/>
          </w:tcPr>
          <w:p w14:paraId="648EBA10" w14:textId="33BB156F" w:rsidR="000D6E50" w:rsidRPr="005C22E5" w:rsidRDefault="000D6E50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eastAsia="TimesNewRoman" w:hAnsi="Times New Roman" w:cs="Times New Roman"/>
                <w:lang w:val="pl"/>
              </w:rPr>
              <w:t>0,8–2,0 ml</w:t>
            </w:r>
          </w:p>
        </w:tc>
      </w:tr>
      <w:tr w:rsidR="000D6E50" w:rsidRPr="005C22E5" w14:paraId="73EE4D2E" w14:textId="77777777" w:rsidTr="00506E17">
        <w:trPr>
          <w:trHeight w:val="121"/>
        </w:trPr>
        <w:tc>
          <w:tcPr>
            <w:tcW w:w="3369" w:type="dxa"/>
          </w:tcPr>
          <w:p w14:paraId="0D51DCFC" w14:textId="2B320902" w:rsidR="000D6E50" w:rsidRPr="005C22E5" w:rsidRDefault="000D6E50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hAnsi="Times New Roman" w:cs="Times New Roman"/>
                <w:lang w:val="pl"/>
              </w:rPr>
              <w:t xml:space="preserve">4–6 lat (ok. 16–23 kg) </w:t>
            </w:r>
          </w:p>
        </w:tc>
        <w:tc>
          <w:tcPr>
            <w:tcW w:w="2169" w:type="dxa"/>
          </w:tcPr>
          <w:p w14:paraId="18976978" w14:textId="399068B8" w:rsidR="000D6E50" w:rsidRPr="005C22E5" w:rsidRDefault="000D6E50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eastAsia="TimesNewRoman" w:hAnsi="Times New Roman" w:cs="Times New Roman"/>
                <w:lang w:val="pl"/>
              </w:rPr>
              <w:t>0,3–0,8 ml</w:t>
            </w:r>
          </w:p>
        </w:tc>
        <w:tc>
          <w:tcPr>
            <w:tcW w:w="2769" w:type="dxa"/>
          </w:tcPr>
          <w:p w14:paraId="03B5E3BC" w14:textId="740E3042" w:rsidR="000D6E50" w:rsidRPr="005C22E5" w:rsidRDefault="000D6E50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eastAsia="TimesNewRoman" w:hAnsi="Times New Roman" w:cs="Times New Roman"/>
                <w:lang w:val="pl"/>
              </w:rPr>
              <w:t>1,2–3,2 ml</w:t>
            </w:r>
          </w:p>
        </w:tc>
      </w:tr>
      <w:tr w:rsidR="000D6E50" w:rsidRPr="005C22E5" w14:paraId="7980F632" w14:textId="77777777" w:rsidTr="00506E17">
        <w:trPr>
          <w:trHeight w:val="121"/>
        </w:trPr>
        <w:tc>
          <w:tcPr>
            <w:tcW w:w="3369" w:type="dxa"/>
          </w:tcPr>
          <w:p w14:paraId="02B3F4E6" w14:textId="5F5E56E0" w:rsidR="000D6E50" w:rsidRPr="005C22E5" w:rsidRDefault="000D6E50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hAnsi="Times New Roman" w:cs="Times New Roman"/>
                <w:lang w:val="pl"/>
              </w:rPr>
              <w:t xml:space="preserve">7–9 lat (ok. 24–30 kg) </w:t>
            </w:r>
          </w:p>
        </w:tc>
        <w:tc>
          <w:tcPr>
            <w:tcW w:w="2169" w:type="dxa"/>
          </w:tcPr>
          <w:p w14:paraId="4CC6DEC4" w14:textId="4137B5CD" w:rsidR="000D6E50" w:rsidRPr="005C22E5" w:rsidRDefault="00FD636E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eastAsia="TimesNewRoman" w:hAnsi="Times New Roman" w:cs="Times New Roman"/>
                <w:lang w:val="pl"/>
              </w:rPr>
              <w:t>0,4–1,0 ml</w:t>
            </w:r>
          </w:p>
        </w:tc>
        <w:tc>
          <w:tcPr>
            <w:tcW w:w="2769" w:type="dxa"/>
          </w:tcPr>
          <w:p w14:paraId="045CDC6D" w14:textId="11465EEE" w:rsidR="000D6E50" w:rsidRPr="005C22E5" w:rsidRDefault="00FD636E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eastAsia="TimesNewRoman" w:hAnsi="Times New Roman" w:cs="Times New Roman"/>
                <w:lang w:val="pl"/>
              </w:rPr>
              <w:t>1,6-4,0 ml</w:t>
            </w:r>
          </w:p>
        </w:tc>
      </w:tr>
      <w:tr w:rsidR="000D6E50" w:rsidRPr="005C22E5" w14:paraId="5FFC4975" w14:textId="77777777" w:rsidTr="00506E17">
        <w:trPr>
          <w:trHeight w:val="121"/>
        </w:trPr>
        <w:tc>
          <w:tcPr>
            <w:tcW w:w="3369" w:type="dxa"/>
          </w:tcPr>
          <w:p w14:paraId="7ACA10A2" w14:textId="53B481B0" w:rsidR="000D6E50" w:rsidRPr="005C22E5" w:rsidRDefault="00FD636E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hAnsi="Times New Roman" w:cs="Times New Roman"/>
                <w:lang w:val="pl"/>
              </w:rPr>
              <w:t xml:space="preserve">10–12 lat (ok. 31–45 kg) </w:t>
            </w:r>
          </w:p>
        </w:tc>
        <w:tc>
          <w:tcPr>
            <w:tcW w:w="2169" w:type="dxa"/>
          </w:tcPr>
          <w:p w14:paraId="34ED0765" w14:textId="4EE023BD" w:rsidR="000D6E50" w:rsidRPr="005C22E5" w:rsidRDefault="00FD636E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eastAsia="TimesNewRoman" w:hAnsi="Times New Roman" w:cs="Times New Roman"/>
                <w:lang w:val="pl"/>
              </w:rPr>
              <w:t>0,5–1,4 ml</w:t>
            </w:r>
          </w:p>
        </w:tc>
        <w:tc>
          <w:tcPr>
            <w:tcW w:w="2769" w:type="dxa"/>
          </w:tcPr>
          <w:p w14:paraId="044180F1" w14:textId="07C7EB98" w:rsidR="000D6E50" w:rsidRPr="005C22E5" w:rsidRDefault="00FD636E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eastAsia="TimesNewRoman" w:hAnsi="Times New Roman" w:cs="Times New Roman"/>
                <w:lang w:val="pl"/>
              </w:rPr>
              <w:t>2,0–5,6 ml</w:t>
            </w:r>
          </w:p>
        </w:tc>
      </w:tr>
      <w:tr w:rsidR="000D6E50" w:rsidRPr="005C22E5" w14:paraId="1BF4C2C0" w14:textId="77777777" w:rsidTr="00506E17">
        <w:trPr>
          <w:trHeight w:val="121"/>
        </w:trPr>
        <w:tc>
          <w:tcPr>
            <w:tcW w:w="3369" w:type="dxa"/>
          </w:tcPr>
          <w:p w14:paraId="30D74E25" w14:textId="1BA5E935" w:rsidR="000D6E50" w:rsidRPr="005C22E5" w:rsidRDefault="00FD636E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hAnsi="Times New Roman" w:cs="Times New Roman"/>
                <w:lang w:val="pl"/>
              </w:rPr>
              <w:t xml:space="preserve">13–14 lat (ok. 46–53 kg) </w:t>
            </w:r>
          </w:p>
        </w:tc>
        <w:tc>
          <w:tcPr>
            <w:tcW w:w="2169" w:type="dxa"/>
          </w:tcPr>
          <w:p w14:paraId="4EDDB6EF" w14:textId="46F05891" w:rsidR="000D6E50" w:rsidRPr="005C22E5" w:rsidRDefault="00FD636E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eastAsia="TimesNewRoman" w:hAnsi="Times New Roman" w:cs="Times New Roman"/>
                <w:lang w:val="pl"/>
              </w:rPr>
              <w:t>0,8–1,8 ml</w:t>
            </w:r>
          </w:p>
        </w:tc>
        <w:tc>
          <w:tcPr>
            <w:tcW w:w="2769" w:type="dxa"/>
          </w:tcPr>
          <w:p w14:paraId="2ABFD255" w14:textId="0D828301" w:rsidR="000D6E50" w:rsidRPr="005C22E5" w:rsidRDefault="00FD636E" w:rsidP="005C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C22E5">
              <w:rPr>
                <w:rFonts w:ascii="Times New Roman" w:eastAsia="TimesNewRoman" w:hAnsi="Times New Roman" w:cs="Times New Roman"/>
                <w:lang w:val="pl"/>
              </w:rPr>
              <w:t>3,2–7,2 ml</w:t>
            </w:r>
          </w:p>
        </w:tc>
      </w:tr>
    </w:tbl>
    <w:p w14:paraId="4D55DFE1" w14:textId="727A8C7B" w:rsidR="00FD636E" w:rsidRPr="005C22E5" w:rsidRDefault="00FD636E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888FA22" w14:textId="43128E15" w:rsidR="00FD636E" w:rsidRPr="005C22E5" w:rsidRDefault="00FD636E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lang w:val="pl-PL"/>
        </w:rPr>
      </w:pPr>
      <w:r w:rsidRPr="005C22E5">
        <w:rPr>
          <w:rFonts w:ascii="Times New Roman" w:eastAsia="TimesNewRoman" w:hAnsi="Times New Roman" w:cs="Times New Roman"/>
          <w:i/>
          <w:iCs/>
          <w:lang w:val="pl"/>
        </w:rPr>
        <w:t>Osoby w podeszłym wieku oraz pacjenci w złym stanie ogólnym</w:t>
      </w:r>
      <w:r w:rsidR="008B5D80">
        <w:rPr>
          <w:rFonts w:ascii="Times New Roman" w:eastAsia="TimesNewRoman" w:hAnsi="Times New Roman" w:cs="Times New Roman"/>
          <w:i/>
          <w:iCs/>
          <w:lang w:val="pl"/>
        </w:rPr>
        <w:t xml:space="preserve"> </w:t>
      </w:r>
      <w:r w:rsidR="0058728B" w:rsidRPr="0058728B">
        <w:rPr>
          <w:rFonts w:ascii="Times New Roman" w:eastAsia="TimesNewRoman" w:hAnsi="Times New Roman" w:cs="Times New Roman"/>
          <w:i/>
          <w:iCs/>
          <w:lang w:val="pl"/>
        </w:rPr>
        <w:t xml:space="preserve">i (lub) </w:t>
      </w:r>
      <w:r w:rsidRPr="005C22E5">
        <w:rPr>
          <w:rFonts w:ascii="Times New Roman" w:eastAsia="TimesNewRoman" w:hAnsi="Times New Roman" w:cs="Times New Roman"/>
          <w:i/>
          <w:iCs/>
          <w:lang w:val="pl"/>
        </w:rPr>
        <w:t>z upośledzeniem czynności nerek</w:t>
      </w:r>
    </w:p>
    <w:p w14:paraId="441F236C" w14:textId="1121C968" w:rsidR="00FD636E" w:rsidRPr="005C22E5" w:rsidRDefault="00FD636E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W przypadku pacjentów w podeszłym wieku, osłabionych oraz z zaburzeniami czynności nerek dawkę należy obniżyć ze względu na możliwość wydłużenia eliminacji produktów metabolizmu metamizolu.</w:t>
      </w:r>
    </w:p>
    <w:p w14:paraId="4282F271" w14:textId="77777777" w:rsidR="00FD636E" w:rsidRPr="005C22E5" w:rsidRDefault="00FD636E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799EBD5F" w14:textId="77777777" w:rsidR="00FD636E" w:rsidRPr="005C22E5" w:rsidRDefault="00FD636E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lang w:val="pl-PL"/>
        </w:rPr>
      </w:pPr>
      <w:r w:rsidRPr="005C22E5">
        <w:rPr>
          <w:rFonts w:ascii="Times New Roman" w:eastAsia="TimesNewRoman" w:hAnsi="Times New Roman" w:cs="Times New Roman"/>
          <w:i/>
          <w:iCs/>
          <w:lang w:val="pl"/>
        </w:rPr>
        <w:t>Pacjenci z zaburzeniami czynności nerek lub wątroby</w:t>
      </w:r>
    </w:p>
    <w:p w14:paraId="626C5167" w14:textId="53217DCF" w:rsidR="00FD636E" w:rsidRPr="005C22E5" w:rsidRDefault="00FD636E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 xml:space="preserve">Ponieważ szybkość eliminacji jest zmniejszona u pacjentów z zaburzeniami czynności nerek lub wątroby, należy unikać wielokrotnego podawania dużych dawek, gdyż u tych pacjentów tempo eliminacji leku jest </w:t>
      </w:r>
      <w:r w:rsidR="00622D03">
        <w:rPr>
          <w:rFonts w:ascii="Times New Roman" w:hAnsi="Times New Roman" w:cs="Times New Roman"/>
          <w:lang w:val="pl"/>
        </w:rPr>
        <w:t>spowolnione</w:t>
      </w:r>
      <w:r w:rsidRPr="005C22E5">
        <w:rPr>
          <w:rFonts w:ascii="Times New Roman" w:hAnsi="Times New Roman" w:cs="Times New Roman"/>
          <w:lang w:val="pl"/>
        </w:rPr>
        <w:t xml:space="preserve">. Nie jest wymagane zmniejszenie dawki w przypadku krótkoterminowego stosowania. Nie ma </w:t>
      </w:r>
      <w:r w:rsidR="00622D03">
        <w:rPr>
          <w:rFonts w:ascii="Times New Roman" w:hAnsi="Times New Roman" w:cs="Times New Roman"/>
          <w:lang w:val="pl"/>
        </w:rPr>
        <w:t xml:space="preserve">dostępnych danych </w:t>
      </w:r>
      <w:r w:rsidRPr="005C22E5">
        <w:rPr>
          <w:rFonts w:ascii="Times New Roman" w:hAnsi="Times New Roman" w:cs="Times New Roman"/>
          <w:lang w:val="pl"/>
        </w:rPr>
        <w:t>dotycząc</w:t>
      </w:r>
      <w:r w:rsidR="00622D03">
        <w:rPr>
          <w:rFonts w:ascii="Times New Roman" w:hAnsi="Times New Roman" w:cs="Times New Roman"/>
          <w:lang w:val="pl"/>
        </w:rPr>
        <w:t>ych</w:t>
      </w:r>
      <w:r w:rsidRPr="005C22E5">
        <w:rPr>
          <w:rFonts w:ascii="Times New Roman" w:hAnsi="Times New Roman" w:cs="Times New Roman"/>
          <w:lang w:val="pl"/>
        </w:rPr>
        <w:t xml:space="preserve"> długoterminowego</w:t>
      </w:r>
      <w:r w:rsidR="00622D03">
        <w:rPr>
          <w:rFonts w:ascii="Times New Roman" w:hAnsi="Times New Roman" w:cs="Times New Roman"/>
          <w:lang w:val="pl"/>
        </w:rPr>
        <w:t xml:space="preserve"> s</w:t>
      </w:r>
      <w:r w:rsidR="00622D03" w:rsidRPr="00622D03">
        <w:rPr>
          <w:rFonts w:ascii="Times New Roman" w:hAnsi="Times New Roman" w:cs="Times New Roman"/>
          <w:lang w:val="pl"/>
        </w:rPr>
        <w:t>tosowania</w:t>
      </w:r>
      <w:r w:rsidR="00622D03">
        <w:rPr>
          <w:rFonts w:ascii="Times New Roman" w:hAnsi="Times New Roman" w:cs="Times New Roman"/>
          <w:lang w:val="pl"/>
        </w:rPr>
        <w:t xml:space="preserve"> leku.</w:t>
      </w:r>
    </w:p>
    <w:p w14:paraId="2464A7E0" w14:textId="77777777" w:rsidR="00761FA8" w:rsidRPr="005C22E5" w:rsidRDefault="00761FA8" w:rsidP="005C22E5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Istotne jest, aby podczas wykonywania wstrzyknięcia pacjent pozostawał pod nadzorem lekarza, który będzie ściśle monitorował stan pacjenta po podaniu leku.</w:t>
      </w:r>
    </w:p>
    <w:p w14:paraId="735A0824" w14:textId="77777777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35A0825" w14:textId="01650C19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C22E5">
        <w:rPr>
          <w:rFonts w:ascii="Times New Roman" w:hAnsi="Times New Roman" w:cs="Times New Roman"/>
          <w:b/>
          <w:bCs/>
          <w:lang w:val="pl"/>
        </w:rPr>
        <w:t xml:space="preserve">Zastosowanie większej niż zalecana dawki leku </w:t>
      </w:r>
      <w:r w:rsidR="00B42C09" w:rsidRPr="00920924">
        <w:rPr>
          <w:rFonts w:ascii="Times New Roman" w:hAnsi="Times New Roman" w:cs="Times New Roman"/>
          <w:b/>
          <w:bCs/>
          <w:noProof/>
          <w:lang w:val="pl-PL"/>
        </w:rPr>
        <w:t>Pyreoxing</w:t>
      </w:r>
    </w:p>
    <w:p w14:paraId="735A0826" w14:textId="6931E87F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 xml:space="preserve">Lek podawany </w:t>
      </w:r>
      <w:r w:rsidR="00622D03">
        <w:rPr>
          <w:rFonts w:ascii="Times New Roman" w:eastAsia="TimesNewRoman" w:hAnsi="Times New Roman" w:cs="Times New Roman"/>
          <w:lang w:val="pl"/>
        </w:rPr>
        <w:t xml:space="preserve">jest </w:t>
      </w:r>
      <w:r w:rsidRPr="005C22E5">
        <w:rPr>
          <w:rFonts w:ascii="Times New Roman" w:eastAsia="TimesNewRoman" w:hAnsi="Times New Roman" w:cs="Times New Roman"/>
          <w:lang w:val="pl"/>
        </w:rPr>
        <w:t>przez lekarza, dlatego przedawkowanie jest mało prawdopodobne.</w:t>
      </w:r>
    </w:p>
    <w:p w14:paraId="735A0827" w14:textId="5B900CBA" w:rsidR="00E70994" w:rsidRPr="005C22E5" w:rsidRDefault="00761FA8" w:rsidP="005C22E5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Do objawów ostrego przedawkowania należą nudności, wymioty, ból brzucha, zaburzenia czynności nerek</w:t>
      </w:r>
      <w:r w:rsidR="008B5D80">
        <w:rPr>
          <w:rFonts w:ascii="Times New Roman" w:hAnsi="Times New Roman" w:cs="Times New Roman"/>
          <w:lang w:val="pl"/>
        </w:rPr>
        <w:t xml:space="preserve"> </w:t>
      </w:r>
      <w:r w:rsidR="0058728B" w:rsidRPr="008B5D80">
        <w:rPr>
          <w:rFonts w:ascii="Times New Roman" w:hAnsi="Times New Roman" w:cs="Times New Roman"/>
          <w:lang w:val="pl-PL"/>
        </w:rPr>
        <w:t xml:space="preserve">i (lub) </w:t>
      </w:r>
      <w:r w:rsidRPr="005C22E5">
        <w:rPr>
          <w:rFonts w:ascii="Times New Roman" w:hAnsi="Times New Roman" w:cs="Times New Roman"/>
          <w:lang w:val="pl"/>
        </w:rPr>
        <w:t>niewydolność nerek, zaburzenia czynności układu nerwowego (zawroty głowy, senność, śpiączka, napady drgawkowe), niedociśnienie i zaburzenia rytmu serca. Bardzo wysokie dawki mogą powodować nieszkodliwe zabarwienie moczu na kolor czerwony.</w:t>
      </w:r>
    </w:p>
    <w:p w14:paraId="5E199843" w14:textId="0479D550" w:rsidR="00761FA8" w:rsidRPr="005C22E5" w:rsidRDefault="00761FA8" w:rsidP="005C22E5">
      <w:pPr>
        <w:spacing w:line="240" w:lineRule="auto"/>
        <w:jc w:val="both"/>
        <w:rPr>
          <w:rFonts w:ascii="Times New Roman" w:hAnsi="Times New Roman" w:cs="Times New Roman"/>
          <w:b/>
          <w:lang w:val="pl-PL"/>
        </w:rPr>
      </w:pPr>
      <w:r w:rsidRPr="005C22E5">
        <w:rPr>
          <w:rFonts w:ascii="Times New Roman" w:hAnsi="Times New Roman" w:cs="Times New Roman"/>
          <w:b/>
          <w:bCs/>
          <w:lang w:val="pl"/>
        </w:rPr>
        <w:t xml:space="preserve">Pominięcie zastosowania leku </w:t>
      </w:r>
      <w:r w:rsidR="00B42C09" w:rsidRPr="00920924">
        <w:rPr>
          <w:rFonts w:ascii="Times New Roman" w:hAnsi="Times New Roman" w:cs="Times New Roman"/>
          <w:b/>
          <w:bCs/>
          <w:noProof/>
          <w:lang w:val="pl-PL"/>
        </w:rPr>
        <w:t>Pyreoxing</w:t>
      </w:r>
    </w:p>
    <w:p w14:paraId="16F3295E" w14:textId="77777777" w:rsidR="00761FA8" w:rsidRPr="005C22E5" w:rsidRDefault="00761FA8" w:rsidP="005C22E5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Nie należy stosować dawki podwójnej w celu uzupełnienia pominiętej dawki.</w:t>
      </w:r>
    </w:p>
    <w:p w14:paraId="735A0829" w14:textId="77777777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W razie jakichkolwiek dalszych wątpliwości związanych ze stosowaniem tego leku należy zwrócić się do lekarza lub farmaceuty.</w:t>
      </w:r>
    </w:p>
    <w:p w14:paraId="735A082A" w14:textId="77777777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735A082B" w14:textId="77777777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735A082C" w14:textId="77777777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C22E5">
        <w:rPr>
          <w:rFonts w:ascii="Times New Roman" w:hAnsi="Times New Roman" w:cs="Times New Roman"/>
          <w:b/>
          <w:bCs/>
          <w:lang w:val="pl"/>
        </w:rPr>
        <w:t>4. Możliwe działania niepożądane</w:t>
      </w:r>
    </w:p>
    <w:p w14:paraId="573AE6E5" w14:textId="77777777" w:rsidR="00267987" w:rsidRPr="005C22E5" w:rsidRDefault="00267987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735A082D" w14:textId="15C2CDBE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Jak każdy lek, lek ten może powodować działania niepożądane, chociaż nie u każdego one wystąpią.</w:t>
      </w:r>
    </w:p>
    <w:p w14:paraId="6D5BB0A9" w14:textId="71953DE6" w:rsidR="00C11E3F" w:rsidRPr="005C22E5" w:rsidRDefault="00C11E3F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5376553B" w14:textId="77777777" w:rsidR="000D1FA9" w:rsidRDefault="00C11E3F" w:rsidP="005C22E5">
      <w:pPr>
        <w:pStyle w:val="Default"/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</w:pPr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 xml:space="preserve">Działania niepożądane zostały uszeregowane według częstości występowania zgodnie z następującą konwencją: bardzo często (≥ 1/10), często (≥ 1/100 do &lt; 1/10); niezbyt często (≥ 1/1000 do &lt; 1/100); rzadko (≥ 1/10 000 do &lt; 1/1000); bardzo rzadko (&lt; 1/10 000); częstość nieznana (częstość nie może być określona na podstawie dostępnych danych). </w:t>
      </w:r>
    </w:p>
    <w:p w14:paraId="26224709" w14:textId="50F90271" w:rsidR="00D536F7" w:rsidRPr="005C22E5" w:rsidRDefault="00C11E3F" w:rsidP="005C22E5">
      <w:pPr>
        <w:pStyle w:val="Default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 xml:space="preserve">Należy przerwać stosowanie leku </w:t>
      </w:r>
      <w:r w:rsidR="00B42C09" w:rsidRPr="00662C9A">
        <w:rPr>
          <w:rFonts w:ascii="Times New Roman" w:hAnsi="Times New Roman" w:cs="Times New Roman"/>
          <w:noProof/>
        </w:rPr>
        <w:t>Pyreoxing</w:t>
      </w:r>
      <w:r w:rsidR="000D1FA9" w:rsidRPr="000D1FA9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 xml:space="preserve"> </w:t>
      </w:r>
      <w:r w:rsidRPr="005C22E5">
        <w:rPr>
          <w:rFonts w:ascii="Times New Roman" w:eastAsia="TimesNewRoman" w:hAnsi="Times New Roman" w:cs="Times New Roman"/>
          <w:color w:val="auto"/>
          <w:sz w:val="22"/>
          <w:szCs w:val="22"/>
          <w:lang w:val="pl"/>
        </w:rPr>
        <w:t xml:space="preserve">i natychmiast skontaktować się z lekarzem w przypadku wystąpienia któregokolwiek z następujących objawów: </w:t>
      </w:r>
    </w:p>
    <w:p w14:paraId="0C0BE696" w14:textId="63FF7E73" w:rsidR="00D536F7" w:rsidRPr="005C22E5" w:rsidRDefault="00FF2737" w:rsidP="005C22E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 xml:space="preserve">nudności lub wymioty, gorączka, uczucie zmęczenia, utrata apetytu, ciemne zabarwienie moczu, jasne zabarwienie stolca, zażółcenie skóry lub </w:t>
      </w:r>
      <w:r w:rsidR="000D1FA9" w:rsidRPr="000D1FA9">
        <w:rPr>
          <w:rFonts w:ascii="Times New Roman" w:eastAsia="TimesNewRoman" w:hAnsi="Times New Roman" w:cs="Times New Roman"/>
          <w:lang w:val="pl"/>
        </w:rPr>
        <w:t xml:space="preserve">białkówek </w:t>
      </w:r>
      <w:r w:rsidRPr="005C22E5">
        <w:rPr>
          <w:rFonts w:ascii="Times New Roman" w:eastAsia="TimesNewRoman" w:hAnsi="Times New Roman" w:cs="Times New Roman"/>
          <w:lang w:val="pl"/>
        </w:rPr>
        <w:t>oczu, świąd, wysypka lub ból w górnej części brzucha. Objawy te mogą być oznakami uszkodzenia wątroby. Patrz również punkt 2 „Ostrzeżenia i środki ostrożności”.</w:t>
      </w:r>
    </w:p>
    <w:p w14:paraId="2121BB7C" w14:textId="7316CE97" w:rsidR="00D536F7" w:rsidRPr="005C22E5" w:rsidRDefault="00D536F7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26E140D1" w14:textId="250A41CB" w:rsidR="00131231" w:rsidRPr="005C22E5" w:rsidRDefault="00131231" w:rsidP="005C22E5">
      <w:pPr>
        <w:spacing w:line="240" w:lineRule="auto"/>
        <w:jc w:val="both"/>
        <w:rPr>
          <w:rFonts w:ascii="Times New Roman" w:hAnsi="Times New Roman" w:cs="Times New Roman"/>
          <w:b/>
          <w:lang w:val="pl-PL"/>
        </w:rPr>
      </w:pPr>
      <w:r w:rsidRPr="005C22E5">
        <w:rPr>
          <w:rFonts w:ascii="Times New Roman" w:hAnsi="Times New Roman" w:cs="Times New Roman"/>
          <w:b/>
          <w:bCs/>
          <w:lang w:val="pl"/>
        </w:rPr>
        <w:t xml:space="preserve">Należy przerwać stosowanie metamizolu i natychmiast zgłosić się do lekarza w przypadku wystąpienia któregokolwiek z następujących działań niepożądanych </w:t>
      </w:r>
      <w:r w:rsidRPr="005C22E5">
        <w:rPr>
          <w:rFonts w:ascii="Times New Roman" w:hAnsi="Times New Roman" w:cs="Times New Roman"/>
          <w:lang w:val="pl"/>
        </w:rPr>
        <w:t>(częstość występowania nieznana)</w:t>
      </w:r>
      <w:r w:rsidRPr="005C22E5">
        <w:rPr>
          <w:rFonts w:ascii="Times New Roman" w:hAnsi="Times New Roman" w:cs="Times New Roman"/>
          <w:b/>
          <w:bCs/>
          <w:lang w:val="pl"/>
        </w:rPr>
        <w:t>:</w:t>
      </w:r>
    </w:p>
    <w:p w14:paraId="2A8060E7" w14:textId="77777777" w:rsidR="00131231" w:rsidRPr="005C22E5" w:rsidRDefault="00131231" w:rsidP="005C22E5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- czerwonawe, płaskie, tarczowate lub okrągłe plamy na tułowiu, często z pęcherzami w środkowej części, łuszczenie się skóry, owrzodzenia w jamie ustnej, gardle, nosie, na narządach płciowych i w obrębie oczu. Wystąpienie tych groźnych wysypek skórnych mogą poprzedzać gorączka i objawy grypopodobne (zespół Stevensa-Johnsona; toksyczne martwicze oddzielanie się naskórka);</w:t>
      </w:r>
    </w:p>
    <w:p w14:paraId="1A1242A1" w14:textId="77777777" w:rsidR="00131231" w:rsidRPr="005C22E5" w:rsidRDefault="00131231" w:rsidP="005C22E5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- rozległa wysypka, wysoka temperatura ciała i powiększone węzły chłonne (zespół DRESS lub zespół nadwrażliwości na lek).</w:t>
      </w:r>
    </w:p>
    <w:p w14:paraId="4D007DA7" w14:textId="77777777" w:rsidR="00131231" w:rsidRPr="005C22E5" w:rsidRDefault="0013123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192742E6" w14:textId="77777777" w:rsidR="00F668C8" w:rsidRPr="005C22E5" w:rsidRDefault="00F668C8" w:rsidP="00ED293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b/>
          <w:bCs/>
          <w:i/>
          <w:iCs/>
          <w:lang w:val="pl"/>
        </w:rPr>
        <w:t>Zaburzenia krwi i układu chłonnego</w:t>
      </w:r>
    </w:p>
    <w:p w14:paraId="123E38F7" w14:textId="09591C1B" w:rsidR="00F668C8" w:rsidRPr="005C22E5" w:rsidRDefault="00F668C8" w:rsidP="00ED293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u w:val="single"/>
          <w:lang w:val="pl"/>
        </w:rPr>
        <w:t>Rzadko</w:t>
      </w:r>
      <w:r w:rsidR="000D1FA9">
        <w:rPr>
          <w:rFonts w:ascii="Times New Roman" w:hAnsi="Times New Roman" w:cs="Times New Roman"/>
          <w:u w:val="single"/>
          <w:lang w:val="pl"/>
        </w:rPr>
        <w:t>:</w:t>
      </w:r>
      <w:r w:rsidRPr="005C22E5">
        <w:rPr>
          <w:rFonts w:ascii="Times New Roman" w:hAnsi="Times New Roman" w:cs="Times New Roman"/>
          <w:lang w:val="pl"/>
        </w:rPr>
        <w:t xml:space="preserve"> mogą wystąpić zaburzenia dotyczące układu krwiotwórczego: zmniejszenie liczby krwinek czerwonych w wyniku hamowania czynności szpiku kostnego (niedokrwistość </w:t>
      </w:r>
      <w:proofErr w:type="spellStart"/>
      <w:r w:rsidRPr="005C22E5">
        <w:rPr>
          <w:rFonts w:ascii="Times New Roman" w:hAnsi="Times New Roman" w:cs="Times New Roman"/>
          <w:lang w:val="pl"/>
        </w:rPr>
        <w:t>aplastyczna</w:t>
      </w:r>
      <w:proofErr w:type="spellEnd"/>
      <w:r w:rsidRPr="005C22E5">
        <w:rPr>
          <w:rFonts w:ascii="Times New Roman" w:hAnsi="Times New Roman" w:cs="Times New Roman"/>
          <w:lang w:val="pl"/>
        </w:rPr>
        <w:t>), zmniejszenie lub zanik jednego rodzaju białych krwinek (agranulocytoza) i zmniejszenie liczby czerwonych krwinek, białych krwinek i płytek krwi (pancytopenia), w tym przypadki prowadzące do zgonu, zmniejszenie liczby białych krwinek (leukopenia) i małopłytkowość (zmniejszenie liczby płytek krwi).</w:t>
      </w:r>
    </w:p>
    <w:p w14:paraId="6F4C4F31" w14:textId="72A07957" w:rsidR="00F668C8" w:rsidRDefault="00F668C8" w:rsidP="00ED293C">
      <w:pPr>
        <w:spacing w:after="0" w:line="240" w:lineRule="auto"/>
        <w:jc w:val="both"/>
        <w:rPr>
          <w:rFonts w:ascii="Times New Roman" w:hAnsi="Times New Roman" w:cs="Times New Roman"/>
          <w:lang w:val="pl"/>
        </w:rPr>
      </w:pPr>
      <w:r w:rsidRPr="005C22E5">
        <w:rPr>
          <w:rFonts w:ascii="Times New Roman" w:hAnsi="Times New Roman" w:cs="Times New Roman"/>
          <w:u w:val="single"/>
          <w:lang w:val="pl"/>
        </w:rPr>
        <w:t>Bardzo rzadko</w:t>
      </w:r>
      <w:r w:rsidRPr="005C22E5">
        <w:rPr>
          <w:rFonts w:ascii="Times New Roman" w:hAnsi="Times New Roman" w:cs="Times New Roman"/>
          <w:lang w:val="pl"/>
        </w:rPr>
        <w:t>: typowe objawy małopłytkowości (zmniejszenia liczby płytek krwi) to zwiększona skłonność do krwawień i pojawienie się małych, czerwonawych do brązowych plam (wybroczyn) na skórze i błonach śluzowych, natomiast objawy agranulocytozy (zmniejszenia liczby lub całkowitego zaniku jednego rodzaju białych krwinek we krwi) obejmują zmiany zapalne błon śluzowych, głównie w jamie ustnej, nosie i gardle, a także zmiany zapalne odbytnicy i narządów płciowych, ból gardła i gorączkę (która nieoczekiwanie nie ustępuje lub pojawia się ponownie). Jednak u pacjentów leczonych antybiotykami objawy te mogą mieć minimalne nasilenie. Dochodzi do znacznego wzrostu odczynu Biernackiego (powiększenie węzłów chłonnych jest umiarkowane lub nieobecne).</w:t>
      </w:r>
    </w:p>
    <w:p w14:paraId="115BE6FC" w14:textId="77777777" w:rsidR="00ED293C" w:rsidRPr="005C22E5" w:rsidRDefault="00ED293C" w:rsidP="00ED293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7463C377" w14:textId="77777777" w:rsidR="00761FA8" w:rsidRPr="005C22E5" w:rsidRDefault="00761FA8" w:rsidP="00ED293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b/>
          <w:bCs/>
          <w:i/>
          <w:iCs/>
          <w:lang w:val="pl"/>
        </w:rPr>
        <w:t>Zaburzenia układu immunologicznego</w:t>
      </w:r>
    </w:p>
    <w:p w14:paraId="324EA218" w14:textId="7BDF76DC" w:rsidR="00761FA8" w:rsidRPr="005C22E5" w:rsidRDefault="00761FA8" w:rsidP="00ED293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u w:val="single"/>
          <w:lang w:val="pl"/>
        </w:rPr>
        <w:t>Rzadko</w:t>
      </w:r>
      <w:r w:rsidRPr="005C22E5">
        <w:rPr>
          <w:rFonts w:ascii="Times New Roman" w:hAnsi="Times New Roman" w:cs="Times New Roman"/>
          <w:lang w:val="pl"/>
        </w:rPr>
        <w:t>: metamizol może powodować reakcje alergiczne (wstrząs anafilaktyczny, reakcje anafilaktyczne</w:t>
      </w:r>
      <w:r w:rsidR="003E07DF" w:rsidRPr="00DE4605">
        <w:rPr>
          <w:rFonts w:ascii="Times New Roman" w:hAnsi="Times New Roman" w:cs="Times New Roman"/>
          <w:lang w:val="pl-PL"/>
        </w:rPr>
        <w:t xml:space="preserve"> i (lub) </w:t>
      </w:r>
      <w:proofErr w:type="spellStart"/>
      <w:r w:rsidRPr="005C22E5">
        <w:rPr>
          <w:rFonts w:ascii="Times New Roman" w:hAnsi="Times New Roman" w:cs="Times New Roman"/>
          <w:lang w:val="pl"/>
        </w:rPr>
        <w:t>anafilaktoidalne</w:t>
      </w:r>
      <w:proofErr w:type="spellEnd"/>
      <w:r w:rsidRPr="005C22E5">
        <w:rPr>
          <w:rFonts w:ascii="Times New Roman" w:hAnsi="Times New Roman" w:cs="Times New Roman"/>
          <w:lang w:val="pl"/>
        </w:rPr>
        <w:t xml:space="preserve">), które mogą mieć ciężkie nasilenie, a nawet zagrażać życiu i czasem prowadzić do zgonu. Mogą one wystąpić, nawet jeśli metamizol był wcześniej przyjmowany wielokrotnie bez powikłań. Reakcje takie rozwijają się zwykle w ciągu pierwszej godziny po przyjęciu leku </w:t>
      </w:r>
      <w:r w:rsidR="00B42C09" w:rsidRPr="00920924">
        <w:rPr>
          <w:rFonts w:ascii="Times New Roman" w:hAnsi="Times New Roman" w:cs="Times New Roman"/>
          <w:noProof/>
          <w:lang w:val="pl-PL"/>
        </w:rPr>
        <w:t>Pyreoxing</w:t>
      </w:r>
      <w:r w:rsidRPr="005C22E5">
        <w:rPr>
          <w:rFonts w:ascii="Times New Roman" w:hAnsi="Times New Roman" w:cs="Times New Roman"/>
          <w:lang w:val="pl"/>
        </w:rPr>
        <w:t>, ale mogą wystąpić natychmiast lub kilka godzin później.</w:t>
      </w:r>
    </w:p>
    <w:p w14:paraId="0DAD41EC" w14:textId="136844F8" w:rsidR="00761FA8" w:rsidRPr="005C22E5" w:rsidRDefault="00761FA8" w:rsidP="00ED293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Umiarkowane reakcje anafilaktyczne</w:t>
      </w:r>
      <w:r w:rsidR="00ED4461" w:rsidRPr="00DE4605">
        <w:rPr>
          <w:rFonts w:ascii="Times New Roman" w:hAnsi="Times New Roman" w:cs="Times New Roman"/>
          <w:lang w:val="pl-PL"/>
        </w:rPr>
        <w:t xml:space="preserve"> i (lub) </w:t>
      </w:r>
      <w:proofErr w:type="spellStart"/>
      <w:r w:rsidRPr="005C22E5">
        <w:rPr>
          <w:rFonts w:ascii="Times New Roman" w:hAnsi="Times New Roman" w:cs="Times New Roman"/>
          <w:lang w:val="pl"/>
        </w:rPr>
        <w:t>anafilaktoidalne</w:t>
      </w:r>
      <w:proofErr w:type="spellEnd"/>
      <w:r w:rsidRPr="005C22E5">
        <w:rPr>
          <w:rFonts w:ascii="Times New Roman" w:hAnsi="Times New Roman" w:cs="Times New Roman"/>
          <w:lang w:val="pl"/>
        </w:rPr>
        <w:t xml:space="preserve"> dają objawy ze strony skóry i błon śluzowych (takie jak swędzenie, pieczenie, zaczerwienienie, pokrzywka i obrzęk), w postaci problemów z oddychaniem lub rzadko w postaci dolegliwości żołądkowo-jelitowych. Jednak objawy te mogą ulec przekształceniu w ciężką postać pokrzywki na całym ciele, a ciężkie przypadki charakteryzują się obrzękiem twarzy, języka, gardła lub krtani (obrzęk naczynioruchowy), znaczną dusznością, zaburzeniami </w:t>
      </w:r>
      <w:r w:rsidRPr="005C22E5">
        <w:rPr>
          <w:rFonts w:ascii="Times New Roman" w:hAnsi="Times New Roman" w:cs="Times New Roman"/>
          <w:lang w:val="pl"/>
        </w:rPr>
        <w:lastRenderedPageBreak/>
        <w:t>rytmu serca (arytmie serca), niskim ciśnieniem krwi (które jest czasem poprzedzone wzrostem ciśnienia krwi) i wstrząsem. U pacjentów z astmą oskrzelową reakcje te przyjmują postać napadów oskrzelowych.</w:t>
      </w:r>
    </w:p>
    <w:p w14:paraId="4AC6ADFC" w14:textId="77777777" w:rsidR="00761FA8" w:rsidRPr="005C22E5" w:rsidRDefault="00761FA8" w:rsidP="00ED293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u w:val="single"/>
          <w:lang w:val="pl"/>
        </w:rPr>
        <w:t>Częstość nieznana</w:t>
      </w:r>
      <w:r w:rsidRPr="005C22E5">
        <w:rPr>
          <w:rFonts w:ascii="Times New Roman" w:hAnsi="Times New Roman" w:cs="Times New Roman"/>
          <w:lang w:val="pl"/>
        </w:rPr>
        <w:t xml:space="preserve">: zespół </w:t>
      </w:r>
      <w:proofErr w:type="spellStart"/>
      <w:r w:rsidRPr="005C22E5">
        <w:rPr>
          <w:rFonts w:ascii="Times New Roman" w:hAnsi="Times New Roman" w:cs="Times New Roman"/>
          <w:lang w:val="pl"/>
        </w:rPr>
        <w:t>Kounisa</w:t>
      </w:r>
      <w:proofErr w:type="spellEnd"/>
      <w:r w:rsidRPr="005C22E5">
        <w:rPr>
          <w:rFonts w:ascii="Times New Roman" w:hAnsi="Times New Roman" w:cs="Times New Roman"/>
          <w:lang w:val="pl"/>
        </w:rPr>
        <w:t xml:space="preserve"> (choroba serca spowodowana reakcją alergiczną).</w:t>
      </w:r>
    </w:p>
    <w:p w14:paraId="400E0C6A" w14:textId="77777777" w:rsidR="00F668C8" w:rsidRPr="005C22E5" w:rsidRDefault="00F668C8" w:rsidP="00ED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4713D7A9" w14:textId="77777777" w:rsidR="00F668C8" w:rsidRPr="005C22E5" w:rsidRDefault="00F668C8" w:rsidP="00ED293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b/>
          <w:bCs/>
          <w:i/>
          <w:iCs/>
          <w:lang w:val="pl"/>
        </w:rPr>
        <w:t>Zaburzenia naczyniowe</w:t>
      </w:r>
    </w:p>
    <w:p w14:paraId="44EC5EAC" w14:textId="0DB90613" w:rsidR="00F668C8" w:rsidRDefault="00F668C8" w:rsidP="00ED293C">
      <w:pPr>
        <w:spacing w:after="0" w:line="240" w:lineRule="auto"/>
        <w:jc w:val="both"/>
        <w:rPr>
          <w:rFonts w:ascii="Times New Roman" w:hAnsi="Times New Roman" w:cs="Times New Roman"/>
          <w:lang w:val="pl"/>
        </w:rPr>
      </w:pPr>
      <w:r w:rsidRPr="005C22E5">
        <w:rPr>
          <w:rFonts w:ascii="Times New Roman" w:hAnsi="Times New Roman" w:cs="Times New Roman"/>
          <w:u w:val="single"/>
          <w:lang w:val="pl"/>
        </w:rPr>
        <w:t>Częstość nieznana</w:t>
      </w:r>
      <w:r w:rsidRPr="005C22E5">
        <w:rPr>
          <w:rFonts w:ascii="Times New Roman" w:hAnsi="Times New Roman" w:cs="Times New Roman"/>
          <w:lang w:val="pl"/>
        </w:rPr>
        <w:t>: przemijający, rzadko krytyczny, izolowany spadek ciśnienia krwi bez dalszych objawów reakcji nadwrażliwości.</w:t>
      </w:r>
    </w:p>
    <w:p w14:paraId="0E2AC70B" w14:textId="77777777" w:rsidR="00ED293C" w:rsidRPr="005C22E5" w:rsidRDefault="00ED293C" w:rsidP="00ED293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48ECCD7E" w14:textId="77777777" w:rsidR="00761FA8" w:rsidRPr="005C22E5" w:rsidRDefault="00761FA8" w:rsidP="00ED293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b/>
          <w:bCs/>
          <w:i/>
          <w:iCs/>
          <w:lang w:val="pl"/>
        </w:rPr>
        <w:t>Zaburzenia skóry i tkanki podskórnej</w:t>
      </w:r>
    </w:p>
    <w:p w14:paraId="3F9425C7" w14:textId="77777777" w:rsidR="00761FA8" w:rsidRPr="005C22E5" w:rsidRDefault="00761FA8" w:rsidP="00ED293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u w:val="single"/>
          <w:lang w:val="pl"/>
        </w:rPr>
        <w:t>Rzadko</w:t>
      </w:r>
      <w:r w:rsidRPr="005C22E5">
        <w:rPr>
          <w:rFonts w:ascii="Times New Roman" w:hAnsi="Times New Roman" w:cs="Times New Roman"/>
          <w:lang w:val="pl"/>
        </w:rPr>
        <w:t>: wysypka.</w:t>
      </w:r>
    </w:p>
    <w:p w14:paraId="4DEA471A" w14:textId="1A22B70F" w:rsidR="004A6A47" w:rsidRDefault="00761FA8" w:rsidP="00ED293C">
      <w:pPr>
        <w:spacing w:after="0" w:line="240" w:lineRule="auto"/>
        <w:jc w:val="both"/>
        <w:rPr>
          <w:rFonts w:ascii="Times New Roman" w:hAnsi="Times New Roman" w:cs="Times New Roman"/>
          <w:lang w:val="pl"/>
        </w:rPr>
      </w:pPr>
      <w:r w:rsidRPr="005C22E5">
        <w:rPr>
          <w:rFonts w:ascii="Times New Roman" w:hAnsi="Times New Roman" w:cs="Times New Roman"/>
          <w:u w:val="single"/>
          <w:lang w:val="pl"/>
        </w:rPr>
        <w:t>Częstość nieznana</w:t>
      </w:r>
      <w:r w:rsidRPr="005C22E5">
        <w:rPr>
          <w:rFonts w:ascii="Times New Roman" w:hAnsi="Times New Roman" w:cs="Times New Roman"/>
          <w:lang w:val="pl"/>
        </w:rPr>
        <w:t>: ciężkie reakcje skórne.</w:t>
      </w:r>
    </w:p>
    <w:p w14:paraId="40D5678E" w14:textId="77777777" w:rsidR="00ED293C" w:rsidRPr="005C22E5" w:rsidRDefault="00ED293C" w:rsidP="00ED293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33B6DECB" w14:textId="77777777" w:rsidR="00761FA8" w:rsidRPr="005C22E5" w:rsidRDefault="00761FA8" w:rsidP="00ED293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b/>
          <w:bCs/>
          <w:i/>
          <w:iCs/>
          <w:lang w:val="pl"/>
        </w:rPr>
        <w:t>Zaburzenia nerek i dróg moczowych</w:t>
      </w:r>
    </w:p>
    <w:p w14:paraId="098DE286" w14:textId="77777777" w:rsidR="00761FA8" w:rsidRPr="005C22E5" w:rsidRDefault="00761FA8" w:rsidP="00ED293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u w:val="single"/>
          <w:lang w:val="pl"/>
        </w:rPr>
        <w:t>Bardzo rzadko</w:t>
      </w:r>
      <w:r w:rsidRPr="005C22E5">
        <w:rPr>
          <w:rFonts w:ascii="Times New Roman" w:hAnsi="Times New Roman" w:cs="Times New Roman"/>
          <w:lang w:val="pl"/>
        </w:rPr>
        <w:t>: przemijające zaburzenia czynności nerek ze zmniejszeniem ilości wydalanego moczu (oliguria) lub zatrzymaniem moczu (bezmocz) bądź ostra niewydolność nerek, której towarzyszy wydalanie białka z moczem (białkomocz).</w:t>
      </w:r>
    </w:p>
    <w:p w14:paraId="2337DAD1" w14:textId="55F299C3" w:rsidR="00761FA8" w:rsidRDefault="00761FA8" w:rsidP="00ED293C">
      <w:pPr>
        <w:spacing w:after="0" w:line="240" w:lineRule="auto"/>
        <w:jc w:val="both"/>
        <w:rPr>
          <w:rFonts w:ascii="Times New Roman" w:hAnsi="Times New Roman" w:cs="Times New Roman"/>
          <w:lang w:val="pl"/>
        </w:rPr>
      </w:pPr>
      <w:r w:rsidRPr="005C22E5">
        <w:rPr>
          <w:rFonts w:ascii="Times New Roman" w:hAnsi="Times New Roman" w:cs="Times New Roman"/>
          <w:u w:val="single"/>
          <w:lang w:val="pl"/>
        </w:rPr>
        <w:t>Częstość nieznana</w:t>
      </w:r>
      <w:r w:rsidRPr="005C22E5">
        <w:rPr>
          <w:rFonts w:ascii="Times New Roman" w:hAnsi="Times New Roman" w:cs="Times New Roman"/>
          <w:lang w:val="pl"/>
        </w:rPr>
        <w:t>: zapalenie nerek (śródmiąższowe zapalenie nerek).</w:t>
      </w:r>
    </w:p>
    <w:p w14:paraId="5701AC40" w14:textId="77777777" w:rsidR="00ED293C" w:rsidRPr="005C22E5" w:rsidRDefault="00ED293C" w:rsidP="00ED293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30D236E1" w14:textId="77777777" w:rsidR="00761FA8" w:rsidRPr="000D1FA9" w:rsidRDefault="00761FA8" w:rsidP="00ED293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pl-PL"/>
        </w:rPr>
      </w:pPr>
      <w:r w:rsidRPr="000D1FA9">
        <w:rPr>
          <w:rFonts w:ascii="Times New Roman" w:hAnsi="Times New Roman" w:cs="Times New Roman"/>
          <w:b/>
          <w:bCs/>
          <w:i/>
          <w:iCs/>
          <w:lang w:val="pl"/>
        </w:rPr>
        <w:t>Zaburzenia ogólne i stany w miejscu podania</w:t>
      </w:r>
    </w:p>
    <w:p w14:paraId="0B901D00" w14:textId="77777777" w:rsidR="00761FA8" w:rsidRPr="005C22E5" w:rsidRDefault="00761FA8" w:rsidP="00ED293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u w:val="single"/>
          <w:lang w:val="pl"/>
        </w:rPr>
        <w:t>Częstość nieznana</w:t>
      </w:r>
      <w:r w:rsidRPr="005C22E5">
        <w:rPr>
          <w:rFonts w:ascii="Times New Roman" w:hAnsi="Times New Roman" w:cs="Times New Roman"/>
          <w:lang w:val="pl"/>
        </w:rPr>
        <w:t>: ból w miejscu wstrzyknięcia, zapalenie żył.</w:t>
      </w:r>
    </w:p>
    <w:p w14:paraId="32B53283" w14:textId="77777777" w:rsidR="00761FA8" w:rsidRPr="005C22E5" w:rsidRDefault="00761FA8" w:rsidP="00ED293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Lek może wpływać na wyniki niektórych badań krwi (np. stężenie kreatyniny, trójglicerydów, cholesterolu HDL i kwasu moczowego).</w:t>
      </w:r>
    </w:p>
    <w:p w14:paraId="735A0838" w14:textId="77777777" w:rsidR="000314A1" w:rsidRPr="005C22E5" w:rsidRDefault="000314A1" w:rsidP="00ED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3690016C" w14:textId="4D935750" w:rsidR="00ED293C" w:rsidRPr="00ED293C" w:rsidRDefault="00B77642" w:rsidP="00ED293C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val="pl"/>
        </w:rPr>
      </w:pPr>
      <w:r w:rsidRPr="005C22E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val="pl"/>
        </w:rPr>
        <w:t>Zaburzenia wątroby i dróg żółciowych</w:t>
      </w:r>
    </w:p>
    <w:p w14:paraId="4C2D0F24" w14:textId="564A36B4" w:rsidR="00611A68" w:rsidRPr="000D1FA9" w:rsidRDefault="00B77642" w:rsidP="00ED293C">
      <w:pPr>
        <w:pStyle w:val="Default"/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</w:pPr>
      <w:r w:rsidRPr="000D1FA9">
        <w:rPr>
          <w:rFonts w:ascii="Times New Roman" w:eastAsia="TimesNewRoman" w:hAnsi="Times New Roman" w:cs="Times New Roman"/>
          <w:color w:val="auto"/>
          <w:sz w:val="22"/>
          <w:szCs w:val="22"/>
          <w:u w:val="single"/>
          <w:lang w:val="pl"/>
        </w:rPr>
        <w:t xml:space="preserve">Częstość nieznana: </w:t>
      </w:r>
    </w:p>
    <w:p w14:paraId="77AAA986" w14:textId="0F96E540" w:rsidR="00611A68" w:rsidRPr="005C22E5" w:rsidRDefault="00611A68" w:rsidP="00ED293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zapalenie wątroby, zażółcenie skóry i </w:t>
      </w:r>
      <w:r w:rsidR="00112C92" w:rsidRPr="00112C92">
        <w:rPr>
          <w:rFonts w:ascii="Times New Roman" w:eastAsia="TimesNewRoman" w:hAnsi="Times New Roman" w:cs="Times New Roman"/>
          <w:lang w:val="pl"/>
        </w:rPr>
        <w:t>białkówek oczu</w:t>
      </w:r>
      <w:r w:rsidRPr="005C22E5">
        <w:rPr>
          <w:rFonts w:ascii="Times New Roman" w:eastAsia="TimesNewRoman" w:hAnsi="Times New Roman" w:cs="Times New Roman"/>
          <w:lang w:val="pl"/>
        </w:rPr>
        <w:t>, zwiększenie aktywności enzymów wątrobowych we krwi.</w:t>
      </w:r>
    </w:p>
    <w:p w14:paraId="71B1C705" w14:textId="77777777" w:rsidR="00611A68" w:rsidRPr="005C22E5" w:rsidRDefault="00611A68" w:rsidP="00ED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lang w:val="pl-PL"/>
        </w:rPr>
      </w:pPr>
    </w:p>
    <w:p w14:paraId="735A083D" w14:textId="77777777" w:rsidR="000314A1" w:rsidRPr="005C22E5" w:rsidRDefault="000314A1" w:rsidP="00ED293C">
      <w:pPr>
        <w:numPr>
          <w:ilvl w:val="12"/>
          <w:numId w:val="0"/>
        </w:num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noProof/>
          <w:color w:val="000000" w:themeColor="text1"/>
          <w:lang w:val="pl-PL"/>
        </w:rPr>
      </w:pPr>
      <w:r w:rsidRPr="005C22E5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pl"/>
        </w:rPr>
        <w:t>Zgłaszanie działań niepożądanych</w:t>
      </w:r>
    </w:p>
    <w:p w14:paraId="52AEE429" w14:textId="77777777" w:rsidR="000D1FA9" w:rsidRPr="000D1FA9" w:rsidRDefault="000314A1" w:rsidP="00ED293C">
      <w:pPr>
        <w:spacing w:after="0" w:line="240" w:lineRule="auto"/>
        <w:jc w:val="both"/>
        <w:rPr>
          <w:rFonts w:ascii="Times New Roman" w:eastAsia="Verdana" w:hAnsi="Times New Roman" w:cs="Times New Roman"/>
          <w:lang w:val="pl"/>
        </w:rPr>
      </w:pPr>
      <w:r w:rsidRPr="005C22E5">
        <w:rPr>
          <w:rFonts w:ascii="Times New Roman" w:eastAsia="Verdana" w:hAnsi="Times New Roman" w:cs="Times New Roman"/>
          <w:noProof/>
          <w:lang w:val="pl"/>
        </w:rPr>
        <w:t>Jeśli wystąpią jakiekolwiek objawy niepożądane, w tym wszelkie objawy niepożądane niewymienione w tej ulotce,</w:t>
      </w:r>
      <w:r w:rsidRPr="005C22E5">
        <w:rPr>
          <w:rFonts w:ascii="Times New Roman" w:eastAsia="Verdana" w:hAnsi="Times New Roman" w:cs="Times New Roman"/>
          <w:color w:val="FF0000"/>
          <w:lang w:val="pl"/>
        </w:rPr>
        <w:t xml:space="preserve"> </w:t>
      </w:r>
      <w:r w:rsidRPr="005C22E5">
        <w:rPr>
          <w:rFonts w:ascii="Times New Roman" w:eastAsia="Verdana" w:hAnsi="Times New Roman" w:cs="Times New Roman"/>
          <w:lang w:val="pl"/>
        </w:rPr>
        <w:t xml:space="preserve">należy powiedzieć o tym </w:t>
      </w:r>
      <w:r w:rsidRPr="005C22E5">
        <w:rPr>
          <w:rFonts w:ascii="Times New Roman" w:eastAsia="Verdana" w:hAnsi="Times New Roman" w:cs="Times New Roman"/>
          <w:noProof/>
          <w:lang w:val="pl"/>
        </w:rPr>
        <w:t>lekarzowi lub farmaceucie.</w:t>
      </w:r>
      <w:r w:rsidRPr="005C22E5">
        <w:rPr>
          <w:rFonts w:ascii="Times New Roman" w:eastAsia="Verdana" w:hAnsi="Times New Roman" w:cs="Times New Roman"/>
          <w:lang w:val="pl"/>
        </w:rPr>
        <w:t xml:space="preserve"> Działania niepożądane można zgłaszać bezpośrednio do </w:t>
      </w:r>
      <w:r w:rsidR="000D1FA9" w:rsidRPr="000D1FA9">
        <w:rPr>
          <w:rFonts w:ascii="Times New Roman" w:eastAsia="Verdana" w:hAnsi="Times New Roman" w:cs="Times New Roman"/>
          <w:lang w:val="pl"/>
        </w:rPr>
        <w:t xml:space="preserve">Departamentu Monitorowania Niepożądanych Działań Produktów Leczniczych Urzędu Rejestracji Produktów Leczniczych, Wyrobów Medycznych i Produktów Biobójczych </w:t>
      </w:r>
    </w:p>
    <w:p w14:paraId="1A73D80F" w14:textId="77777777" w:rsidR="000D1FA9" w:rsidRPr="000D1FA9" w:rsidRDefault="000D1FA9" w:rsidP="00ED293C">
      <w:pPr>
        <w:spacing w:after="0" w:line="240" w:lineRule="auto"/>
        <w:jc w:val="both"/>
        <w:rPr>
          <w:rFonts w:ascii="Times New Roman" w:eastAsia="Verdana" w:hAnsi="Times New Roman" w:cs="Times New Roman"/>
          <w:lang w:val="pl"/>
        </w:rPr>
      </w:pPr>
      <w:r w:rsidRPr="000D1FA9">
        <w:rPr>
          <w:rFonts w:ascii="Times New Roman" w:eastAsia="Verdana" w:hAnsi="Times New Roman" w:cs="Times New Roman"/>
          <w:lang w:val="pl"/>
        </w:rPr>
        <w:t xml:space="preserve">Al. Jerozolimskie 181C, 02-222 Warszawa </w:t>
      </w:r>
    </w:p>
    <w:p w14:paraId="693475CA" w14:textId="77777777" w:rsidR="000D1FA9" w:rsidRPr="000D1FA9" w:rsidRDefault="000D1FA9" w:rsidP="000D1FA9">
      <w:pPr>
        <w:spacing w:after="0" w:line="240" w:lineRule="auto"/>
        <w:jc w:val="both"/>
        <w:rPr>
          <w:rFonts w:ascii="Times New Roman" w:eastAsia="Verdana" w:hAnsi="Times New Roman" w:cs="Times New Roman"/>
          <w:lang w:val="pl"/>
        </w:rPr>
      </w:pPr>
      <w:r w:rsidRPr="000D1FA9">
        <w:rPr>
          <w:rFonts w:ascii="Times New Roman" w:eastAsia="Verdana" w:hAnsi="Times New Roman" w:cs="Times New Roman"/>
          <w:lang w:val="pl"/>
        </w:rPr>
        <w:t xml:space="preserve">Tel.: + 48 22 49 21 301 Faks: + 48 22 49 21 309 </w:t>
      </w:r>
    </w:p>
    <w:p w14:paraId="1C97A505" w14:textId="31EDF0C6" w:rsidR="000D1FA9" w:rsidRPr="000D1FA9" w:rsidRDefault="000D1FA9" w:rsidP="000D1FA9">
      <w:pPr>
        <w:spacing w:after="0" w:line="240" w:lineRule="auto"/>
        <w:jc w:val="both"/>
        <w:rPr>
          <w:rFonts w:ascii="Times New Roman" w:eastAsia="Verdana" w:hAnsi="Times New Roman" w:cs="Times New Roman"/>
          <w:lang w:val="pl"/>
        </w:rPr>
      </w:pPr>
      <w:r w:rsidRPr="000D1FA9">
        <w:rPr>
          <w:rFonts w:ascii="Times New Roman" w:eastAsia="Verdana" w:hAnsi="Times New Roman" w:cs="Times New Roman"/>
          <w:lang w:val="pl"/>
        </w:rPr>
        <w:t>Strona internetowa: https://smz.ezdrowie.gov.pl</w:t>
      </w:r>
    </w:p>
    <w:p w14:paraId="00A2741B" w14:textId="77777777" w:rsidR="000D1FA9" w:rsidRPr="000D1FA9" w:rsidRDefault="000D1FA9" w:rsidP="000D1FA9">
      <w:pPr>
        <w:spacing w:after="0" w:line="240" w:lineRule="auto"/>
        <w:jc w:val="both"/>
        <w:rPr>
          <w:rFonts w:ascii="Times New Roman" w:eastAsia="Verdana" w:hAnsi="Times New Roman" w:cs="Times New Roman"/>
          <w:lang w:val="pl"/>
        </w:rPr>
      </w:pPr>
      <w:r w:rsidRPr="000D1FA9">
        <w:rPr>
          <w:rFonts w:ascii="Times New Roman" w:eastAsia="Verdana" w:hAnsi="Times New Roman" w:cs="Times New Roman"/>
          <w:lang w:val="pl"/>
        </w:rPr>
        <w:t>Działania niepożądane można zgłaszać również podmiotowi odpowiedzialnemu.</w:t>
      </w:r>
    </w:p>
    <w:p w14:paraId="735A083F" w14:textId="734CE7A1" w:rsidR="000314A1" w:rsidRPr="005C22E5" w:rsidRDefault="000D1FA9" w:rsidP="000D1FA9">
      <w:pPr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0D1FA9">
        <w:rPr>
          <w:rFonts w:ascii="Times New Roman" w:eastAsia="Verdana" w:hAnsi="Times New Roman" w:cs="Times New Roman"/>
          <w:lang w:val="pl"/>
        </w:rPr>
        <w:t>Dzięki zgłaszaniu działań niepożądanych można będzie zgromadzić więcej informacji na temat bezpieczeństwa stosowania leku</w:t>
      </w:r>
    </w:p>
    <w:p w14:paraId="735A0840" w14:textId="77777777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735A0841" w14:textId="46DFDB4B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C22E5">
        <w:rPr>
          <w:rFonts w:ascii="Times New Roman" w:hAnsi="Times New Roman" w:cs="Times New Roman"/>
          <w:b/>
          <w:bCs/>
          <w:lang w:val="pl"/>
        </w:rPr>
        <w:t xml:space="preserve">5. Jak przechowywać lek </w:t>
      </w:r>
      <w:r w:rsidR="00B42C09" w:rsidRPr="00920924">
        <w:rPr>
          <w:rFonts w:ascii="Times New Roman" w:hAnsi="Times New Roman" w:cs="Times New Roman"/>
          <w:b/>
          <w:bCs/>
          <w:noProof/>
          <w:lang w:val="pl-PL"/>
        </w:rPr>
        <w:t>Pyreoxing</w:t>
      </w:r>
    </w:p>
    <w:p w14:paraId="735A0842" w14:textId="77777777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735A0843" w14:textId="77777777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Nie przechowywać w temperaturze powyżej 25°C. Przechowywać w oryginalnym opakowaniu w celu ochrony przed światłem.</w:t>
      </w:r>
    </w:p>
    <w:p w14:paraId="735A0844" w14:textId="77777777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735A0845" w14:textId="77777777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Lek należy przechowywać w miejscu niewidocznym i niedostępnym dla dzieci.</w:t>
      </w:r>
    </w:p>
    <w:p w14:paraId="735A0846" w14:textId="77777777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735A0847" w14:textId="23E5FD61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 xml:space="preserve">Nie stosować tego leku po upływie terminu ważności </w:t>
      </w:r>
      <w:r w:rsidR="00706E24">
        <w:rPr>
          <w:rFonts w:ascii="Times New Roman" w:eastAsia="TimesNewRoman" w:hAnsi="Times New Roman" w:cs="Times New Roman"/>
          <w:lang w:val="pl"/>
        </w:rPr>
        <w:t xml:space="preserve">(EXP) </w:t>
      </w:r>
      <w:r w:rsidRPr="005C22E5">
        <w:rPr>
          <w:rFonts w:ascii="Times New Roman" w:eastAsia="TimesNewRoman" w:hAnsi="Times New Roman" w:cs="Times New Roman"/>
          <w:lang w:val="pl"/>
        </w:rPr>
        <w:t>zamieszczonego na pudełku i etykiecie. Termin ważności oznacza ostatni dzień podanego miesiąca.</w:t>
      </w:r>
    </w:p>
    <w:p w14:paraId="735A0848" w14:textId="77777777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735A0849" w14:textId="77777777" w:rsidR="00E70994" w:rsidRPr="005C22E5" w:rsidRDefault="004063B5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lastRenderedPageBreak/>
        <w:t>Leków nie należy wyrzucać do kanalizacji ani domowych pojemników na odpadki. Należy zapytać farmaceutę, jak usunąć leki, których się już nie używa. Takie postępowanie pomoże chronić środowisko.</w:t>
      </w:r>
    </w:p>
    <w:p w14:paraId="735A084A" w14:textId="77777777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735A084B" w14:textId="77777777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735A084C" w14:textId="77777777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C22E5">
        <w:rPr>
          <w:rFonts w:ascii="Times New Roman" w:hAnsi="Times New Roman" w:cs="Times New Roman"/>
          <w:b/>
          <w:bCs/>
          <w:lang w:val="pl"/>
        </w:rPr>
        <w:t>6. Zawartość opakowania i inne informacje</w:t>
      </w:r>
    </w:p>
    <w:p w14:paraId="735A084D" w14:textId="77777777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35A084E" w14:textId="14ECB260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C22E5">
        <w:rPr>
          <w:rFonts w:ascii="Times New Roman" w:hAnsi="Times New Roman" w:cs="Times New Roman"/>
          <w:b/>
          <w:bCs/>
          <w:lang w:val="pl"/>
        </w:rPr>
        <w:t>Co zawiera lek</w:t>
      </w:r>
      <w:r w:rsidRPr="005C22E5">
        <w:rPr>
          <w:rFonts w:ascii="Times New Roman" w:hAnsi="Times New Roman" w:cs="Times New Roman"/>
          <w:lang w:val="pl"/>
        </w:rPr>
        <w:t xml:space="preserve"> </w:t>
      </w:r>
      <w:r w:rsidR="00B42C09" w:rsidRPr="00920924">
        <w:rPr>
          <w:rFonts w:ascii="Times New Roman" w:hAnsi="Times New Roman" w:cs="Times New Roman"/>
          <w:b/>
          <w:bCs/>
          <w:noProof/>
          <w:lang w:val="pl-PL"/>
        </w:rPr>
        <w:t>Pyreoxing</w:t>
      </w:r>
    </w:p>
    <w:p w14:paraId="735A084F" w14:textId="0D8B4BAE" w:rsidR="00E70994" w:rsidRPr="005C22E5" w:rsidRDefault="00E70994" w:rsidP="005C22E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 xml:space="preserve">Substancją czynną leku jest </w:t>
      </w:r>
      <w:r w:rsidR="00ED293C" w:rsidRPr="00ED293C">
        <w:rPr>
          <w:rFonts w:ascii="Times New Roman" w:eastAsia="TimesNewRoman" w:hAnsi="Times New Roman" w:cs="Times New Roman"/>
          <w:lang w:val="pl"/>
        </w:rPr>
        <w:t>metamizol sod</w:t>
      </w:r>
      <w:r w:rsidR="00C00F58">
        <w:rPr>
          <w:rFonts w:ascii="Times New Roman" w:eastAsia="TimesNewRoman" w:hAnsi="Times New Roman" w:cs="Times New Roman"/>
          <w:lang w:val="pl"/>
        </w:rPr>
        <w:t>owy</w:t>
      </w:r>
      <w:r w:rsidRPr="005C22E5">
        <w:rPr>
          <w:rFonts w:ascii="Times New Roman" w:eastAsia="TimesNewRoman" w:hAnsi="Times New Roman" w:cs="Times New Roman"/>
          <w:lang w:val="pl"/>
        </w:rPr>
        <w:t xml:space="preserve">. Każdy mililitr roztworu zawiera 500 mg </w:t>
      </w:r>
      <w:r w:rsidR="00ED293C" w:rsidRPr="00ED293C">
        <w:rPr>
          <w:rFonts w:ascii="Times New Roman" w:eastAsia="TimesNewRoman" w:hAnsi="Times New Roman" w:cs="Times New Roman"/>
          <w:lang w:val="pl"/>
        </w:rPr>
        <w:t>metamizolu sodowego</w:t>
      </w:r>
      <w:r w:rsidRPr="005C22E5">
        <w:rPr>
          <w:rFonts w:ascii="Times New Roman" w:eastAsia="TimesNewRoman" w:hAnsi="Times New Roman" w:cs="Times New Roman"/>
          <w:lang w:val="pl"/>
        </w:rPr>
        <w:t>.</w:t>
      </w:r>
    </w:p>
    <w:p w14:paraId="735A0850" w14:textId="77777777" w:rsidR="00E70994" w:rsidRPr="005C22E5" w:rsidRDefault="00E70994" w:rsidP="005C22E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Pozostały składnik to woda do wstrzykiwań.</w:t>
      </w:r>
    </w:p>
    <w:p w14:paraId="735A0851" w14:textId="77777777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35A0852" w14:textId="77C70837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C22E5">
        <w:rPr>
          <w:rFonts w:ascii="Times New Roman" w:hAnsi="Times New Roman" w:cs="Times New Roman"/>
          <w:b/>
          <w:bCs/>
          <w:lang w:val="pl"/>
        </w:rPr>
        <w:t xml:space="preserve">Jak wygląda lek </w:t>
      </w:r>
      <w:r w:rsidR="00B42C09" w:rsidRPr="00920924">
        <w:rPr>
          <w:rFonts w:ascii="Times New Roman" w:hAnsi="Times New Roman" w:cs="Times New Roman"/>
          <w:b/>
          <w:bCs/>
          <w:noProof/>
          <w:lang w:val="pl-PL"/>
        </w:rPr>
        <w:t>Pyreoxing</w:t>
      </w:r>
      <w:r w:rsidR="00ED293C">
        <w:rPr>
          <w:rFonts w:ascii="Times New Roman" w:hAnsi="Times New Roman" w:cs="Times New Roman"/>
          <w:b/>
          <w:bCs/>
          <w:lang w:val="pl"/>
        </w:rPr>
        <w:t xml:space="preserve"> </w:t>
      </w:r>
      <w:r w:rsidRPr="005C22E5">
        <w:rPr>
          <w:rFonts w:ascii="Times New Roman" w:hAnsi="Times New Roman" w:cs="Times New Roman"/>
          <w:b/>
          <w:bCs/>
          <w:lang w:val="pl"/>
        </w:rPr>
        <w:t>i co zawiera opakowanie</w:t>
      </w:r>
    </w:p>
    <w:p w14:paraId="735A0853" w14:textId="77777777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Przezroczysty, bezbarwny do lekko brązowo-żółtego roztwór, praktycznie wolny od cząstek stałych.</w:t>
      </w:r>
    </w:p>
    <w:p w14:paraId="735A0854" w14:textId="247B32D9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 xml:space="preserve">Ampułki </w:t>
      </w:r>
      <w:r w:rsidR="00C00F58">
        <w:rPr>
          <w:rFonts w:ascii="Times New Roman" w:eastAsia="TimesNewRoman" w:hAnsi="Times New Roman" w:cs="Times New Roman"/>
          <w:lang w:val="pl"/>
        </w:rPr>
        <w:t>z</w:t>
      </w:r>
      <w:r w:rsidRPr="005C22E5">
        <w:rPr>
          <w:rFonts w:ascii="Times New Roman" w:eastAsia="TimesNewRoman" w:hAnsi="Times New Roman" w:cs="Times New Roman"/>
          <w:lang w:val="pl"/>
        </w:rPr>
        <w:t xml:space="preserve"> </w:t>
      </w:r>
      <w:r w:rsidR="00C00F58" w:rsidRPr="005C22E5">
        <w:rPr>
          <w:rFonts w:ascii="Times New Roman" w:eastAsia="TimesNewRoman" w:hAnsi="Times New Roman" w:cs="Times New Roman"/>
          <w:lang w:val="pl"/>
        </w:rPr>
        <w:t xml:space="preserve">oranżowego </w:t>
      </w:r>
      <w:r w:rsidRPr="005C22E5">
        <w:rPr>
          <w:rFonts w:ascii="Times New Roman" w:eastAsia="TimesNewRoman" w:hAnsi="Times New Roman" w:cs="Times New Roman"/>
          <w:lang w:val="pl"/>
        </w:rPr>
        <w:t>szkła zawierające roztwór, umieszczone w formie z PVC w tekturow</w:t>
      </w:r>
      <w:r w:rsidR="00112C92">
        <w:rPr>
          <w:rFonts w:ascii="Times New Roman" w:eastAsia="TimesNewRoman" w:hAnsi="Times New Roman" w:cs="Times New Roman"/>
          <w:lang w:val="pl"/>
        </w:rPr>
        <w:t>ym</w:t>
      </w:r>
      <w:r w:rsidRPr="005C22E5">
        <w:rPr>
          <w:rFonts w:ascii="Times New Roman" w:eastAsia="TimesNewRoman" w:hAnsi="Times New Roman" w:cs="Times New Roman"/>
          <w:lang w:val="pl"/>
        </w:rPr>
        <w:t xml:space="preserve"> pud</w:t>
      </w:r>
      <w:r w:rsidR="00ED293C">
        <w:rPr>
          <w:rFonts w:ascii="Times New Roman" w:eastAsia="TimesNewRoman" w:hAnsi="Times New Roman" w:cs="Times New Roman"/>
          <w:lang w:val="pl"/>
        </w:rPr>
        <w:t>ełk</w:t>
      </w:r>
      <w:r w:rsidR="00112C92">
        <w:rPr>
          <w:rFonts w:ascii="Times New Roman" w:eastAsia="TimesNewRoman" w:hAnsi="Times New Roman" w:cs="Times New Roman"/>
          <w:lang w:val="pl"/>
        </w:rPr>
        <w:t>u</w:t>
      </w:r>
      <w:r w:rsidRPr="005C22E5">
        <w:rPr>
          <w:rFonts w:ascii="Times New Roman" w:eastAsia="TimesNewRoman" w:hAnsi="Times New Roman" w:cs="Times New Roman"/>
          <w:lang w:val="pl"/>
        </w:rPr>
        <w:t>.</w:t>
      </w:r>
    </w:p>
    <w:p w14:paraId="735A0855" w14:textId="564B0659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Wielkości opakowań: 10 ampułek po 2 ml, 10 ampułek po 5 ml,  5 ampułek po 2 ml, 5 ampułek po 5 ml.</w:t>
      </w:r>
    </w:p>
    <w:p w14:paraId="735A0856" w14:textId="624EFBF5" w:rsidR="000314A1" w:rsidRPr="005C22E5" w:rsidRDefault="00403A4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Nie wszystkie wielkości opakowań muszą znajdować się w obrocie.</w:t>
      </w:r>
    </w:p>
    <w:p w14:paraId="0B24E263" w14:textId="77777777" w:rsidR="00403A41" w:rsidRPr="005C22E5" w:rsidRDefault="00403A4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35A0857" w14:textId="77777777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C22E5">
        <w:rPr>
          <w:rFonts w:ascii="Times New Roman" w:hAnsi="Times New Roman" w:cs="Times New Roman"/>
          <w:b/>
          <w:bCs/>
          <w:lang w:val="pl"/>
        </w:rPr>
        <w:t>Podmiot odpowiedzialny i wytwórca</w:t>
      </w:r>
    </w:p>
    <w:p w14:paraId="457FA36C" w14:textId="77777777" w:rsidR="00ED293C" w:rsidRDefault="00ED293C" w:rsidP="00ED293C">
      <w:pPr>
        <w:tabs>
          <w:tab w:val="left" w:pos="567"/>
        </w:tabs>
        <w:spacing w:after="0" w:line="260" w:lineRule="exact"/>
        <w:jc w:val="both"/>
        <w:rPr>
          <w:rFonts w:ascii="Times New Roman" w:eastAsia="TimesNewRoman" w:hAnsi="Times New Roman" w:cs="Times New Roman"/>
          <w:lang w:val="pl"/>
        </w:rPr>
      </w:pPr>
    </w:p>
    <w:p w14:paraId="453D0316" w14:textId="50075CCA" w:rsidR="00ED293C" w:rsidRPr="00ED293C" w:rsidRDefault="00ED293C" w:rsidP="00ED293C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i/>
          <w:lang w:val="pl-PL"/>
        </w:rPr>
      </w:pPr>
      <w:r w:rsidRPr="00ED293C">
        <w:rPr>
          <w:rFonts w:ascii="Times New Roman" w:eastAsia="Times New Roman" w:hAnsi="Times New Roman" w:cs="Times New Roman"/>
          <w:b/>
          <w:bCs/>
          <w:lang w:val="pl"/>
        </w:rPr>
        <w:t>Podmiot odpowiedzialny:</w:t>
      </w:r>
      <w:r w:rsidRPr="00ED293C">
        <w:rPr>
          <w:rFonts w:ascii="Times New Roman" w:eastAsia="Times New Roman" w:hAnsi="Times New Roman" w:cs="Times New Roman"/>
          <w:lang w:val="pl"/>
        </w:rPr>
        <w:t xml:space="preserve"> </w:t>
      </w:r>
    </w:p>
    <w:p w14:paraId="50AC497E" w14:textId="77777777" w:rsidR="00ED293C" w:rsidRPr="00D02A2B" w:rsidRDefault="00ED293C" w:rsidP="00ED293C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</w:rPr>
      </w:pPr>
      <w:r w:rsidRPr="00D02A2B">
        <w:rPr>
          <w:rFonts w:ascii="Times New Roman" w:eastAsia="Times New Roman" w:hAnsi="Times New Roman" w:cs="Times New Roman"/>
        </w:rPr>
        <w:t>Bausch Health Ireland Limited</w:t>
      </w:r>
    </w:p>
    <w:p w14:paraId="7C8C5331" w14:textId="77777777" w:rsidR="00ED293C" w:rsidRPr="00ED293C" w:rsidRDefault="00ED293C" w:rsidP="00ED293C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</w:rPr>
      </w:pPr>
      <w:r w:rsidRPr="00ED293C">
        <w:rPr>
          <w:rFonts w:ascii="Times New Roman" w:eastAsia="Times New Roman" w:hAnsi="Times New Roman" w:cs="Times New Roman"/>
        </w:rPr>
        <w:t>3013 Lake Drive</w:t>
      </w:r>
    </w:p>
    <w:p w14:paraId="2E6078A3" w14:textId="77777777" w:rsidR="00ED293C" w:rsidRPr="00ED293C" w:rsidRDefault="00ED293C" w:rsidP="00ED293C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</w:rPr>
      </w:pPr>
      <w:r w:rsidRPr="00ED293C">
        <w:rPr>
          <w:rFonts w:ascii="Times New Roman" w:eastAsia="Times New Roman" w:hAnsi="Times New Roman" w:cs="Times New Roman"/>
        </w:rPr>
        <w:t>Citywest Business Campus</w:t>
      </w:r>
    </w:p>
    <w:p w14:paraId="4600C62D" w14:textId="77777777" w:rsidR="00ED293C" w:rsidRPr="00ED293C" w:rsidRDefault="00ED293C" w:rsidP="00ED293C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</w:rPr>
      </w:pPr>
      <w:r w:rsidRPr="00ED293C">
        <w:rPr>
          <w:rFonts w:ascii="Times New Roman" w:eastAsia="Times New Roman" w:hAnsi="Times New Roman" w:cs="Times New Roman"/>
        </w:rPr>
        <w:t>Dublin 24, D24PPT3</w:t>
      </w:r>
    </w:p>
    <w:p w14:paraId="26BF98B2" w14:textId="425C7666" w:rsidR="00ED293C" w:rsidRDefault="00ED293C" w:rsidP="00ED293C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</w:rPr>
      </w:pPr>
      <w:proofErr w:type="spellStart"/>
      <w:r w:rsidRPr="00D02A2B">
        <w:rPr>
          <w:rFonts w:ascii="Times New Roman" w:eastAsia="Times New Roman" w:hAnsi="Times New Roman" w:cs="Times New Roman"/>
        </w:rPr>
        <w:t>Irlandia</w:t>
      </w:r>
      <w:proofErr w:type="spellEnd"/>
    </w:p>
    <w:p w14:paraId="7036FC18" w14:textId="4584BEA1" w:rsidR="008E727F" w:rsidRPr="00DE4605" w:rsidRDefault="008E727F" w:rsidP="00ED293C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lang w:val="pl-PL"/>
        </w:rPr>
      </w:pPr>
      <w:proofErr w:type="spellStart"/>
      <w:r w:rsidRPr="00DE4605">
        <w:rPr>
          <w:rFonts w:ascii="Times New Roman" w:eastAsia="Times New Roman" w:hAnsi="Times New Roman" w:cs="Times New Roman"/>
          <w:lang w:val="pl-PL"/>
        </w:rPr>
        <w:t>tel</w:t>
      </w:r>
      <w:proofErr w:type="spellEnd"/>
      <w:r w:rsidRPr="00DE4605">
        <w:rPr>
          <w:rFonts w:ascii="Times New Roman" w:eastAsia="Times New Roman" w:hAnsi="Times New Roman" w:cs="Times New Roman"/>
          <w:lang w:val="pl-PL"/>
        </w:rPr>
        <w:t>: +48 17 865 51 00</w:t>
      </w:r>
    </w:p>
    <w:p w14:paraId="1F51B12B" w14:textId="77777777" w:rsidR="00ED293C" w:rsidRPr="00DE4605" w:rsidRDefault="00ED293C" w:rsidP="00ED293C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5E885303" w14:textId="77777777" w:rsidR="00ED293C" w:rsidRPr="00ED293C" w:rsidRDefault="00ED293C" w:rsidP="00ED293C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lang w:val="pl-PL"/>
        </w:rPr>
      </w:pPr>
      <w:r w:rsidRPr="00ED293C">
        <w:rPr>
          <w:rFonts w:ascii="Times New Roman" w:eastAsia="Times New Roman" w:hAnsi="Times New Roman" w:cs="Times New Roman"/>
          <w:b/>
          <w:bCs/>
          <w:lang w:val="pl-PL"/>
        </w:rPr>
        <w:t>Wytwórca:</w:t>
      </w:r>
      <w:r w:rsidRPr="00ED293C">
        <w:rPr>
          <w:rFonts w:ascii="Times New Roman" w:eastAsia="Times New Roman" w:hAnsi="Times New Roman" w:cs="Times New Roman"/>
          <w:lang w:val="pl-PL"/>
        </w:rPr>
        <w:t xml:space="preserve">    </w:t>
      </w:r>
    </w:p>
    <w:p w14:paraId="3E3EBB20" w14:textId="77777777" w:rsidR="00112C92" w:rsidRPr="00112C92" w:rsidRDefault="00112C92" w:rsidP="0011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112C92">
        <w:rPr>
          <w:rFonts w:ascii="Times New Roman" w:eastAsia="TimesNewRoman" w:hAnsi="Times New Roman" w:cs="Times New Roman"/>
          <w:lang w:val="pl-PL"/>
        </w:rPr>
        <w:t>Przedsiębiorstwo Farmaceutyczne Jelfa S.A.</w:t>
      </w:r>
    </w:p>
    <w:p w14:paraId="6FC6320B" w14:textId="642AFFF8" w:rsidR="00ED293C" w:rsidRDefault="00112C92" w:rsidP="0011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112C92">
        <w:rPr>
          <w:rFonts w:ascii="Times New Roman" w:eastAsia="TimesNewRoman" w:hAnsi="Times New Roman" w:cs="Times New Roman"/>
          <w:lang w:val="pl-PL"/>
        </w:rPr>
        <w:t>ul. Wincentego Pola 21</w:t>
      </w:r>
    </w:p>
    <w:p w14:paraId="735A0859" w14:textId="631E91FD" w:rsidR="000314A1" w:rsidRPr="005C22E5" w:rsidRDefault="00112C92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112C92">
        <w:rPr>
          <w:rFonts w:ascii="Times New Roman" w:eastAsia="TimesNewRoman" w:hAnsi="Times New Roman" w:cs="Times New Roman"/>
          <w:lang w:val="pl-PL"/>
        </w:rPr>
        <w:t>58-500 Jelenia Góra</w:t>
      </w:r>
    </w:p>
    <w:p w14:paraId="735A085D" w14:textId="77777777" w:rsidR="000314A1" w:rsidRPr="002B16DE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0ACD1DC6" w14:textId="0C273CE6" w:rsidR="00B060BD" w:rsidRPr="00B57D56" w:rsidRDefault="00B060BD" w:rsidP="00920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  <w:lang w:val="pl-PL"/>
        </w:rPr>
      </w:pPr>
      <w:r w:rsidRPr="00B57D56">
        <w:rPr>
          <w:rFonts w:ascii="Times New Roman" w:hAnsi="Times New Roman" w:cs="Times New Roman"/>
          <w:b/>
          <w:bCs/>
          <w:szCs w:val="20"/>
          <w:lang w:val="pl-PL"/>
        </w:rPr>
        <w:t>Ten lek jest dopuszczony do obrotu w krajach członkowskich Europejskiego Obszaru Gospodarczego pod następującymi nazwami:</w:t>
      </w:r>
    </w:p>
    <w:p w14:paraId="6C067128" w14:textId="77777777" w:rsidR="00B060BD" w:rsidRPr="002B16DE" w:rsidRDefault="00B060BD" w:rsidP="00920924">
      <w:pPr>
        <w:spacing w:after="0" w:line="240" w:lineRule="auto"/>
        <w:rPr>
          <w:rFonts w:ascii="Times New Roman" w:hAnsi="Times New Roman" w:cs="Times New Roman"/>
          <w:noProof/>
          <w:lang w:val="bg-BG"/>
        </w:rPr>
      </w:pPr>
      <w:r w:rsidRPr="002B16DE">
        <w:rPr>
          <w:rFonts w:ascii="Times New Roman" w:hAnsi="Times New Roman" w:cs="Times New Roman"/>
          <w:noProof/>
          <w:lang w:val="pl-PL"/>
        </w:rPr>
        <w:t>Bulgaria</w:t>
      </w:r>
      <w:r w:rsidRPr="002B16DE">
        <w:rPr>
          <w:rFonts w:ascii="Times New Roman" w:hAnsi="Times New Roman" w:cs="Times New Roman"/>
          <w:noProof/>
          <w:lang w:val="pl-PL"/>
        </w:rPr>
        <w:tab/>
      </w:r>
      <w:r w:rsidRPr="002B16DE">
        <w:rPr>
          <w:rFonts w:ascii="Times New Roman" w:hAnsi="Times New Roman" w:cs="Times New Roman"/>
          <w:noProof/>
          <w:lang w:val="pl-PL"/>
        </w:rPr>
        <w:tab/>
      </w:r>
      <w:r w:rsidRPr="002B16DE">
        <w:rPr>
          <w:rFonts w:ascii="Times New Roman" w:hAnsi="Times New Roman" w:cs="Times New Roman"/>
          <w:noProof/>
          <w:lang w:val="pl-PL"/>
        </w:rPr>
        <w:tab/>
      </w:r>
      <w:r w:rsidRPr="002B16DE">
        <w:rPr>
          <w:rFonts w:ascii="Times New Roman" w:hAnsi="Times New Roman" w:cs="Times New Roman"/>
          <w:noProof/>
          <w:lang w:val="bg-BG"/>
        </w:rPr>
        <w:t>Амизолмет</w:t>
      </w:r>
      <w:r w:rsidRPr="002B16DE">
        <w:rPr>
          <w:rFonts w:ascii="Times New Roman" w:hAnsi="Times New Roman" w:cs="Times New Roman"/>
          <w:noProof/>
          <w:lang w:val="pl-PL"/>
        </w:rPr>
        <w:t xml:space="preserve"> 500 mg/ml </w:t>
      </w:r>
      <w:r w:rsidRPr="002B16DE">
        <w:rPr>
          <w:rFonts w:ascii="Times New Roman" w:hAnsi="Times New Roman" w:cs="Times New Roman"/>
          <w:noProof/>
          <w:lang w:val="bg-BG"/>
        </w:rPr>
        <w:t>инжекционен разтвор</w:t>
      </w:r>
    </w:p>
    <w:p w14:paraId="4E2FF5B4" w14:textId="77777777" w:rsidR="00B060BD" w:rsidRPr="002B16DE" w:rsidRDefault="00B060BD" w:rsidP="00920924">
      <w:pPr>
        <w:spacing w:after="0" w:line="240" w:lineRule="auto"/>
        <w:rPr>
          <w:rFonts w:ascii="Times New Roman" w:hAnsi="Times New Roman" w:cs="Times New Roman"/>
          <w:noProof/>
        </w:rPr>
      </w:pPr>
      <w:r w:rsidRPr="002B16DE">
        <w:rPr>
          <w:rFonts w:ascii="Times New Roman" w:hAnsi="Times New Roman" w:cs="Times New Roman"/>
          <w:noProof/>
        </w:rPr>
        <w:t>Poland</w:t>
      </w:r>
      <w:r w:rsidRPr="002B16DE">
        <w:rPr>
          <w:rFonts w:ascii="Times New Roman" w:hAnsi="Times New Roman" w:cs="Times New Roman"/>
          <w:noProof/>
        </w:rPr>
        <w:tab/>
      </w:r>
      <w:r w:rsidRPr="002B16DE">
        <w:rPr>
          <w:rFonts w:ascii="Times New Roman" w:hAnsi="Times New Roman" w:cs="Times New Roman"/>
          <w:noProof/>
        </w:rPr>
        <w:tab/>
      </w:r>
      <w:r w:rsidRPr="002B16DE">
        <w:rPr>
          <w:rFonts w:ascii="Times New Roman" w:hAnsi="Times New Roman" w:cs="Times New Roman"/>
          <w:noProof/>
        </w:rPr>
        <w:tab/>
      </w:r>
      <w:r w:rsidRPr="002B16DE">
        <w:rPr>
          <w:rFonts w:ascii="Times New Roman" w:hAnsi="Times New Roman" w:cs="Times New Roman"/>
          <w:noProof/>
        </w:rPr>
        <w:tab/>
        <w:t>Pyreoxing</w:t>
      </w:r>
    </w:p>
    <w:p w14:paraId="20F1E311" w14:textId="77777777" w:rsidR="00B060BD" w:rsidRPr="002B16DE" w:rsidRDefault="00B060BD" w:rsidP="00920924">
      <w:pPr>
        <w:spacing w:after="0" w:line="240" w:lineRule="auto"/>
        <w:rPr>
          <w:rFonts w:ascii="Times New Roman" w:hAnsi="Times New Roman" w:cs="Times New Roman"/>
          <w:noProof/>
        </w:rPr>
      </w:pPr>
      <w:r w:rsidRPr="002B16DE">
        <w:rPr>
          <w:rFonts w:ascii="Times New Roman" w:hAnsi="Times New Roman" w:cs="Times New Roman"/>
          <w:noProof/>
        </w:rPr>
        <w:t>Lithuania</w:t>
      </w:r>
      <w:r w:rsidRPr="002B16DE">
        <w:rPr>
          <w:rFonts w:ascii="Times New Roman" w:hAnsi="Times New Roman" w:cs="Times New Roman"/>
          <w:noProof/>
        </w:rPr>
        <w:tab/>
      </w:r>
      <w:r w:rsidRPr="002B16DE">
        <w:rPr>
          <w:rFonts w:ascii="Times New Roman" w:hAnsi="Times New Roman" w:cs="Times New Roman"/>
          <w:noProof/>
        </w:rPr>
        <w:tab/>
      </w:r>
      <w:r w:rsidRPr="002B16DE">
        <w:rPr>
          <w:rFonts w:ascii="Times New Roman" w:hAnsi="Times New Roman" w:cs="Times New Roman"/>
          <w:noProof/>
        </w:rPr>
        <w:tab/>
        <w:t>Metamizole sodium Bausch Health 500 mg/ml injekcinis tirpalas</w:t>
      </w:r>
    </w:p>
    <w:p w14:paraId="272DBE02" w14:textId="77777777" w:rsidR="00B060BD" w:rsidRPr="00B060BD" w:rsidRDefault="00B060BD" w:rsidP="00B060BD">
      <w:pPr>
        <w:autoSpaceDE w:val="0"/>
        <w:autoSpaceDN w:val="0"/>
        <w:adjustRightInd w:val="0"/>
        <w:rPr>
          <w:b/>
          <w:bCs/>
          <w:szCs w:val="20"/>
        </w:rPr>
      </w:pPr>
    </w:p>
    <w:p w14:paraId="735A085E" w14:textId="40181801" w:rsidR="00E70994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"/>
        </w:rPr>
      </w:pPr>
      <w:r w:rsidRPr="005C22E5">
        <w:rPr>
          <w:rFonts w:ascii="Times New Roman" w:hAnsi="Times New Roman" w:cs="Times New Roman"/>
          <w:b/>
          <w:bCs/>
          <w:lang w:val="pl"/>
        </w:rPr>
        <w:t>Data ostatniej aktualizacji ulotki:</w:t>
      </w:r>
      <w:r w:rsidR="00C67067" w:rsidRPr="00C67067">
        <w:rPr>
          <w:rFonts w:ascii="Times New Roman" w:hAnsi="Times New Roman" w:cs="Times New Roman"/>
          <w:lang w:val="pl"/>
        </w:rPr>
        <w:t xml:space="preserve"> </w:t>
      </w:r>
      <w:r w:rsidR="00C67067">
        <w:rPr>
          <w:rFonts w:ascii="Times New Roman" w:hAnsi="Times New Roman" w:cs="Times New Roman"/>
          <w:lang w:val="pl"/>
        </w:rPr>
        <w:t>02</w:t>
      </w:r>
      <w:r w:rsidR="00C67067" w:rsidRPr="00507E7A">
        <w:rPr>
          <w:rFonts w:ascii="Times New Roman" w:hAnsi="Times New Roman" w:cs="Times New Roman"/>
          <w:lang w:val="pl"/>
        </w:rPr>
        <w:t>/202</w:t>
      </w:r>
      <w:r w:rsidR="00C67067">
        <w:rPr>
          <w:rFonts w:ascii="Times New Roman" w:hAnsi="Times New Roman" w:cs="Times New Roman"/>
          <w:lang w:val="pl"/>
        </w:rPr>
        <w:t>4</w:t>
      </w:r>
    </w:p>
    <w:p w14:paraId="5DEB0314" w14:textId="77777777" w:rsidR="00112C92" w:rsidRPr="005C22E5" w:rsidRDefault="00112C92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35A085F" w14:textId="77777777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---------------------------------------------------------------------------------------------------------------------------</w:t>
      </w:r>
    </w:p>
    <w:p w14:paraId="735A0860" w14:textId="77777777" w:rsidR="000314A1" w:rsidRPr="005C22E5" w:rsidRDefault="000314A1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</w:p>
    <w:p w14:paraId="735A0861" w14:textId="77777777" w:rsidR="00E70994" w:rsidRPr="005C22E5" w:rsidRDefault="00E70994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eastAsia="TimesNewRoman" w:hAnsi="Times New Roman" w:cs="Times New Roman"/>
          <w:lang w:val="pl"/>
        </w:rPr>
        <w:t>Informacje przeznaczone wyłącznie dla fachowego personelu medycznego:</w:t>
      </w:r>
    </w:p>
    <w:p w14:paraId="7DE2A30B" w14:textId="29CE5321" w:rsidR="00100592" w:rsidRPr="005C22E5" w:rsidRDefault="00100592" w:rsidP="005C22E5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Podawanie pozajelitowe wiąże się z wysokim ryzykiem reakcji anafilaktycznych</w:t>
      </w:r>
      <w:r w:rsidR="00ED4461" w:rsidRPr="00DE4605">
        <w:rPr>
          <w:rFonts w:ascii="Times New Roman" w:hAnsi="Times New Roman" w:cs="Times New Roman"/>
          <w:lang w:val="pl-PL"/>
        </w:rPr>
        <w:t xml:space="preserve"> i (lub) </w:t>
      </w:r>
      <w:proofErr w:type="spellStart"/>
      <w:r w:rsidRPr="005C22E5">
        <w:rPr>
          <w:rFonts w:ascii="Times New Roman" w:hAnsi="Times New Roman" w:cs="Times New Roman"/>
          <w:lang w:val="pl"/>
        </w:rPr>
        <w:t>anafilaktoidalnych</w:t>
      </w:r>
      <w:proofErr w:type="spellEnd"/>
      <w:r w:rsidRPr="005C22E5">
        <w:rPr>
          <w:rFonts w:ascii="Times New Roman" w:hAnsi="Times New Roman" w:cs="Times New Roman"/>
          <w:lang w:val="pl"/>
        </w:rPr>
        <w:t>.</w:t>
      </w:r>
    </w:p>
    <w:p w14:paraId="7A95DBC6" w14:textId="77777777" w:rsidR="00100592" w:rsidRPr="005C22E5" w:rsidRDefault="00100592" w:rsidP="005C22E5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Jeśli rozważa się wykonanie wstrzyknięcia u dzieci w wieku od 3 do 11 miesięcy, należy pamiętać, że metamizol u tych dzieci należy podawać wyłącznie domięśniowo.</w:t>
      </w:r>
    </w:p>
    <w:p w14:paraId="6D1D337A" w14:textId="0536CD23" w:rsidR="00100592" w:rsidRPr="005C22E5" w:rsidRDefault="00100592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lastRenderedPageBreak/>
        <w:t>Kluczowe znaczenie ma zagwarantowanie, że wstrzykiwanie produktu leczniczego zostanie przerwane w przypadku wystąpienia pierwszych objawów reakcji anafilaktycznej</w:t>
      </w:r>
      <w:r w:rsidR="00ED4461" w:rsidRPr="00DE4605">
        <w:rPr>
          <w:rFonts w:ascii="Times New Roman" w:hAnsi="Times New Roman" w:cs="Times New Roman"/>
          <w:lang w:val="pl-PL"/>
        </w:rPr>
        <w:t xml:space="preserve"> i (lub) </w:t>
      </w:r>
      <w:proofErr w:type="spellStart"/>
      <w:r w:rsidRPr="005C22E5">
        <w:rPr>
          <w:rFonts w:ascii="Times New Roman" w:hAnsi="Times New Roman" w:cs="Times New Roman"/>
          <w:lang w:val="pl"/>
        </w:rPr>
        <w:t>anafilaktoidalnej</w:t>
      </w:r>
      <w:proofErr w:type="spellEnd"/>
      <w:r w:rsidRPr="005C22E5">
        <w:rPr>
          <w:rFonts w:ascii="Times New Roman" w:hAnsi="Times New Roman" w:cs="Times New Roman"/>
          <w:lang w:val="pl"/>
        </w:rPr>
        <w:t xml:space="preserve">, oraz ograniczenie do minimum ryzyka wystąpienia izolowanego niedociśnienia. </w:t>
      </w:r>
    </w:p>
    <w:p w14:paraId="19018A96" w14:textId="18A6E655" w:rsidR="00100592" w:rsidRPr="005C22E5" w:rsidRDefault="00100592" w:rsidP="005C22E5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Podczas podawania pozajelitowego konieczne jest dopilnowanie, aby pacjent znajdował się w pozycji leżącej oraz był pod ścisłym nadzorem medycznym. Ponadto, aby zapobiec wystąpieniu reakcji hipotensyjnej, wstrzyknięcie dożylne należy wykonywać bardzo powoli, tzn. nie więcej niż 1 ml (500 mg metamizolu) na minutę.</w:t>
      </w:r>
    </w:p>
    <w:p w14:paraId="12A10512" w14:textId="77777777" w:rsidR="00100592" w:rsidRPr="005C22E5" w:rsidRDefault="00100592" w:rsidP="005C22E5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 xml:space="preserve">Roztwór do wstrzykiwań można rozcieńczyć 5% roztworem glukozy, 0,9% roztworem chlorku sodu lub roztworem </w:t>
      </w:r>
      <w:proofErr w:type="spellStart"/>
      <w:r w:rsidRPr="005C22E5">
        <w:rPr>
          <w:rFonts w:ascii="Times New Roman" w:hAnsi="Times New Roman" w:cs="Times New Roman"/>
          <w:lang w:val="pl"/>
        </w:rPr>
        <w:t>Ringera</w:t>
      </w:r>
      <w:proofErr w:type="spellEnd"/>
      <w:r w:rsidRPr="005C22E5">
        <w:rPr>
          <w:rFonts w:ascii="Times New Roman" w:hAnsi="Times New Roman" w:cs="Times New Roman"/>
          <w:lang w:val="pl"/>
        </w:rPr>
        <w:t>, jednak roztwory te należy podawać natychmiast, ponieważ ich trwałość jest ograniczona.</w:t>
      </w:r>
    </w:p>
    <w:p w14:paraId="464C519D" w14:textId="77777777" w:rsidR="00100592" w:rsidRPr="005C22E5" w:rsidRDefault="00100592" w:rsidP="005C22E5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5C22E5">
        <w:rPr>
          <w:rFonts w:ascii="Times New Roman" w:hAnsi="Times New Roman" w:cs="Times New Roman"/>
          <w:lang w:val="pl"/>
        </w:rPr>
        <w:t>Ze względu na możliwe niezgodności roztwór metamizolu nie powinien być podawany razem z innymi lekami stosowanymi we wstrzyknięciach.</w:t>
      </w:r>
    </w:p>
    <w:p w14:paraId="735A087C" w14:textId="73D1B2B8" w:rsidR="00C52B65" w:rsidRPr="005C22E5" w:rsidRDefault="00C52B65" w:rsidP="005C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sectPr w:rsidR="00C52B65" w:rsidRPr="005C22E5" w:rsidSect="000B30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44D"/>
    <w:multiLevelType w:val="hybridMultilevel"/>
    <w:tmpl w:val="22626F2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2022"/>
    <w:multiLevelType w:val="hybridMultilevel"/>
    <w:tmpl w:val="DFD0DAB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B06CD"/>
    <w:multiLevelType w:val="hybridMultilevel"/>
    <w:tmpl w:val="DC9E3678"/>
    <w:lvl w:ilvl="0" w:tplc="B8C28926"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39FF"/>
    <w:multiLevelType w:val="multilevel"/>
    <w:tmpl w:val="5CFA57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6F6CA3"/>
    <w:multiLevelType w:val="hybridMultilevel"/>
    <w:tmpl w:val="E47A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55049"/>
    <w:multiLevelType w:val="hybridMultilevel"/>
    <w:tmpl w:val="9124A93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B1A64"/>
    <w:multiLevelType w:val="hybridMultilevel"/>
    <w:tmpl w:val="D162256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5BF4"/>
    <w:multiLevelType w:val="hybridMultilevel"/>
    <w:tmpl w:val="F4E0D80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E1ADC"/>
    <w:multiLevelType w:val="hybridMultilevel"/>
    <w:tmpl w:val="46C08FC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7507E"/>
    <w:multiLevelType w:val="hybridMultilevel"/>
    <w:tmpl w:val="798211D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60B89"/>
    <w:multiLevelType w:val="hybridMultilevel"/>
    <w:tmpl w:val="6106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512C2"/>
    <w:multiLevelType w:val="hybridMultilevel"/>
    <w:tmpl w:val="9A729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6688344">
    <w:abstractNumId w:val="4"/>
  </w:num>
  <w:num w:numId="2" w16cid:durableId="1073619687">
    <w:abstractNumId w:val="2"/>
  </w:num>
  <w:num w:numId="3" w16cid:durableId="1243753943">
    <w:abstractNumId w:val="8"/>
  </w:num>
  <w:num w:numId="4" w16cid:durableId="272439141">
    <w:abstractNumId w:val="9"/>
  </w:num>
  <w:num w:numId="5" w16cid:durableId="177544765">
    <w:abstractNumId w:val="5"/>
  </w:num>
  <w:num w:numId="6" w16cid:durableId="858393664">
    <w:abstractNumId w:val="11"/>
  </w:num>
  <w:num w:numId="7" w16cid:durableId="1631857197">
    <w:abstractNumId w:val="10"/>
  </w:num>
  <w:num w:numId="8" w16cid:durableId="957101382">
    <w:abstractNumId w:val="1"/>
  </w:num>
  <w:num w:numId="9" w16cid:durableId="637807920">
    <w:abstractNumId w:val="3"/>
  </w:num>
  <w:num w:numId="10" w16cid:durableId="1607545478">
    <w:abstractNumId w:val="0"/>
  </w:num>
  <w:num w:numId="11" w16cid:durableId="1667443367">
    <w:abstractNumId w:val="7"/>
  </w:num>
  <w:num w:numId="12" w16cid:durableId="1037196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2MACSFmamBsbGBko6SsGpxcWZ+XkgBaa1AIY8MsYsAAAA"/>
  </w:docVars>
  <w:rsids>
    <w:rsidRoot w:val="008402A3"/>
    <w:rsid w:val="00005733"/>
    <w:rsid w:val="000314A1"/>
    <w:rsid w:val="000468E1"/>
    <w:rsid w:val="00052EBF"/>
    <w:rsid w:val="000559E6"/>
    <w:rsid w:val="00070B7A"/>
    <w:rsid w:val="000760E4"/>
    <w:rsid w:val="00097969"/>
    <w:rsid w:val="000B30ED"/>
    <w:rsid w:val="000B77EC"/>
    <w:rsid w:val="000D1B35"/>
    <w:rsid w:val="000D1FA9"/>
    <w:rsid w:val="000D6E50"/>
    <w:rsid w:val="000E3650"/>
    <w:rsid w:val="000F2522"/>
    <w:rsid w:val="00100592"/>
    <w:rsid w:val="00103F7B"/>
    <w:rsid w:val="00112C92"/>
    <w:rsid w:val="0011420F"/>
    <w:rsid w:val="00115898"/>
    <w:rsid w:val="00131231"/>
    <w:rsid w:val="00131679"/>
    <w:rsid w:val="00131E3A"/>
    <w:rsid w:val="00151799"/>
    <w:rsid w:val="00164523"/>
    <w:rsid w:val="00192A33"/>
    <w:rsid w:val="00193FEB"/>
    <w:rsid w:val="00196573"/>
    <w:rsid w:val="00197E1A"/>
    <w:rsid w:val="001D5725"/>
    <w:rsid w:val="001E2191"/>
    <w:rsid w:val="002533B6"/>
    <w:rsid w:val="00257E6D"/>
    <w:rsid w:val="00267987"/>
    <w:rsid w:val="00293CE9"/>
    <w:rsid w:val="002A06F2"/>
    <w:rsid w:val="002B16DE"/>
    <w:rsid w:val="002D4764"/>
    <w:rsid w:val="00330A9F"/>
    <w:rsid w:val="00331D1A"/>
    <w:rsid w:val="003463E3"/>
    <w:rsid w:val="00352F5D"/>
    <w:rsid w:val="003E07DF"/>
    <w:rsid w:val="003E670E"/>
    <w:rsid w:val="003F3584"/>
    <w:rsid w:val="00403A41"/>
    <w:rsid w:val="004063B5"/>
    <w:rsid w:val="004131BF"/>
    <w:rsid w:val="00425397"/>
    <w:rsid w:val="00434428"/>
    <w:rsid w:val="004405E8"/>
    <w:rsid w:val="004411CF"/>
    <w:rsid w:val="00462DDA"/>
    <w:rsid w:val="004643E0"/>
    <w:rsid w:val="00466B3D"/>
    <w:rsid w:val="00471529"/>
    <w:rsid w:val="0048097D"/>
    <w:rsid w:val="00481C8C"/>
    <w:rsid w:val="004A6A47"/>
    <w:rsid w:val="004B2696"/>
    <w:rsid w:val="004D3A67"/>
    <w:rsid w:val="004D57C4"/>
    <w:rsid w:val="004E0195"/>
    <w:rsid w:val="004E734D"/>
    <w:rsid w:val="00506E17"/>
    <w:rsid w:val="00520C26"/>
    <w:rsid w:val="005520F0"/>
    <w:rsid w:val="005539D1"/>
    <w:rsid w:val="005626B5"/>
    <w:rsid w:val="0058728B"/>
    <w:rsid w:val="005B56B9"/>
    <w:rsid w:val="005C189A"/>
    <w:rsid w:val="005C22E5"/>
    <w:rsid w:val="005F62C6"/>
    <w:rsid w:val="00611A68"/>
    <w:rsid w:val="006140BB"/>
    <w:rsid w:val="00622D03"/>
    <w:rsid w:val="00636D51"/>
    <w:rsid w:val="00665D98"/>
    <w:rsid w:val="00665DA9"/>
    <w:rsid w:val="00675793"/>
    <w:rsid w:val="00677A21"/>
    <w:rsid w:val="00682BF9"/>
    <w:rsid w:val="006D7C4A"/>
    <w:rsid w:val="00704164"/>
    <w:rsid w:val="00706E24"/>
    <w:rsid w:val="00721E2D"/>
    <w:rsid w:val="007264B6"/>
    <w:rsid w:val="00735F8E"/>
    <w:rsid w:val="0075601F"/>
    <w:rsid w:val="00761FA8"/>
    <w:rsid w:val="00785C80"/>
    <w:rsid w:val="007D5C67"/>
    <w:rsid w:val="007E60F3"/>
    <w:rsid w:val="00823FFD"/>
    <w:rsid w:val="00835C2A"/>
    <w:rsid w:val="008369DC"/>
    <w:rsid w:val="008402A3"/>
    <w:rsid w:val="008522EB"/>
    <w:rsid w:val="008568BC"/>
    <w:rsid w:val="008828EB"/>
    <w:rsid w:val="00897C2E"/>
    <w:rsid w:val="008A67EF"/>
    <w:rsid w:val="008B5D80"/>
    <w:rsid w:val="008E727F"/>
    <w:rsid w:val="008F549C"/>
    <w:rsid w:val="0090442E"/>
    <w:rsid w:val="00920924"/>
    <w:rsid w:val="0093506A"/>
    <w:rsid w:val="009359CD"/>
    <w:rsid w:val="00940541"/>
    <w:rsid w:val="00945E8C"/>
    <w:rsid w:val="00950BA3"/>
    <w:rsid w:val="00984777"/>
    <w:rsid w:val="009D482B"/>
    <w:rsid w:val="009D7F2B"/>
    <w:rsid w:val="009E7C9E"/>
    <w:rsid w:val="00A37DF6"/>
    <w:rsid w:val="00A44A6F"/>
    <w:rsid w:val="00A86FC7"/>
    <w:rsid w:val="00A92D3B"/>
    <w:rsid w:val="00A9752B"/>
    <w:rsid w:val="00AC674E"/>
    <w:rsid w:val="00AC74D4"/>
    <w:rsid w:val="00AF49C9"/>
    <w:rsid w:val="00B060BD"/>
    <w:rsid w:val="00B15881"/>
    <w:rsid w:val="00B32921"/>
    <w:rsid w:val="00B42C09"/>
    <w:rsid w:val="00B57D56"/>
    <w:rsid w:val="00B644D6"/>
    <w:rsid w:val="00B77642"/>
    <w:rsid w:val="00B92EC6"/>
    <w:rsid w:val="00BA4F7C"/>
    <w:rsid w:val="00BE4D6B"/>
    <w:rsid w:val="00BE5D5B"/>
    <w:rsid w:val="00BE7821"/>
    <w:rsid w:val="00C00F58"/>
    <w:rsid w:val="00C11E3F"/>
    <w:rsid w:val="00C26F78"/>
    <w:rsid w:val="00C325F3"/>
    <w:rsid w:val="00C32F30"/>
    <w:rsid w:val="00C52B65"/>
    <w:rsid w:val="00C67067"/>
    <w:rsid w:val="00C92EBF"/>
    <w:rsid w:val="00CC32AC"/>
    <w:rsid w:val="00CD1DE3"/>
    <w:rsid w:val="00CF3C6C"/>
    <w:rsid w:val="00D02A2B"/>
    <w:rsid w:val="00D11832"/>
    <w:rsid w:val="00D15499"/>
    <w:rsid w:val="00D347E0"/>
    <w:rsid w:val="00D5021A"/>
    <w:rsid w:val="00D52DDB"/>
    <w:rsid w:val="00D536F7"/>
    <w:rsid w:val="00D622AC"/>
    <w:rsid w:val="00D63EA3"/>
    <w:rsid w:val="00DA042D"/>
    <w:rsid w:val="00DB4EB5"/>
    <w:rsid w:val="00DE0811"/>
    <w:rsid w:val="00DE4605"/>
    <w:rsid w:val="00DF6C05"/>
    <w:rsid w:val="00E21B66"/>
    <w:rsid w:val="00E55356"/>
    <w:rsid w:val="00E57672"/>
    <w:rsid w:val="00E60E97"/>
    <w:rsid w:val="00E70994"/>
    <w:rsid w:val="00E7116B"/>
    <w:rsid w:val="00E83D21"/>
    <w:rsid w:val="00E92C95"/>
    <w:rsid w:val="00EB09FF"/>
    <w:rsid w:val="00EC3B6C"/>
    <w:rsid w:val="00EC6ECA"/>
    <w:rsid w:val="00ED293C"/>
    <w:rsid w:val="00ED4461"/>
    <w:rsid w:val="00EF0684"/>
    <w:rsid w:val="00EF3F6A"/>
    <w:rsid w:val="00EF4D69"/>
    <w:rsid w:val="00F01E83"/>
    <w:rsid w:val="00F23268"/>
    <w:rsid w:val="00F308EF"/>
    <w:rsid w:val="00F43BEB"/>
    <w:rsid w:val="00F43E73"/>
    <w:rsid w:val="00F56998"/>
    <w:rsid w:val="00F612CB"/>
    <w:rsid w:val="00F668C8"/>
    <w:rsid w:val="00F8786C"/>
    <w:rsid w:val="00F87DAB"/>
    <w:rsid w:val="00FC51EA"/>
    <w:rsid w:val="00FD5C5B"/>
    <w:rsid w:val="00FD636E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07DD"/>
  <w15:docId w15:val="{BBFDC51B-5611-4476-821B-A310FBE3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8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58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6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6E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6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ECA"/>
    <w:rPr>
      <w:b/>
      <w:bCs/>
      <w:sz w:val="20"/>
      <w:szCs w:val="20"/>
    </w:rPr>
  </w:style>
  <w:style w:type="paragraph" w:customStyle="1" w:styleId="Default">
    <w:name w:val="Default"/>
    <w:rsid w:val="004D57C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pl-PL"/>
    </w:rPr>
  </w:style>
  <w:style w:type="character" w:customStyle="1" w:styleId="Teksttreci">
    <w:name w:val="Tekst treści_"/>
    <w:basedOn w:val="Domylnaczcionkaakapitu"/>
    <w:link w:val="Teksttreci0"/>
    <w:locked/>
    <w:rsid w:val="00BE4D6B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E4D6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D02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22824D29B42BC563E4E24B7E97D" ma:contentTypeVersion="0" ma:contentTypeDescription="Create a new document." ma:contentTypeScope="" ma:versionID="d6e1ea635510181dc507512d78b27d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4B223-FE3C-4DC0-AC83-E4448B986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DC1185-8C9A-47DB-9B8F-1FF1059AE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42B8B-BDE7-4658-82E8-1D868F245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C6EA6C-AA6E-434D-A0B2-70A0409FB4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72dda32-ee80-4da8-a3ac-ec0e9e41a50a}" enabled="0" method="" siteId="{a72dda32-ee80-4da8-a3ac-ec0e9e41a50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3410</Words>
  <Characters>20463</Characters>
  <Application>Microsoft Office Word</Application>
  <DocSecurity>0</DocSecurity>
  <Lines>170</Lines>
  <Paragraphs>47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PharmaSwiss</Company>
  <LinksUpToDate>false</LinksUpToDate>
  <CharactersWithSpaces>23826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Nevrklova, Michaela</dc:creator>
  <cp:lastModifiedBy>Zmarzlik-Borowska, Joanna</cp:lastModifiedBy>
  <cp:revision>5</cp:revision>
  <dcterms:created xsi:type="dcterms:W3CDTF">2023-10-31T11:03:00Z</dcterms:created>
  <dcterms:modified xsi:type="dcterms:W3CDTF">2024-02-16T13:47:00Z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0x010100FDBC022824D29B42BC563E4E24B7E97D</vt:lpwstr>
  </property>
  <property fmtid="{D5CDD505-2E9C-101B-9397-08002B2CF9AE}" pid="3" name="MSIP_Label_c449097d-8494-49be-8a4b-4e936cf918e5_Enabled">
    <vt:lpwstr>true</vt:lpwstr>
  </property>
  <property fmtid="{D5CDD505-2E9C-101B-9397-08002B2CF9AE}" pid="4" name="MSIP_Label_c449097d-8494-49be-8a4b-4e936cf918e5_SetDate">
    <vt:lpwstr>2022-07-01T15:15:18Z</vt:lpwstr>
  </property>
  <property fmtid="{D5CDD505-2E9C-101B-9397-08002B2CF9AE}" pid="5" name="MSIP_Label_c449097d-8494-49be-8a4b-4e936cf918e5_Method">
    <vt:lpwstr>Standard</vt:lpwstr>
  </property>
  <property fmtid="{D5CDD505-2E9C-101B-9397-08002B2CF9AE}" pid="6" name="MSIP_Label_c449097d-8494-49be-8a4b-4e936cf918e5_Name">
    <vt:lpwstr>CORP SpinCo Information Label</vt:lpwstr>
  </property>
  <property fmtid="{D5CDD505-2E9C-101B-9397-08002B2CF9AE}" pid="7" name="MSIP_Label_c449097d-8494-49be-8a4b-4e936cf918e5_SiteId">
    <vt:lpwstr>a72dda32-ee80-4da8-a3ac-ec0e9e41a50a</vt:lpwstr>
  </property>
  <property fmtid="{D5CDD505-2E9C-101B-9397-08002B2CF9AE}" pid="8" name="MSIP_Label_c449097d-8494-49be-8a4b-4e936cf918e5_ActionId">
    <vt:lpwstr>a3a3dfb3-adac-49e6-9137-6536cce7ed86</vt:lpwstr>
  </property>
  <property fmtid="{D5CDD505-2E9C-101B-9397-08002B2CF9AE}" pid="9" name="MSIP_Label_c449097d-8494-49be-8a4b-4e936cf918e5_ContentBits">
    <vt:lpwstr>0</vt:lpwstr>
  </property>
</Properties>
</file>