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336E" w14:textId="77777777" w:rsidR="000B30ED" w:rsidRPr="003D7CA4" w:rsidRDefault="000B30ED" w:rsidP="00D20465">
      <w:pPr>
        <w:autoSpaceDE w:val="0"/>
        <w:autoSpaceDN w:val="0"/>
        <w:adjustRightInd w:val="0"/>
        <w:spacing w:after="0" w:line="240" w:lineRule="auto"/>
        <w:rPr>
          <w:rFonts w:ascii="Times New Roman" w:hAnsi="Times New Roman" w:cs="Times New Roman"/>
          <w:b/>
          <w:bCs/>
          <w:lang w:val="pl-PL"/>
        </w:rPr>
      </w:pPr>
      <w:r w:rsidRPr="003D7CA4">
        <w:rPr>
          <w:rFonts w:ascii="Times New Roman" w:hAnsi="Times New Roman" w:cs="Times New Roman"/>
          <w:b/>
          <w:bCs/>
          <w:lang w:val="pl-PL"/>
        </w:rPr>
        <w:t>1. NAZWA PRODUKTU LECZNICZEGO</w:t>
      </w:r>
    </w:p>
    <w:p w14:paraId="40C1336F" w14:textId="77777777" w:rsidR="00554BF5" w:rsidRPr="003D7CA4" w:rsidRDefault="00554BF5" w:rsidP="00D20465">
      <w:pPr>
        <w:autoSpaceDE w:val="0"/>
        <w:autoSpaceDN w:val="0"/>
        <w:adjustRightInd w:val="0"/>
        <w:spacing w:after="0" w:line="240" w:lineRule="auto"/>
        <w:rPr>
          <w:rFonts w:ascii="Times New Roman" w:eastAsia="TimesNewRoman" w:hAnsi="Times New Roman" w:cs="Times New Roman"/>
          <w:lang w:val="pl-PL"/>
        </w:rPr>
      </w:pPr>
    </w:p>
    <w:p w14:paraId="1B23751A" w14:textId="6163C68F" w:rsidR="00814E1F" w:rsidRDefault="000933A3" w:rsidP="001E5CDC">
      <w:pPr>
        <w:spacing w:after="0"/>
        <w:rPr>
          <w:rFonts w:ascii="Times New Roman" w:eastAsia="TimesNewRoman" w:hAnsi="Times New Roman" w:cs="Times New Roman"/>
          <w:lang w:val="pl-PL"/>
        </w:rPr>
      </w:pPr>
      <w:r>
        <w:rPr>
          <w:rFonts w:ascii="Times New Roman" w:hAnsi="Times New Roman" w:cs="Times New Roman"/>
          <w:noProof/>
          <w:lang w:val="pl-PL"/>
        </w:rPr>
        <w:t>Pyreoxing</w:t>
      </w:r>
      <w:r w:rsidR="00814E1F" w:rsidRPr="003D7CA4">
        <w:rPr>
          <w:rFonts w:ascii="Times New Roman" w:eastAsia="TimesNewRoman" w:hAnsi="Times New Roman" w:cs="Times New Roman"/>
          <w:lang w:val="pl-PL"/>
        </w:rPr>
        <w:t xml:space="preserve">, 500 mg/ml, roztwór do </w:t>
      </w:r>
      <w:proofErr w:type="spellStart"/>
      <w:r w:rsidR="00814E1F" w:rsidRPr="003D7CA4">
        <w:rPr>
          <w:rFonts w:ascii="Times New Roman" w:eastAsia="TimesNewRoman" w:hAnsi="Times New Roman" w:cs="Times New Roman"/>
          <w:lang w:val="pl-PL"/>
        </w:rPr>
        <w:t>wstrzykiwań</w:t>
      </w:r>
      <w:proofErr w:type="spellEnd"/>
    </w:p>
    <w:p w14:paraId="4BC53590" w14:textId="77777777" w:rsidR="001E5CDC" w:rsidRPr="003D7CA4" w:rsidRDefault="001E5CDC" w:rsidP="001E5CDC">
      <w:pPr>
        <w:spacing w:after="0"/>
        <w:rPr>
          <w:rFonts w:ascii="Times New Roman" w:hAnsi="Times New Roman" w:cs="Times New Roman"/>
          <w:b/>
          <w:bCs/>
          <w:lang w:val="pl-PL"/>
        </w:rPr>
      </w:pPr>
    </w:p>
    <w:p w14:paraId="40C13373" w14:textId="77777777" w:rsidR="00902476" w:rsidRPr="003D7CA4" w:rsidRDefault="00902476" w:rsidP="00D20465">
      <w:pPr>
        <w:autoSpaceDE w:val="0"/>
        <w:autoSpaceDN w:val="0"/>
        <w:adjustRightInd w:val="0"/>
        <w:spacing w:after="0" w:line="240" w:lineRule="auto"/>
        <w:rPr>
          <w:rFonts w:ascii="Times New Roman" w:hAnsi="Times New Roman" w:cs="Times New Roman"/>
          <w:b/>
          <w:bCs/>
          <w:lang w:val="pl-PL"/>
        </w:rPr>
      </w:pPr>
    </w:p>
    <w:p w14:paraId="40C13374" w14:textId="77777777" w:rsidR="000B30ED" w:rsidRPr="003D7CA4" w:rsidRDefault="000B30ED" w:rsidP="00D20465">
      <w:pPr>
        <w:autoSpaceDE w:val="0"/>
        <w:autoSpaceDN w:val="0"/>
        <w:adjustRightInd w:val="0"/>
        <w:spacing w:after="0" w:line="240" w:lineRule="auto"/>
        <w:rPr>
          <w:rFonts w:ascii="Times New Roman" w:hAnsi="Times New Roman" w:cs="Times New Roman"/>
          <w:b/>
          <w:bCs/>
          <w:lang w:val="pl-PL"/>
        </w:rPr>
      </w:pPr>
      <w:r w:rsidRPr="003D7CA4">
        <w:rPr>
          <w:rFonts w:ascii="Times New Roman" w:hAnsi="Times New Roman" w:cs="Times New Roman"/>
          <w:b/>
          <w:bCs/>
          <w:lang w:val="pl-PL"/>
        </w:rPr>
        <w:t>2. SKŁAD JAKOŚCIOWY I ILOŚCIOWY</w:t>
      </w:r>
    </w:p>
    <w:p w14:paraId="40C13375" w14:textId="77777777" w:rsidR="00554BF5" w:rsidRPr="003D7CA4" w:rsidRDefault="00554BF5" w:rsidP="00D20465">
      <w:pPr>
        <w:autoSpaceDE w:val="0"/>
        <w:autoSpaceDN w:val="0"/>
        <w:adjustRightInd w:val="0"/>
        <w:spacing w:after="0" w:line="240" w:lineRule="auto"/>
        <w:rPr>
          <w:rFonts w:ascii="Times New Roman" w:eastAsia="TimesNewRoman" w:hAnsi="Times New Roman" w:cs="Times New Roman"/>
          <w:lang w:val="pl-PL"/>
        </w:rPr>
      </w:pPr>
    </w:p>
    <w:p w14:paraId="40C13376" w14:textId="1C1EE0EB" w:rsidR="000B30ED" w:rsidRPr="003D7CA4" w:rsidRDefault="000B30ED" w:rsidP="00D20465">
      <w:pPr>
        <w:autoSpaceDE w:val="0"/>
        <w:autoSpaceDN w:val="0"/>
        <w:adjustRightInd w:val="0"/>
        <w:spacing w:after="0" w:line="240" w:lineRule="auto"/>
        <w:rPr>
          <w:rFonts w:ascii="Times New Roman" w:eastAsia="TimesNewRoman" w:hAnsi="Times New Roman" w:cs="Times New Roman"/>
          <w:lang w:val="pl-PL"/>
        </w:rPr>
      </w:pPr>
      <w:r w:rsidRPr="003D7CA4">
        <w:rPr>
          <w:rFonts w:ascii="Times New Roman" w:eastAsia="TimesNewRoman" w:hAnsi="Times New Roman" w:cs="Times New Roman"/>
          <w:lang w:val="pl-PL"/>
        </w:rPr>
        <w:t>Każdy m</w:t>
      </w:r>
      <w:r w:rsidR="00427280">
        <w:rPr>
          <w:rFonts w:ascii="Times New Roman" w:eastAsia="TimesNewRoman" w:hAnsi="Times New Roman" w:cs="Times New Roman"/>
          <w:lang w:val="pl-PL"/>
        </w:rPr>
        <w:t>l</w:t>
      </w:r>
      <w:r w:rsidRPr="003D7CA4">
        <w:rPr>
          <w:rFonts w:ascii="Times New Roman" w:eastAsia="TimesNewRoman" w:hAnsi="Times New Roman" w:cs="Times New Roman"/>
          <w:lang w:val="pl-PL"/>
        </w:rPr>
        <w:t xml:space="preserve"> roztworu </w:t>
      </w:r>
      <w:r w:rsidR="00C67519" w:rsidRPr="003D7CA4">
        <w:rPr>
          <w:rFonts w:ascii="Times New Roman" w:eastAsia="TimesNewRoman" w:hAnsi="Times New Roman" w:cs="Times New Roman"/>
          <w:lang w:val="pl-PL"/>
        </w:rPr>
        <w:t xml:space="preserve">do </w:t>
      </w:r>
      <w:proofErr w:type="spellStart"/>
      <w:r w:rsidR="00C67519" w:rsidRPr="003D7CA4">
        <w:rPr>
          <w:rFonts w:ascii="Times New Roman" w:eastAsia="TimesNewRoman" w:hAnsi="Times New Roman" w:cs="Times New Roman"/>
          <w:lang w:val="pl-PL"/>
        </w:rPr>
        <w:t>wstrzykiwań</w:t>
      </w:r>
      <w:proofErr w:type="spellEnd"/>
      <w:r w:rsidR="00C67519" w:rsidRPr="003D7CA4">
        <w:rPr>
          <w:rFonts w:ascii="Times New Roman" w:eastAsia="TimesNewRoman" w:hAnsi="Times New Roman" w:cs="Times New Roman"/>
          <w:lang w:val="pl-PL"/>
        </w:rPr>
        <w:t xml:space="preserve"> </w:t>
      </w:r>
      <w:r w:rsidRPr="003D7CA4">
        <w:rPr>
          <w:rFonts w:ascii="Times New Roman" w:eastAsia="TimesNewRoman" w:hAnsi="Times New Roman" w:cs="Times New Roman"/>
          <w:lang w:val="pl-PL"/>
        </w:rPr>
        <w:t>zawiera 500 </w:t>
      </w:r>
      <w:r w:rsidRPr="00E71AE2">
        <w:rPr>
          <w:rFonts w:ascii="Times New Roman" w:eastAsia="TimesNewRoman" w:hAnsi="Times New Roman" w:cs="Times New Roman"/>
          <w:lang w:val="pl-PL"/>
        </w:rPr>
        <w:t>mg metamizolu</w:t>
      </w:r>
      <w:r w:rsidR="00814E1F" w:rsidRPr="00E71AE2">
        <w:rPr>
          <w:rFonts w:ascii="Times New Roman" w:eastAsia="TimesNewRoman" w:hAnsi="Times New Roman" w:cs="Times New Roman"/>
          <w:lang w:val="pl-PL"/>
        </w:rPr>
        <w:t xml:space="preserve"> sod</w:t>
      </w:r>
      <w:r w:rsidR="00C360A9" w:rsidRPr="00E71AE2">
        <w:rPr>
          <w:rFonts w:ascii="Times New Roman" w:eastAsia="TimesNewRoman" w:hAnsi="Times New Roman" w:cs="Times New Roman"/>
          <w:lang w:val="pl-PL"/>
        </w:rPr>
        <w:t>owego</w:t>
      </w:r>
      <w:r w:rsidRPr="00E71AE2">
        <w:rPr>
          <w:rFonts w:ascii="Times New Roman" w:eastAsia="TimesNewRoman" w:hAnsi="Times New Roman" w:cs="Times New Roman"/>
          <w:lang w:val="pl-PL"/>
        </w:rPr>
        <w:t>.</w:t>
      </w:r>
    </w:p>
    <w:p w14:paraId="40C13377" w14:textId="77777777" w:rsidR="000B30ED" w:rsidRPr="003D7CA4" w:rsidRDefault="000B30ED" w:rsidP="00D20465">
      <w:pPr>
        <w:autoSpaceDE w:val="0"/>
        <w:autoSpaceDN w:val="0"/>
        <w:adjustRightInd w:val="0"/>
        <w:spacing w:after="0" w:line="240" w:lineRule="auto"/>
        <w:rPr>
          <w:rFonts w:ascii="Times New Roman" w:eastAsia="TimesNewRoman" w:hAnsi="Times New Roman" w:cs="Times New Roman"/>
          <w:lang w:val="pl-PL"/>
        </w:rPr>
      </w:pPr>
      <w:r w:rsidRPr="003D7CA4">
        <w:rPr>
          <w:rFonts w:ascii="Times New Roman" w:eastAsia="TimesNewRoman" w:hAnsi="Times New Roman" w:cs="Times New Roman"/>
          <w:lang w:val="pl-PL"/>
        </w:rPr>
        <w:t>Pełny wykaz substancji pomocniczych, patrz punkt 6.1.</w:t>
      </w:r>
    </w:p>
    <w:p w14:paraId="40C13378" w14:textId="77777777" w:rsidR="00902476" w:rsidRPr="003D7CA4" w:rsidRDefault="00902476" w:rsidP="00D20465">
      <w:pPr>
        <w:autoSpaceDE w:val="0"/>
        <w:autoSpaceDN w:val="0"/>
        <w:adjustRightInd w:val="0"/>
        <w:spacing w:after="0" w:line="240" w:lineRule="auto"/>
        <w:rPr>
          <w:rFonts w:ascii="Times New Roman" w:hAnsi="Times New Roman" w:cs="Times New Roman"/>
          <w:b/>
          <w:bCs/>
          <w:lang w:val="pl-PL"/>
        </w:rPr>
      </w:pPr>
    </w:p>
    <w:p w14:paraId="40C13379" w14:textId="77777777" w:rsidR="00902476" w:rsidRPr="003D7CA4" w:rsidRDefault="00902476" w:rsidP="00D20465">
      <w:pPr>
        <w:autoSpaceDE w:val="0"/>
        <w:autoSpaceDN w:val="0"/>
        <w:adjustRightInd w:val="0"/>
        <w:spacing w:after="0" w:line="240" w:lineRule="auto"/>
        <w:rPr>
          <w:rFonts w:ascii="Times New Roman" w:hAnsi="Times New Roman" w:cs="Times New Roman"/>
          <w:b/>
          <w:bCs/>
          <w:lang w:val="pl-PL"/>
        </w:rPr>
      </w:pPr>
    </w:p>
    <w:p w14:paraId="40C1337A" w14:textId="77777777" w:rsidR="000B30ED" w:rsidRPr="003D7CA4" w:rsidRDefault="000B30ED" w:rsidP="00D20465">
      <w:pPr>
        <w:autoSpaceDE w:val="0"/>
        <w:autoSpaceDN w:val="0"/>
        <w:adjustRightInd w:val="0"/>
        <w:spacing w:after="0" w:line="240" w:lineRule="auto"/>
        <w:rPr>
          <w:rFonts w:ascii="Times New Roman" w:hAnsi="Times New Roman" w:cs="Times New Roman"/>
          <w:b/>
          <w:bCs/>
          <w:lang w:val="pl-PL"/>
        </w:rPr>
      </w:pPr>
      <w:r w:rsidRPr="003D7CA4">
        <w:rPr>
          <w:rFonts w:ascii="Times New Roman" w:hAnsi="Times New Roman" w:cs="Times New Roman"/>
          <w:b/>
          <w:bCs/>
          <w:lang w:val="pl-PL"/>
        </w:rPr>
        <w:t>3. POSTAĆ FARMACEUTYCZNA</w:t>
      </w:r>
    </w:p>
    <w:p w14:paraId="40C1337B" w14:textId="77777777" w:rsidR="00554BF5" w:rsidRPr="003D7CA4" w:rsidRDefault="00554BF5" w:rsidP="00D20465">
      <w:pPr>
        <w:autoSpaceDE w:val="0"/>
        <w:autoSpaceDN w:val="0"/>
        <w:adjustRightInd w:val="0"/>
        <w:spacing w:after="0" w:line="240" w:lineRule="auto"/>
        <w:rPr>
          <w:rFonts w:ascii="Times New Roman" w:eastAsia="TimesNewRoman" w:hAnsi="Times New Roman" w:cs="Times New Roman"/>
          <w:lang w:val="pl-PL"/>
        </w:rPr>
      </w:pPr>
    </w:p>
    <w:p w14:paraId="40C1337C" w14:textId="77777777" w:rsidR="000B30ED" w:rsidRPr="003D7CA4" w:rsidRDefault="000B30ED" w:rsidP="00D20465">
      <w:pPr>
        <w:autoSpaceDE w:val="0"/>
        <w:autoSpaceDN w:val="0"/>
        <w:adjustRightInd w:val="0"/>
        <w:spacing w:after="0" w:line="240" w:lineRule="auto"/>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Roztwór do </w:t>
      </w:r>
      <w:proofErr w:type="spellStart"/>
      <w:r w:rsidRPr="003D7CA4">
        <w:rPr>
          <w:rFonts w:ascii="Times New Roman" w:eastAsia="TimesNewRoman" w:hAnsi="Times New Roman" w:cs="Times New Roman"/>
          <w:lang w:val="pl-PL"/>
        </w:rPr>
        <w:t>wstrzykiwań</w:t>
      </w:r>
      <w:proofErr w:type="spellEnd"/>
      <w:r w:rsidRPr="003D7CA4">
        <w:rPr>
          <w:rFonts w:ascii="Times New Roman" w:eastAsia="TimesNewRoman" w:hAnsi="Times New Roman" w:cs="Times New Roman"/>
          <w:lang w:val="pl-PL"/>
        </w:rPr>
        <w:t>.</w:t>
      </w:r>
    </w:p>
    <w:p w14:paraId="40C1337D" w14:textId="77777777" w:rsidR="000B30ED" w:rsidRPr="003D7CA4" w:rsidRDefault="000B30ED" w:rsidP="00D20465">
      <w:pPr>
        <w:autoSpaceDE w:val="0"/>
        <w:autoSpaceDN w:val="0"/>
        <w:adjustRightInd w:val="0"/>
        <w:spacing w:after="0" w:line="240" w:lineRule="auto"/>
        <w:rPr>
          <w:rFonts w:ascii="Times New Roman" w:eastAsia="TimesNewRoman" w:hAnsi="Times New Roman" w:cs="Times New Roman"/>
          <w:lang w:val="pl-PL"/>
        </w:rPr>
      </w:pPr>
      <w:r w:rsidRPr="003D7CA4">
        <w:rPr>
          <w:rFonts w:ascii="Times New Roman" w:eastAsia="TimesNewRoman" w:hAnsi="Times New Roman" w:cs="Times New Roman"/>
          <w:lang w:val="pl-PL"/>
        </w:rPr>
        <w:t>Przezroczysty, bezbarwny do lekko brązowo-żółtego roztwór, praktycznie wolny od cząstek stałych.</w:t>
      </w:r>
    </w:p>
    <w:p w14:paraId="40C1337E" w14:textId="77777777" w:rsidR="00902476" w:rsidRPr="003D7CA4" w:rsidRDefault="00902476" w:rsidP="00D20465">
      <w:pPr>
        <w:autoSpaceDE w:val="0"/>
        <w:autoSpaceDN w:val="0"/>
        <w:adjustRightInd w:val="0"/>
        <w:spacing w:after="0" w:line="240" w:lineRule="auto"/>
        <w:rPr>
          <w:rFonts w:ascii="Times New Roman" w:hAnsi="Times New Roman" w:cs="Times New Roman"/>
          <w:b/>
          <w:bCs/>
          <w:lang w:val="pl-PL"/>
        </w:rPr>
      </w:pPr>
    </w:p>
    <w:p w14:paraId="40C1337F" w14:textId="77777777" w:rsidR="00902476" w:rsidRPr="003D7CA4" w:rsidRDefault="00902476" w:rsidP="00D20465">
      <w:pPr>
        <w:autoSpaceDE w:val="0"/>
        <w:autoSpaceDN w:val="0"/>
        <w:adjustRightInd w:val="0"/>
        <w:spacing w:after="0" w:line="240" w:lineRule="auto"/>
        <w:rPr>
          <w:rFonts w:ascii="Times New Roman" w:hAnsi="Times New Roman" w:cs="Times New Roman"/>
          <w:b/>
          <w:bCs/>
          <w:lang w:val="pl-PL"/>
        </w:rPr>
      </w:pPr>
    </w:p>
    <w:p w14:paraId="40C13380"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4. SZCZEGÓŁOWE DANE KLINICZNE</w:t>
      </w:r>
    </w:p>
    <w:p w14:paraId="40C13381" w14:textId="77777777" w:rsidR="00902476" w:rsidRPr="003D7CA4" w:rsidRDefault="00902476" w:rsidP="00D20465">
      <w:pPr>
        <w:autoSpaceDE w:val="0"/>
        <w:autoSpaceDN w:val="0"/>
        <w:adjustRightInd w:val="0"/>
        <w:spacing w:after="0" w:line="240" w:lineRule="auto"/>
        <w:jc w:val="both"/>
        <w:rPr>
          <w:rFonts w:ascii="Times New Roman" w:hAnsi="Times New Roman" w:cs="Times New Roman"/>
          <w:b/>
          <w:bCs/>
          <w:lang w:val="pl-PL"/>
        </w:rPr>
      </w:pPr>
    </w:p>
    <w:p w14:paraId="40C13382"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4.1 Wskazania do stosowania</w:t>
      </w:r>
    </w:p>
    <w:p w14:paraId="40C13383" w14:textId="77777777" w:rsidR="00902476" w:rsidRPr="003D7CA4" w:rsidRDefault="00902476" w:rsidP="00D20465">
      <w:pPr>
        <w:autoSpaceDE w:val="0"/>
        <w:autoSpaceDN w:val="0"/>
        <w:adjustRightInd w:val="0"/>
        <w:spacing w:after="0" w:line="240" w:lineRule="auto"/>
        <w:jc w:val="both"/>
        <w:rPr>
          <w:rFonts w:ascii="Times New Roman" w:eastAsia="TimesNewRoman" w:hAnsi="Times New Roman" w:cs="Times New Roman"/>
          <w:lang w:val="pl-PL"/>
        </w:rPr>
      </w:pPr>
    </w:p>
    <w:p w14:paraId="40C13384" w14:textId="4DDA9BBB"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Ostry lub przewlekły ból o </w:t>
      </w:r>
      <w:r w:rsidR="00C360A9" w:rsidRPr="003D7CA4">
        <w:rPr>
          <w:rFonts w:ascii="Times New Roman" w:eastAsia="TimesNewRoman" w:hAnsi="Times New Roman" w:cs="Times New Roman"/>
          <w:lang w:val="pl-PL"/>
        </w:rPr>
        <w:t>dużym</w:t>
      </w:r>
      <w:r w:rsidRPr="003D7CA4">
        <w:rPr>
          <w:rFonts w:ascii="Times New Roman" w:eastAsia="TimesNewRoman" w:hAnsi="Times New Roman" w:cs="Times New Roman"/>
          <w:lang w:val="pl-PL"/>
        </w:rPr>
        <w:t xml:space="preserve"> nasileniu.</w:t>
      </w:r>
    </w:p>
    <w:p w14:paraId="40C13385" w14:textId="3F2CED90"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Gorączka, </w:t>
      </w:r>
      <w:r w:rsidR="00C360A9" w:rsidRPr="003D7CA4">
        <w:rPr>
          <w:rFonts w:ascii="Times New Roman" w:eastAsia="TimesNewRoman" w:hAnsi="Times New Roman" w:cs="Times New Roman"/>
          <w:lang w:val="pl-PL"/>
        </w:rPr>
        <w:t>gdy inne metody leczenia są nieskuteczne</w:t>
      </w:r>
      <w:r w:rsidRPr="003D7CA4">
        <w:rPr>
          <w:rFonts w:ascii="Times New Roman" w:eastAsia="TimesNewRoman" w:hAnsi="Times New Roman" w:cs="Times New Roman"/>
          <w:lang w:val="pl-PL"/>
        </w:rPr>
        <w:t>.</w:t>
      </w:r>
    </w:p>
    <w:p w14:paraId="6D9E3CA7" w14:textId="6A89C96D" w:rsidR="004E51D1" w:rsidRPr="003D7CA4" w:rsidRDefault="004E51D1" w:rsidP="00D20465">
      <w:pPr>
        <w:autoSpaceDE w:val="0"/>
        <w:autoSpaceDN w:val="0"/>
        <w:adjustRightInd w:val="0"/>
        <w:spacing w:after="0" w:line="240" w:lineRule="auto"/>
        <w:jc w:val="both"/>
        <w:rPr>
          <w:rFonts w:ascii="Times New Roman" w:eastAsia="TimesNewRoman" w:hAnsi="Times New Roman" w:cs="Times New Roman"/>
          <w:lang w:val="pl-PL"/>
        </w:rPr>
      </w:pPr>
    </w:p>
    <w:p w14:paraId="40C13387"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4.2 Dawkowanie i sposób podawania</w:t>
      </w:r>
    </w:p>
    <w:p w14:paraId="40C1338A" w14:textId="77777777" w:rsidR="00902476" w:rsidRPr="003D7CA4" w:rsidRDefault="00902476" w:rsidP="00D20465">
      <w:pPr>
        <w:autoSpaceDE w:val="0"/>
        <w:autoSpaceDN w:val="0"/>
        <w:adjustRightInd w:val="0"/>
        <w:spacing w:after="0" w:line="240" w:lineRule="auto"/>
        <w:jc w:val="both"/>
        <w:rPr>
          <w:rFonts w:ascii="Times New Roman" w:eastAsia="TimesNewRoman" w:hAnsi="Times New Roman" w:cs="Times New Roman"/>
          <w:lang w:val="pl-PL"/>
        </w:rPr>
      </w:pPr>
    </w:p>
    <w:p w14:paraId="5A95F650" w14:textId="301A0C89" w:rsidR="008B2928" w:rsidRPr="003D7CA4" w:rsidRDefault="000C0849"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D</w:t>
      </w:r>
      <w:r w:rsidR="00C360A9" w:rsidRPr="003D7CA4">
        <w:rPr>
          <w:rFonts w:ascii="Times New Roman" w:hAnsi="Times New Roman" w:cs="Times New Roman"/>
          <w:lang w:val="pl-PL"/>
        </w:rPr>
        <w:t xml:space="preserve">awkowanie zależy </w:t>
      </w:r>
      <w:r w:rsidRPr="003D7CA4">
        <w:rPr>
          <w:rFonts w:ascii="Times New Roman" w:hAnsi="Times New Roman" w:cs="Times New Roman"/>
          <w:lang w:val="pl-PL"/>
        </w:rPr>
        <w:t xml:space="preserve">od nasilenia bólu lub gorączki oraz od </w:t>
      </w:r>
      <w:r w:rsidR="00C360A9" w:rsidRPr="003D7CA4">
        <w:rPr>
          <w:rFonts w:ascii="Times New Roman" w:hAnsi="Times New Roman" w:cs="Times New Roman"/>
          <w:lang w:val="pl-PL"/>
        </w:rPr>
        <w:t xml:space="preserve">indywidualnej </w:t>
      </w:r>
      <w:r w:rsidRPr="003D7CA4">
        <w:rPr>
          <w:rFonts w:ascii="Times New Roman" w:hAnsi="Times New Roman" w:cs="Times New Roman"/>
          <w:lang w:val="pl-PL"/>
        </w:rPr>
        <w:t xml:space="preserve">wrażliwości pacjenta na produkt leczniczy </w:t>
      </w:r>
      <w:r w:rsidR="000933A3">
        <w:rPr>
          <w:rFonts w:ascii="Times New Roman" w:hAnsi="Times New Roman" w:cs="Times New Roman"/>
          <w:noProof/>
          <w:lang w:val="pl-PL"/>
        </w:rPr>
        <w:t>Pyreoxing</w:t>
      </w:r>
      <w:r w:rsidRPr="003D7CA4">
        <w:rPr>
          <w:rFonts w:ascii="Times New Roman" w:hAnsi="Times New Roman" w:cs="Times New Roman"/>
          <w:lang w:val="pl-PL"/>
        </w:rPr>
        <w:t xml:space="preserve">. Należy wybrać najmniejszą dawkę </w:t>
      </w:r>
      <w:r w:rsidR="00C360A9" w:rsidRPr="003D7CA4">
        <w:rPr>
          <w:rFonts w:ascii="Times New Roman" w:hAnsi="Times New Roman" w:cs="Times New Roman"/>
          <w:lang w:val="pl-PL"/>
        </w:rPr>
        <w:t>pozwalającą na opanowanie</w:t>
      </w:r>
      <w:r w:rsidRPr="003D7CA4">
        <w:rPr>
          <w:rFonts w:ascii="Times New Roman" w:hAnsi="Times New Roman" w:cs="Times New Roman"/>
          <w:lang w:val="pl-PL"/>
        </w:rPr>
        <w:t xml:space="preserve"> bólu i gorączki. </w:t>
      </w:r>
    </w:p>
    <w:p w14:paraId="1390EC5B" w14:textId="77777777" w:rsidR="00E01857" w:rsidRPr="003D7CA4" w:rsidRDefault="00E01857" w:rsidP="00D20465">
      <w:pPr>
        <w:spacing w:after="0" w:line="240" w:lineRule="auto"/>
        <w:jc w:val="both"/>
        <w:rPr>
          <w:rFonts w:ascii="Times New Roman" w:hAnsi="Times New Roman" w:cs="Times New Roman"/>
          <w:lang w:val="pl-PL"/>
        </w:rPr>
      </w:pPr>
    </w:p>
    <w:p w14:paraId="22943FB8" w14:textId="485A1F18" w:rsidR="000974FE" w:rsidRPr="003D7CA4" w:rsidRDefault="000974FE"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Podczas dokonywania wyboru drogi podawania należy mieć na uwadze, że podawanie pozajelitowe wiąże się z wysokim ryzykiem reakcji anafilaktycznych</w:t>
      </w:r>
      <w:r w:rsidR="002543DB" w:rsidRPr="003D7CA4">
        <w:rPr>
          <w:rFonts w:ascii="Times New Roman" w:hAnsi="Times New Roman" w:cs="Times New Roman"/>
          <w:lang w:val="pl-PL"/>
        </w:rPr>
        <w:t xml:space="preserve"> i</w:t>
      </w:r>
      <w:r w:rsidR="00754B5C">
        <w:rPr>
          <w:rFonts w:ascii="Times New Roman" w:hAnsi="Times New Roman" w:cs="Times New Roman"/>
          <w:lang w:val="pl-PL"/>
        </w:rPr>
        <w:t xml:space="preserve"> </w:t>
      </w:r>
      <w:r w:rsidR="002543DB" w:rsidRPr="003D7CA4">
        <w:rPr>
          <w:rFonts w:ascii="Times New Roman" w:hAnsi="Times New Roman" w:cs="Times New Roman"/>
          <w:lang w:val="pl-PL"/>
        </w:rPr>
        <w:t xml:space="preserve">(lub) </w:t>
      </w:r>
      <w:proofErr w:type="spellStart"/>
      <w:r w:rsidRPr="003D7CA4">
        <w:rPr>
          <w:rFonts w:ascii="Times New Roman" w:hAnsi="Times New Roman" w:cs="Times New Roman"/>
          <w:lang w:val="pl-PL"/>
        </w:rPr>
        <w:t>anafilaktoidalnych</w:t>
      </w:r>
      <w:proofErr w:type="spellEnd"/>
      <w:r w:rsidRPr="003D7CA4">
        <w:rPr>
          <w:rFonts w:ascii="Times New Roman" w:hAnsi="Times New Roman" w:cs="Times New Roman"/>
          <w:lang w:val="pl-PL"/>
        </w:rPr>
        <w:t>. Podanie doustne jest zwykle wystarczające do uzyskania zadowalającego działania przeciwbólowego. Podawanie dożylne lub domięśniowe jest zalecane tylko wtedy, gdy podanie doustne nie jest właściwe (np. w przypadku wymiotów, zaburzeń połykania itp.).</w:t>
      </w:r>
    </w:p>
    <w:p w14:paraId="0DED7BB2" w14:textId="1C671E91" w:rsidR="000974FE" w:rsidRPr="003D7CA4" w:rsidRDefault="000974FE" w:rsidP="00D20465">
      <w:pPr>
        <w:spacing w:after="0" w:line="240" w:lineRule="auto"/>
        <w:jc w:val="both"/>
        <w:rPr>
          <w:rFonts w:ascii="Times New Roman" w:hAnsi="Times New Roman" w:cs="Times New Roman"/>
          <w:lang w:val="pl-PL"/>
        </w:rPr>
      </w:pPr>
      <w:r w:rsidRPr="003D7CA4">
        <w:rPr>
          <w:rFonts w:ascii="Times New Roman" w:hAnsi="Times New Roman" w:cs="Times New Roman"/>
          <w:lang w:val="pl-PL"/>
        </w:rPr>
        <w:t>Metamizolu nie wolno podawać pozajelitowo pacjentom z niedociśnieniem lub niestabilny</w:t>
      </w:r>
      <w:r w:rsidR="00814E1F" w:rsidRPr="003D7CA4">
        <w:rPr>
          <w:rFonts w:ascii="Times New Roman" w:hAnsi="Times New Roman" w:cs="Times New Roman"/>
          <w:lang w:val="pl-PL"/>
        </w:rPr>
        <w:t>ch</w:t>
      </w:r>
      <w:r w:rsidRPr="003D7CA4">
        <w:rPr>
          <w:rFonts w:ascii="Times New Roman" w:hAnsi="Times New Roman" w:cs="Times New Roman"/>
          <w:lang w:val="pl-PL"/>
        </w:rPr>
        <w:t xml:space="preserve"> hemodynamicznie.</w:t>
      </w:r>
    </w:p>
    <w:p w14:paraId="02DC9907" w14:textId="77777777" w:rsidR="008B2928" w:rsidRPr="003D7CA4" w:rsidRDefault="008B2928" w:rsidP="00D20465">
      <w:pPr>
        <w:autoSpaceDE w:val="0"/>
        <w:autoSpaceDN w:val="0"/>
        <w:adjustRightInd w:val="0"/>
        <w:spacing w:after="0" w:line="240" w:lineRule="auto"/>
        <w:jc w:val="both"/>
        <w:rPr>
          <w:rFonts w:ascii="Times New Roman" w:eastAsia="TimesNewRoman" w:hAnsi="Times New Roman" w:cs="Times New Roman"/>
          <w:lang w:val="pl-PL"/>
        </w:rPr>
      </w:pPr>
    </w:p>
    <w:p w14:paraId="74B7C9A8" w14:textId="190435D0" w:rsidR="003D72EE" w:rsidRPr="003D7CA4" w:rsidRDefault="000974FE"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 xml:space="preserve">W przypadku dzieci i młodzieży w wieku do 14 lat w pojedynczej dawce można podawać 8–16 mg metamizolu na kilogram masy ciała. W przypadku gorączki u dzieci zwykle wystarczająca jest dawka 10 mg metamizolu na kilogram masy ciała. Dorośli i młodzież w wieku </w:t>
      </w:r>
      <w:r w:rsidR="00F47C22" w:rsidRPr="003D7CA4">
        <w:rPr>
          <w:rFonts w:ascii="Times New Roman" w:hAnsi="Times New Roman" w:cs="Times New Roman"/>
          <w:lang w:val="pl-PL"/>
        </w:rPr>
        <w:t xml:space="preserve">powyżej </w:t>
      </w:r>
      <w:r w:rsidRPr="003D7CA4">
        <w:rPr>
          <w:rFonts w:ascii="Times New Roman" w:hAnsi="Times New Roman" w:cs="Times New Roman"/>
          <w:lang w:val="pl-PL"/>
        </w:rPr>
        <w:t xml:space="preserve">15 lat (&gt; 53 kg) mogą przyjmować maksymalnie 1000 mg w pojedynczej dawce, którą można podawać do 4 razy na dobę w odstępach </w:t>
      </w:r>
      <w:r w:rsidR="00F47C22" w:rsidRPr="003D7CA4">
        <w:rPr>
          <w:rFonts w:ascii="Times New Roman" w:hAnsi="Times New Roman" w:cs="Times New Roman"/>
          <w:lang w:val="pl-PL"/>
        </w:rPr>
        <w:t xml:space="preserve">co </w:t>
      </w:r>
      <w:r w:rsidRPr="003D7CA4">
        <w:rPr>
          <w:rFonts w:ascii="Times New Roman" w:hAnsi="Times New Roman" w:cs="Times New Roman"/>
          <w:lang w:val="pl-PL"/>
        </w:rPr>
        <w:t xml:space="preserve">6–8 godzin. </w:t>
      </w:r>
    </w:p>
    <w:p w14:paraId="40C1338F" w14:textId="1FFB82A3"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Początku działania można </w:t>
      </w:r>
      <w:r w:rsidR="00C360A9" w:rsidRPr="003D7CA4">
        <w:rPr>
          <w:rFonts w:ascii="Times New Roman" w:hAnsi="Times New Roman" w:cs="Times New Roman"/>
          <w:lang w:val="pl-PL"/>
        </w:rPr>
        <w:t xml:space="preserve">spodziewać </w:t>
      </w:r>
      <w:proofErr w:type="spellStart"/>
      <w:r w:rsidR="00C360A9" w:rsidRPr="003D7CA4">
        <w:rPr>
          <w:rFonts w:ascii="Times New Roman" w:hAnsi="Times New Roman" w:cs="Times New Roman"/>
          <w:lang w:val="pl-PL"/>
        </w:rPr>
        <w:t>sięw</w:t>
      </w:r>
      <w:proofErr w:type="spellEnd"/>
      <w:r w:rsidR="00C360A9" w:rsidRPr="003D7CA4">
        <w:rPr>
          <w:rFonts w:ascii="Times New Roman" w:hAnsi="Times New Roman" w:cs="Times New Roman"/>
          <w:lang w:val="pl-PL"/>
        </w:rPr>
        <w:t xml:space="preserve"> ciągu</w:t>
      </w:r>
      <w:r w:rsidRPr="003D7CA4">
        <w:rPr>
          <w:rFonts w:ascii="Times New Roman" w:hAnsi="Times New Roman" w:cs="Times New Roman"/>
          <w:lang w:val="pl-PL"/>
        </w:rPr>
        <w:t xml:space="preserve"> 30 minut od podania pozajelitowego. </w:t>
      </w:r>
    </w:p>
    <w:p w14:paraId="40C13392" w14:textId="77777777" w:rsidR="00473BCE" w:rsidRPr="003D7CA4" w:rsidRDefault="00473BCE" w:rsidP="00D20465">
      <w:pPr>
        <w:autoSpaceDE w:val="0"/>
        <w:autoSpaceDN w:val="0"/>
        <w:adjustRightInd w:val="0"/>
        <w:spacing w:after="0" w:line="240" w:lineRule="auto"/>
        <w:jc w:val="both"/>
        <w:rPr>
          <w:rFonts w:ascii="Times New Roman" w:eastAsia="TimesNewRoman" w:hAnsi="Times New Roman" w:cs="Times New Roman"/>
          <w:lang w:val="pl-PL"/>
        </w:rPr>
      </w:pPr>
    </w:p>
    <w:p w14:paraId="40C13393" w14:textId="5766352E" w:rsidR="000B30ED" w:rsidRPr="003D7CA4" w:rsidRDefault="005F7056"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Ponieważ reakcja hipotensyjna na podanie produktu leczniczego we wstrzyknięciu może być zależna od dawki, nie wolno podawać więcej niż 1</w:t>
      </w:r>
      <w:r w:rsidR="005D1FC1" w:rsidRPr="003D7CA4">
        <w:rPr>
          <w:rFonts w:ascii="Times New Roman" w:hAnsi="Times New Roman" w:cs="Times New Roman"/>
          <w:lang w:val="pl-PL"/>
        </w:rPr>
        <w:t>000</w:t>
      </w:r>
      <w:r w:rsidRPr="003D7CA4">
        <w:rPr>
          <w:rFonts w:ascii="Times New Roman" w:hAnsi="Times New Roman" w:cs="Times New Roman"/>
          <w:lang w:val="pl-PL"/>
        </w:rPr>
        <w:t> </w:t>
      </w:r>
      <w:r w:rsidR="005D1FC1" w:rsidRPr="003D7CA4">
        <w:rPr>
          <w:rFonts w:ascii="Times New Roman" w:hAnsi="Times New Roman" w:cs="Times New Roman"/>
          <w:lang w:val="pl-PL"/>
        </w:rPr>
        <w:t>m</w:t>
      </w:r>
      <w:r w:rsidRPr="003D7CA4">
        <w:rPr>
          <w:rFonts w:ascii="Times New Roman" w:hAnsi="Times New Roman" w:cs="Times New Roman"/>
          <w:lang w:val="pl-PL"/>
        </w:rPr>
        <w:t xml:space="preserve">g metamizolu w pojedynczej dawce pozajelitowej, chyba że jest to bezwzględnie wskazane (patrz punkt „Sposób podawania” poniżej). Aby zminimalizować ryzyko wystąpienia reakcji hipotensyjnej, wstrzyknięcie dożylne należy wykonywać bardzo powoli. </w:t>
      </w:r>
    </w:p>
    <w:p w14:paraId="59E11A1E" w14:textId="70A35D04" w:rsidR="008B2928" w:rsidRPr="003D7CA4" w:rsidRDefault="00DA7FA9"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lastRenderedPageBreak/>
        <w:t>Ze względu na działania niepożądane produkt leczniczy nie jest odpowiedni do długoterminowego stosowania (przez wiele miesięcy).</w:t>
      </w:r>
    </w:p>
    <w:p w14:paraId="0879B1C8" w14:textId="1012975D" w:rsidR="008B2928" w:rsidRPr="003D7CA4" w:rsidRDefault="008B2928" w:rsidP="00D20465">
      <w:pPr>
        <w:autoSpaceDE w:val="0"/>
        <w:autoSpaceDN w:val="0"/>
        <w:adjustRightInd w:val="0"/>
        <w:spacing w:after="0" w:line="240" w:lineRule="auto"/>
        <w:jc w:val="both"/>
        <w:rPr>
          <w:rFonts w:ascii="Times New Roman" w:hAnsi="Times New Roman" w:cs="Times New Roman"/>
          <w:bCs/>
          <w:iCs/>
          <w:lang w:val="pl-PL"/>
        </w:rPr>
      </w:pPr>
      <w:r w:rsidRPr="003D7CA4">
        <w:rPr>
          <w:rFonts w:ascii="Times New Roman" w:hAnsi="Times New Roman" w:cs="Times New Roman"/>
          <w:lang w:val="pl-PL"/>
        </w:rPr>
        <w:t>W poniższej tabeli przedstawiono zalecane dawki pojedyncze i maksymalne dawki dobowe w zależności od masy ciała lub wieku:</w:t>
      </w:r>
    </w:p>
    <w:p w14:paraId="344585E8" w14:textId="6A2ED4D1" w:rsidR="00B82FF8" w:rsidRPr="003D7CA4" w:rsidRDefault="00B82FF8" w:rsidP="00554BF5">
      <w:pPr>
        <w:autoSpaceDE w:val="0"/>
        <w:autoSpaceDN w:val="0"/>
        <w:adjustRightInd w:val="0"/>
        <w:spacing w:after="0" w:line="240" w:lineRule="auto"/>
        <w:rPr>
          <w:rFonts w:asciiTheme="majorBidi" w:hAnsiTheme="majorBidi" w:cstheme="majorBidi"/>
          <w:bCs/>
          <w:iCs/>
          <w:lang w:val="pl-PL"/>
        </w:rPr>
      </w:pP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1566"/>
        <w:gridCol w:w="1566"/>
        <w:gridCol w:w="1566"/>
        <w:gridCol w:w="1566"/>
        <w:gridCol w:w="1566"/>
        <w:gridCol w:w="1566"/>
      </w:tblGrid>
      <w:tr w:rsidR="00B82FF8" w:rsidRPr="003D7CA4" w14:paraId="279923D0" w14:textId="77777777" w:rsidTr="00B82FF8">
        <w:tc>
          <w:tcPr>
            <w:tcW w:w="50" w:type="pct"/>
            <w:gridSpan w:val="2"/>
            <w:tcBorders>
              <w:top w:val="single" w:sz="4" w:space="0" w:color="auto"/>
              <w:left w:val="single" w:sz="4" w:space="0" w:color="auto"/>
              <w:bottom w:val="nil"/>
              <w:right w:val="nil"/>
            </w:tcBorders>
            <w:shd w:val="clear" w:color="auto" w:fill="FFFFFF"/>
            <w:vAlign w:val="center"/>
          </w:tcPr>
          <w:p w14:paraId="77B3B57C" w14:textId="77777777" w:rsidR="00B82FF8" w:rsidRPr="003D7CA4" w:rsidRDefault="00B82FF8" w:rsidP="00B82FF8">
            <w:pPr>
              <w:pStyle w:val="TABLE"/>
            </w:pPr>
            <w:bookmarkStart w:id="0" w:name="_Hlk51880275"/>
            <w:r w:rsidRPr="003D7CA4">
              <w:t>Masa ciała</w:t>
            </w:r>
          </w:p>
        </w:tc>
        <w:tc>
          <w:tcPr>
            <w:tcW w:w="50" w:type="pct"/>
            <w:gridSpan w:val="2"/>
            <w:tcBorders>
              <w:top w:val="single" w:sz="4" w:space="0" w:color="auto"/>
              <w:left w:val="single" w:sz="4" w:space="0" w:color="auto"/>
              <w:bottom w:val="nil"/>
              <w:right w:val="nil"/>
            </w:tcBorders>
            <w:shd w:val="clear" w:color="auto" w:fill="FFFFFF"/>
            <w:vAlign w:val="center"/>
          </w:tcPr>
          <w:p w14:paraId="44465C8B" w14:textId="77777777" w:rsidR="00B82FF8" w:rsidRPr="003D7CA4" w:rsidRDefault="00B82FF8" w:rsidP="00B82FF8">
            <w:pPr>
              <w:pStyle w:val="TABLE"/>
            </w:pPr>
            <w:r w:rsidRPr="003D7CA4">
              <w:t>Dawka pojedyncza</w:t>
            </w:r>
          </w:p>
        </w:tc>
        <w:tc>
          <w:tcPr>
            <w:tcW w:w="50" w:type="pct"/>
            <w:gridSpan w:val="2"/>
            <w:tcBorders>
              <w:top w:val="single" w:sz="4" w:space="0" w:color="auto"/>
              <w:left w:val="single" w:sz="4" w:space="0" w:color="auto"/>
              <w:bottom w:val="nil"/>
              <w:right w:val="single" w:sz="4" w:space="0" w:color="auto"/>
            </w:tcBorders>
            <w:shd w:val="clear" w:color="auto" w:fill="FFFFFF"/>
            <w:vAlign w:val="center"/>
          </w:tcPr>
          <w:p w14:paraId="5A591C22" w14:textId="77777777" w:rsidR="00B82FF8" w:rsidRPr="003D7CA4" w:rsidRDefault="00B82FF8" w:rsidP="00B82FF8">
            <w:pPr>
              <w:pStyle w:val="TABLE"/>
            </w:pPr>
            <w:r w:rsidRPr="003D7CA4">
              <w:t>Maksymalna dawka dobowa</w:t>
            </w:r>
          </w:p>
        </w:tc>
      </w:tr>
      <w:tr w:rsidR="00B82FF8" w:rsidRPr="003D7CA4" w14:paraId="48EB4F87" w14:textId="77777777" w:rsidTr="00B82FF8">
        <w:tc>
          <w:tcPr>
            <w:tcW w:w="50" w:type="pct"/>
            <w:tcBorders>
              <w:top w:val="single" w:sz="4" w:space="0" w:color="auto"/>
              <w:left w:val="single" w:sz="4" w:space="0" w:color="auto"/>
              <w:bottom w:val="nil"/>
              <w:right w:val="nil"/>
            </w:tcBorders>
            <w:shd w:val="clear" w:color="auto" w:fill="FFFFFF"/>
            <w:vAlign w:val="center"/>
          </w:tcPr>
          <w:p w14:paraId="38FFA5C6" w14:textId="77777777" w:rsidR="00B82FF8" w:rsidRPr="003D7CA4" w:rsidRDefault="00B82FF8" w:rsidP="00B82FF8">
            <w:pPr>
              <w:pStyle w:val="TABLE"/>
            </w:pPr>
            <w:r w:rsidRPr="003D7CA4">
              <w:t>kg</w:t>
            </w:r>
          </w:p>
        </w:tc>
        <w:tc>
          <w:tcPr>
            <w:tcW w:w="50" w:type="pct"/>
            <w:tcBorders>
              <w:top w:val="single" w:sz="4" w:space="0" w:color="auto"/>
              <w:left w:val="single" w:sz="4" w:space="0" w:color="auto"/>
              <w:bottom w:val="nil"/>
              <w:right w:val="nil"/>
            </w:tcBorders>
            <w:shd w:val="clear" w:color="auto" w:fill="FFFFFF"/>
            <w:vAlign w:val="center"/>
          </w:tcPr>
          <w:p w14:paraId="42877425" w14:textId="77777777" w:rsidR="00B82FF8" w:rsidRPr="003D7CA4" w:rsidRDefault="00B82FF8" w:rsidP="00B82FF8">
            <w:pPr>
              <w:pStyle w:val="TABLE"/>
            </w:pPr>
            <w:r w:rsidRPr="003D7CA4">
              <w:t>wiek</w:t>
            </w:r>
          </w:p>
        </w:tc>
        <w:tc>
          <w:tcPr>
            <w:tcW w:w="50" w:type="pct"/>
            <w:tcBorders>
              <w:top w:val="single" w:sz="4" w:space="0" w:color="auto"/>
              <w:left w:val="single" w:sz="4" w:space="0" w:color="auto"/>
              <w:bottom w:val="nil"/>
              <w:right w:val="nil"/>
            </w:tcBorders>
            <w:shd w:val="clear" w:color="auto" w:fill="FFFFFF"/>
            <w:vAlign w:val="center"/>
          </w:tcPr>
          <w:p w14:paraId="617F99C3" w14:textId="77777777" w:rsidR="00B82FF8" w:rsidRPr="003D7CA4" w:rsidRDefault="00B82FF8" w:rsidP="00B82FF8">
            <w:pPr>
              <w:pStyle w:val="TABLE"/>
            </w:pPr>
            <w:r w:rsidRPr="003D7CA4">
              <w:t>ml</w:t>
            </w:r>
          </w:p>
        </w:tc>
        <w:tc>
          <w:tcPr>
            <w:tcW w:w="50" w:type="pct"/>
            <w:tcBorders>
              <w:top w:val="single" w:sz="4" w:space="0" w:color="auto"/>
              <w:left w:val="single" w:sz="4" w:space="0" w:color="auto"/>
              <w:bottom w:val="nil"/>
              <w:right w:val="nil"/>
            </w:tcBorders>
            <w:shd w:val="clear" w:color="auto" w:fill="FFFFFF"/>
            <w:vAlign w:val="center"/>
          </w:tcPr>
          <w:p w14:paraId="773AC460" w14:textId="77777777" w:rsidR="00B82FF8" w:rsidRPr="003D7CA4" w:rsidRDefault="00B82FF8" w:rsidP="00B82FF8">
            <w:pPr>
              <w:pStyle w:val="TABLE"/>
            </w:pPr>
            <w:r w:rsidRPr="003D7CA4">
              <w:t>mg</w:t>
            </w:r>
          </w:p>
        </w:tc>
        <w:tc>
          <w:tcPr>
            <w:tcW w:w="50" w:type="pct"/>
            <w:tcBorders>
              <w:top w:val="single" w:sz="4" w:space="0" w:color="auto"/>
              <w:left w:val="single" w:sz="4" w:space="0" w:color="auto"/>
              <w:bottom w:val="nil"/>
              <w:right w:val="nil"/>
            </w:tcBorders>
            <w:shd w:val="clear" w:color="auto" w:fill="FFFFFF"/>
            <w:vAlign w:val="center"/>
          </w:tcPr>
          <w:p w14:paraId="248C7E5A" w14:textId="77777777" w:rsidR="00B82FF8" w:rsidRPr="003D7CA4" w:rsidRDefault="00B82FF8" w:rsidP="00B82FF8">
            <w:pPr>
              <w:pStyle w:val="TABLE"/>
            </w:pPr>
            <w:r w:rsidRPr="003D7CA4">
              <w:t>ml</w:t>
            </w:r>
          </w:p>
        </w:tc>
        <w:tc>
          <w:tcPr>
            <w:tcW w:w="50" w:type="pct"/>
            <w:tcBorders>
              <w:top w:val="single" w:sz="4" w:space="0" w:color="auto"/>
              <w:left w:val="single" w:sz="4" w:space="0" w:color="auto"/>
              <w:bottom w:val="nil"/>
              <w:right w:val="single" w:sz="4" w:space="0" w:color="auto"/>
            </w:tcBorders>
            <w:shd w:val="clear" w:color="auto" w:fill="FFFFFF"/>
            <w:vAlign w:val="center"/>
          </w:tcPr>
          <w:p w14:paraId="3CD816B1" w14:textId="77777777" w:rsidR="00B82FF8" w:rsidRPr="003D7CA4" w:rsidRDefault="00B82FF8" w:rsidP="00B82FF8">
            <w:pPr>
              <w:pStyle w:val="TABLE"/>
            </w:pPr>
            <w:r w:rsidRPr="003D7CA4">
              <w:t>mg</w:t>
            </w:r>
          </w:p>
        </w:tc>
      </w:tr>
      <w:tr w:rsidR="00B82FF8" w:rsidRPr="003D7CA4" w14:paraId="205B4A5B" w14:textId="77777777" w:rsidTr="00B82FF8">
        <w:tc>
          <w:tcPr>
            <w:tcW w:w="50" w:type="pct"/>
            <w:tcBorders>
              <w:top w:val="single" w:sz="4" w:space="0" w:color="auto"/>
              <w:left w:val="single" w:sz="4" w:space="0" w:color="auto"/>
              <w:bottom w:val="nil"/>
              <w:right w:val="nil"/>
            </w:tcBorders>
            <w:shd w:val="clear" w:color="auto" w:fill="FFFFFF"/>
            <w:vAlign w:val="center"/>
          </w:tcPr>
          <w:p w14:paraId="0656D5F9" w14:textId="77777777" w:rsidR="00B82FF8" w:rsidRPr="003D7CA4" w:rsidRDefault="00B82FF8" w:rsidP="00B82FF8">
            <w:pPr>
              <w:pStyle w:val="TABLE"/>
            </w:pPr>
            <w:r w:rsidRPr="003D7CA4">
              <w:t>5-8</w:t>
            </w:r>
          </w:p>
        </w:tc>
        <w:tc>
          <w:tcPr>
            <w:tcW w:w="50" w:type="pct"/>
            <w:tcBorders>
              <w:top w:val="single" w:sz="4" w:space="0" w:color="auto"/>
              <w:left w:val="single" w:sz="4" w:space="0" w:color="auto"/>
              <w:bottom w:val="nil"/>
              <w:right w:val="nil"/>
            </w:tcBorders>
            <w:shd w:val="clear" w:color="auto" w:fill="FFFFFF"/>
            <w:vAlign w:val="center"/>
          </w:tcPr>
          <w:p w14:paraId="4C5B6276" w14:textId="77777777" w:rsidR="00B82FF8" w:rsidRPr="003D7CA4" w:rsidRDefault="00B82FF8" w:rsidP="00B82FF8">
            <w:pPr>
              <w:pStyle w:val="TABLE"/>
            </w:pPr>
            <w:r w:rsidRPr="003D7CA4">
              <w:t>3–11 miesięcy</w:t>
            </w:r>
          </w:p>
        </w:tc>
        <w:tc>
          <w:tcPr>
            <w:tcW w:w="50" w:type="pct"/>
            <w:tcBorders>
              <w:top w:val="single" w:sz="4" w:space="0" w:color="auto"/>
              <w:left w:val="single" w:sz="4" w:space="0" w:color="auto"/>
              <w:bottom w:val="nil"/>
              <w:right w:val="nil"/>
            </w:tcBorders>
            <w:shd w:val="clear" w:color="auto" w:fill="FFFFFF"/>
            <w:vAlign w:val="center"/>
          </w:tcPr>
          <w:p w14:paraId="68DD1AC3" w14:textId="63A4BD77" w:rsidR="00B82FF8" w:rsidRPr="003D7CA4" w:rsidRDefault="00B82FF8" w:rsidP="00B82FF8">
            <w:pPr>
              <w:pStyle w:val="TABLE"/>
            </w:pPr>
            <w:r w:rsidRPr="003D7CA4">
              <w:t>0</w:t>
            </w:r>
            <w:r w:rsidR="003D7CA4" w:rsidRPr="003D7CA4">
              <w:t>,</w:t>
            </w:r>
            <w:r w:rsidRPr="003D7CA4">
              <w:t>1-0</w:t>
            </w:r>
            <w:r w:rsidR="003D7CA4" w:rsidRPr="003D7CA4">
              <w:t>,</w:t>
            </w:r>
            <w:r w:rsidRPr="003D7CA4">
              <w:t>2</w:t>
            </w:r>
          </w:p>
        </w:tc>
        <w:tc>
          <w:tcPr>
            <w:tcW w:w="50" w:type="pct"/>
            <w:tcBorders>
              <w:top w:val="single" w:sz="4" w:space="0" w:color="auto"/>
              <w:left w:val="single" w:sz="4" w:space="0" w:color="auto"/>
              <w:bottom w:val="nil"/>
              <w:right w:val="nil"/>
            </w:tcBorders>
            <w:shd w:val="clear" w:color="auto" w:fill="FFFFFF"/>
            <w:vAlign w:val="center"/>
          </w:tcPr>
          <w:p w14:paraId="05589923" w14:textId="77777777" w:rsidR="00B82FF8" w:rsidRPr="003D7CA4" w:rsidRDefault="00B82FF8" w:rsidP="00B82FF8">
            <w:pPr>
              <w:pStyle w:val="TABLE"/>
            </w:pPr>
            <w:r w:rsidRPr="003D7CA4">
              <w:t>50-100</w:t>
            </w:r>
          </w:p>
        </w:tc>
        <w:tc>
          <w:tcPr>
            <w:tcW w:w="50" w:type="pct"/>
            <w:tcBorders>
              <w:top w:val="single" w:sz="4" w:space="0" w:color="auto"/>
              <w:left w:val="single" w:sz="4" w:space="0" w:color="auto"/>
              <w:bottom w:val="nil"/>
              <w:right w:val="nil"/>
            </w:tcBorders>
            <w:shd w:val="clear" w:color="auto" w:fill="FFFFFF"/>
            <w:vAlign w:val="center"/>
          </w:tcPr>
          <w:p w14:paraId="32F79594" w14:textId="7C693828" w:rsidR="00B82FF8" w:rsidRPr="003D7CA4" w:rsidRDefault="00B82FF8" w:rsidP="00B82FF8">
            <w:pPr>
              <w:pStyle w:val="TABLE"/>
            </w:pPr>
            <w:r w:rsidRPr="003D7CA4">
              <w:t>0</w:t>
            </w:r>
            <w:r w:rsidR="003D7CA4" w:rsidRPr="003D7CA4">
              <w:t>,</w:t>
            </w:r>
            <w:r w:rsidRPr="003D7CA4">
              <w:t>4-0</w:t>
            </w:r>
            <w:r w:rsidR="003D7CA4" w:rsidRPr="003D7CA4">
              <w:t>,</w:t>
            </w:r>
            <w:r w:rsidRPr="003D7CA4">
              <w:t>8</w:t>
            </w:r>
          </w:p>
        </w:tc>
        <w:tc>
          <w:tcPr>
            <w:tcW w:w="50" w:type="pct"/>
            <w:tcBorders>
              <w:top w:val="single" w:sz="4" w:space="0" w:color="auto"/>
              <w:left w:val="single" w:sz="4" w:space="0" w:color="auto"/>
              <w:bottom w:val="nil"/>
              <w:right w:val="single" w:sz="4" w:space="0" w:color="auto"/>
            </w:tcBorders>
            <w:shd w:val="clear" w:color="auto" w:fill="FFFFFF"/>
            <w:vAlign w:val="center"/>
          </w:tcPr>
          <w:p w14:paraId="5F321BA4" w14:textId="77777777" w:rsidR="00B82FF8" w:rsidRPr="003D7CA4" w:rsidRDefault="00B82FF8" w:rsidP="00B82FF8">
            <w:pPr>
              <w:pStyle w:val="TABLE"/>
            </w:pPr>
            <w:r w:rsidRPr="003D7CA4">
              <w:t>200-400</w:t>
            </w:r>
          </w:p>
        </w:tc>
      </w:tr>
      <w:tr w:rsidR="00B82FF8" w:rsidRPr="003D7CA4" w14:paraId="793B34C5" w14:textId="77777777" w:rsidTr="00B82FF8">
        <w:tc>
          <w:tcPr>
            <w:tcW w:w="50" w:type="pct"/>
            <w:tcBorders>
              <w:top w:val="single" w:sz="4" w:space="0" w:color="auto"/>
              <w:left w:val="single" w:sz="4" w:space="0" w:color="auto"/>
              <w:bottom w:val="nil"/>
              <w:right w:val="nil"/>
            </w:tcBorders>
            <w:shd w:val="clear" w:color="auto" w:fill="FFFFFF"/>
            <w:vAlign w:val="center"/>
          </w:tcPr>
          <w:p w14:paraId="69404E7C" w14:textId="77777777" w:rsidR="00B82FF8" w:rsidRPr="003D7CA4" w:rsidRDefault="00B82FF8" w:rsidP="00B82FF8">
            <w:pPr>
              <w:pStyle w:val="TABLE"/>
            </w:pPr>
            <w:r w:rsidRPr="003D7CA4">
              <w:t>9-15</w:t>
            </w:r>
          </w:p>
        </w:tc>
        <w:tc>
          <w:tcPr>
            <w:tcW w:w="50" w:type="pct"/>
            <w:tcBorders>
              <w:top w:val="single" w:sz="4" w:space="0" w:color="auto"/>
              <w:left w:val="single" w:sz="4" w:space="0" w:color="auto"/>
              <w:bottom w:val="nil"/>
              <w:right w:val="nil"/>
            </w:tcBorders>
            <w:shd w:val="clear" w:color="auto" w:fill="FFFFFF"/>
            <w:vAlign w:val="center"/>
          </w:tcPr>
          <w:p w14:paraId="630FEB8C" w14:textId="77777777" w:rsidR="00B82FF8" w:rsidRPr="003D7CA4" w:rsidRDefault="00B82FF8" w:rsidP="00B82FF8">
            <w:pPr>
              <w:pStyle w:val="TABLE"/>
            </w:pPr>
            <w:r w:rsidRPr="003D7CA4">
              <w:t>Od 1 roku do 3 lat</w:t>
            </w:r>
          </w:p>
        </w:tc>
        <w:tc>
          <w:tcPr>
            <w:tcW w:w="50" w:type="pct"/>
            <w:tcBorders>
              <w:top w:val="single" w:sz="4" w:space="0" w:color="auto"/>
              <w:left w:val="single" w:sz="4" w:space="0" w:color="auto"/>
              <w:bottom w:val="nil"/>
              <w:right w:val="nil"/>
            </w:tcBorders>
            <w:shd w:val="clear" w:color="auto" w:fill="FFFFFF"/>
            <w:vAlign w:val="center"/>
          </w:tcPr>
          <w:p w14:paraId="74CC4767" w14:textId="0373EB9E" w:rsidR="00B82FF8" w:rsidRPr="003D7CA4" w:rsidRDefault="00B82FF8" w:rsidP="00B82FF8">
            <w:pPr>
              <w:pStyle w:val="TABLE"/>
            </w:pPr>
            <w:r w:rsidRPr="003D7CA4">
              <w:t>0</w:t>
            </w:r>
            <w:r w:rsidR="003D7CA4" w:rsidRPr="003D7CA4">
              <w:t>,</w:t>
            </w:r>
            <w:r w:rsidRPr="003D7CA4">
              <w:t>2-0</w:t>
            </w:r>
            <w:r w:rsidR="003D7CA4" w:rsidRPr="003D7CA4">
              <w:t>,</w:t>
            </w:r>
            <w:r w:rsidRPr="003D7CA4">
              <w:t>5</w:t>
            </w:r>
          </w:p>
        </w:tc>
        <w:tc>
          <w:tcPr>
            <w:tcW w:w="50" w:type="pct"/>
            <w:tcBorders>
              <w:top w:val="single" w:sz="4" w:space="0" w:color="auto"/>
              <w:left w:val="single" w:sz="4" w:space="0" w:color="auto"/>
              <w:bottom w:val="nil"/>
              <w:right w:val="nil"/>
            </w:tcBorders>
            <w:shd w:val="clear" w:color="auto" w:fill="FFFFFF"/>
            <w:vAlign w:val="center"/>
          </w:tcPr>
          <w:p w14:paraId="5BDC29AF" w14:textId="77777777" w:rsidR="00B82FF8" w:rsidRPr="003D7CA4" w:rsidRDefault="00B82FF8" w:rsidP="00B82FF8">
            <w:pPr>
              <w:pStyle w:val="TABLE"/>
            </w:pPr>
            <w:r w:rsidRPr="003D7CA4">
              <w:t>100-250</w:t>
            </w:r>
          </w:p>
        </w:tc>
        <w:tc>
          <w:tcPr>
            <w:tcW w:w="50" w:type="pct"/>
            <w:tcBorders>
              <w:top w:val="single" w:sz="4" w:space="0" w:color="auto"/>
              <w:left w:val="single" w:sz="4" w:space="0" w:color="auto"/>
              <w:bottom w:val="nil"/>
              <w:right w:val="nil"/>
            </w:tcBorders>
            <w:shd w:val="clear" w:color="auto" w:fill="FFFFFF"/>
            <w:vAlign w:val="center"/>
          </w:tcPr>
          <w:p w14:paraId="283814BD" w14:textId="467A63D1" w:rsidR="00B82FF8" w:rsidRPr="003D7CA4" w:rsidRDefault="00B82FF8" w:rsidP="00B82FF8">
            <w:pPr>
              <w:pStyle w:val="TABLE"/>
            </w:pPr>
            <w:r w:rsidRPr="003D7CA4">
              <w:t>0</w:t>
            </w:r>
            <w:r w:rsidR="003D7CA4" w:rsidRPr="003D7CA4">
              <w:t>,</w:t>
            </w:r>
            <w:r w:rsidRPr="003D7CA4">
              <w:t>8-2</w:t>
            </w:r>
            <w:r w:rsidR="003D7CA4" w:rsidRPr="003D7CA4">
              <w:t>,</w:t>
            </w:r>
            <w:r w:rsidRPr="003D7CA4">
              <w:t>0</w:t>
            </w:r>
          </w:p>
        </w:tc>
        <w:tc>
          <w:tcPr>
            <w:tcW w:w="50" w:type="pct"/>
            <w:tcBorders>
              <w:top w:val="single" w:sz="4" w:space="0" w:color="auto"/>
              <w:left w:val="single" w:sz="4" w:space="0" w:color="auto"/>
              <w:bottom w:val="nil"/>
              <w:right w:val="single" w:sz="4" w:space="0" w:color="auto"/>
            </w:tcBorders>
            <w:shd w:val="clear" w:color="auto" w:fill="FFFFFF"/>
            <w:vAlign w:val="center"/>
          </w:tcPr>
          <w:p w14:paraId="0A805B4C" w14:textId="1D26B34B" w:rsidR="00B82FF8" w:rsidRPr="003D7CA4" w:rsidRDefault="00B82FF8" w:rsidP="00B82FF8">
            <w:pPr>
              <w:pStyle w:val="TABLE"/>
            </w:pPr>
            <w:r w:rsidRPr="003D7CA4">
              <w:t>400-1000</w:t>
            </w:r>
          </w:p>
        </w:tc>
      </w:tr>
      <w:tr w:rsidR="00B82FF8" w:rsidRPr="003D7CA4" w14:paraId="30452986" w14:textId="77777777" w:rsidTr="00B82FF8">
        <w:tc>
          <w:tcPr>
            <w:tcW w:w="50" w:type="pct"/>
            <w:tcBorders>
              <w:top w:val="single" w:sz="4" w:space="0" w:color="auto"/>
              <w:left w:val="single" w:sz="4" w:space="0" w:color="auto"/>
              <w:bottom w:val="nil"/>
              <w:right w:val="nil"/>
            </w:tcBorders>
            <w:shd w:val="clear" w:color="auto" w:fill="FFFFFF"/>
            <w:vAlign w:val="center"/>
          </w:tcPr>
          <w:p w14:paraId="6F645250" w14:textId="77777777" w:rsidR="00B82FF8" w:rsidRPr="003D7CA4" w:rsidRDefault="00B82FF8" w:rsidP="00B82FF8">
            <w:pPr>
              <w:pStyle w:val="TABLE"/>
            </w:pPr>
            <w:r w:rsidRPr="003D7CA4">
              <w:t>16-23</w:t>
            </w:r>
          </w:p>
        </w:tc>
        <w:tc>
          <w:tcPr>
            <w:tcW w:w="50" w:type="pct"/>
            <w:tcBorders>
              <w:top w:val="single" w:sz="4" w:space="0" w:color="auto"/>
              <w:left w:val="single" w:sz="4" w:space="0" w:color="auto"/>
              <w:bottom w:val="nil"/>
              <w:right w:val="nil"/>
            </w:tcBorders>
            <w:shd w:val="clear" w:color="auto" w:fill="FFFFFF"/>
            <w:vAlign w:val="center"/>
          </w:tcPr>
          <w:p w14:paraId="76B6C4DD" w14:textId="77777777" w:rsidR="00B82FF8" w:rsidRPr="003D7CA4" w:rsidRDefault="00B82FF8" w:rsidP="00B82FF8">
            <w:pPr>
              <w:pStyle w:val="TABLE"/>
            </w:pPr>
            <w:r w:rsidRPr="003D7CA4">
              <w:t>4–6 lat</w:t>
            </w:r>
          </w:p>
        </w:tc>
        <w:tc>
          <w:tcPr>
            <w:tcW w:w="50" w:type="pct"/>
            <w:tcBorders>
              <w:top w:val="single" w:sz="4" w:space="0" w:color="auto"/>
              <w:left w:val="single" w:sz="4" w:space="0" w:color="auto"/>
              <w:bottom w:val="nil"/>
              <w:right w:val="nil"/>
            </w:tcBorders>
            <w:shd w:val="clear" w:color="auto" w:fill="FFFFFF"/>
            <w:vAlign w:val="center"/>
          </w:tcPr>
          <w:p w14:paraId="5CAB5196" w14:textId="3BB87629" w:rsidR="00B82FF8" w:rsidRPr="003D7CA4" w:rsidRDefault="00B82FF8" w:rsidP="00B82FF8">
            <w:pPr>
              <w:pStyle w:val="TABLE"/>
            </w:pPr>
            <w:r w:rsidRPr="003D7CA4">
              <w:t>0</w:t>
            </w:r>
            <w:r w:rsidR="003D7CA4" w:rsidRPr="003D7CA4">
              <w:t>,</w:t>
            </w:r>
            <w:r w:rsidRPr="003D7CA4">
              <w:t>3-0</w:t>
            </w:r>
            <w:r w:rsidR="003D7CA4" w:rsidRPr="003D7CA4">
              <w:t>,</w:t>
            </w:r>
            <w:r w:rsidRPr="003D7CA4">
              <w:t>8</w:t>
            </w:r>
          </w:p>
        </w:tc>
        <w:tc>
          <w:tcPr>
            <w:tcW w:w="50" w:type="pct"/>
            <w:tcBorders>
              <w:top w:val="single" w:sz="4" w:space="0" w:color="auto"/>
              <w:left w:val="single" w:sz="4" w:space="0" w:color="auto"/>
              <w:bottom w:val="nil"/>
              <w:right w:val="nil"/>
            </w:tcBorders>
            <w:shd w:val="clear" w:color="auto" w:fill="FFFFFF"/>
            <w:vAlign w:val="center"/>
          </w:tcPr>
          <w:p w14:paraId="3365D8B6" w14:textId="77777777" w:rsidR="00B82FF8" w:rsidRPr="003D7CA4" w:rsidRDefault="00B82FF8" w:rsidP="00B82FF8">
            <w:pPr>
              <w:pStyle w:val="TABLE"/>
            </w:pPr>
            <w:r w:rsidRPr="003D7CA4">
              <w:t>150-400</w:t>
            </w:r>
          </w:p>
        </w:tc>
        <w:tc>
          <w:tcPr>
            <w:tcW w:w="50" w:type="pct"/>
            <w:tcBorders>
              <w:top w:val="single" w:sz="4" w:space="0" w:color="auto"/>
              <w:left w:val="single" w:sz="4" w:space="0" w:color="auto"/>
              <w:bottom w:val="nil"/>
              <w:right w:val="nil"/>
            </w:tcBorders>
            <w:shd w:val="clear" w:color="auto" w:fill="FFFFFF"/>
            <w:vAlign w:val="center"/>
          </w:tcPr>
          <w:p w14:paraId="65378333" w14:textId="35996373" w:rsidR="00B82FF8" w:rsidRPr="003D7CA4" w:rsidRDefault="00B82FF8" w:rsidP="00B82FF8">
            <w:pPr>
              <w:pStyle w:val="TABLE"/>
            </w:pPr>
            <w:r w:rsidRPr="003D7CA4">
              <w:t>1</w:t>
            </w:r>
            <w:r w:rsidR="003D7CA4" w:rsidRPr="003D7CA4">
              <w:t>,</w:t>
            </w:r>
            <w:r w:rsidRPr="003D7CA4">
              <w:t>2-3</w:t>
            </w:r>
            <w:r w:rsidR="003D7CA4" w:rsidRPr="003D7CA4">
              <w:t>,</w:t>
            </w:r>
            <w:r w:rsidRPr="003D7CA4">
              <w:t>2</w:t>
            </w:r>
          </w:p>
        </w:tc>
        <w:tc>
          <w:tcPr>
            <w:tcW w:w="50" w:type="pct"/>
            <w:tcBorders>
              <w:top w:val="single" w:sz="4" w:space="0" w:color="auto"/>
              <w:left w:val="single" w:sz="4" w:space="0" w:color="auto"/>
              <w:bottom w:val="nil"/>
              <w:right w:val="single" w:sz="4" w:space="0" w:color="auto"/>
            </w:tcBorders>
            <w:shd w:val="clear" w:color="auto" w:fill="FFFFFF"/>
            <w:vAlign w:val="center"/>
          </w:tcPr>
          <w:p w14:paraId="1DB12780" w14:textId="4C1B2A2F" w:rsidR="00B82FF8" w:rsidRPr="003D7CA4" w:rsidRDefault="00B82FF8" w:rsidP="00B82FF8">
            <w:pPr>
              <w:pStyle w:val="TABLE"/>
            </w:pPr>
            <w:r w:rsidRPr="003D7CA4">
              <w:t>600-1600</w:t>
            </w:r>
          </w:p>
        </w:tc>
      </w:tr>
      <w:tr w:rsidR="00B82FF8" w:rsidRPr="003D7CA4" w14:paraId="5BEFBF9D" w14:textId="77777777" w:rsidTr="00B82FF8">
        <w:tc>
          <w:tcPr>
            <w:tcW w:w="50" w:type="pct"/>
            <w:tcBorders>
              <w:top w:val="single" w:sz="4" w:space="0" w:color="auto"/>
              <w:left w:val="single" w:sz="4" w:space="0" w:color="auto"/>
              <w:bottom w:val="nil"/>
              <w:right w:val="nil"/>
            </w:tcBorders>
            <w:shd w:val="clear" w:color="auto" w:fill="FFFFFF"/>
            <w:vAlign w:val="center"/>
          </w:tcPr>
          <w:p w14:paraId="6856D338" w14:textId="77777777" w:rsidR="00B82FF8" w:rsidRPr="003D7CA4" w:rsidRDefault="00B82FF8" w:rsidP="00B82FF8">
            <w:pPr>
              <w:pStyle w:val="TABLE"/>
            </w:pPr>
            <w:r w:rsidRPr="003D7CA4">
              <w:t>24-30</w:t>
            </w:r>
          </w:p>
        </w:tc>
        <w:tc>
          <w:tcPr>
            <w:tcW w:w="50" w:type="pct"/>
            <w:tcBorders>
              <w:top w:val="single" w:sz="4" w:space="0" w:color="auto"/>
              <w:left w:val="single" w:sz="4" w:space="0" w:color="auto"/>
              <w:bottom w:val="nil"/>
              <w:right w:val="nil"/>
            </w:tcBorders>
            <w:shd w:val="clear" w:color="auto" w:fill="FFFFFF"/>
            <w:vAlign w:val="center"/>
          </w:tcPr>
          <w:p w14:paraId="65F1E781" w14:textId="77777777" w:rsidR="00B82FF8" w:rsidRPr="003D7CA4" w:rsidRDefault="00B82FF8" w:rsidP="00B82FF8">
            <w:pPr>
              <w:pStyle w:val="TABLE"/>
            </w:pPr>
            <w:r w:rsidRPr="003D7CA4">
              <w:t>7–9 lat</w:t>
            </w:r>
          </w:p>
        </w:tc>
        <w:tc>
          <w:tcPr>
            <w:tcW w:w="50" w:type="pct"/>
            <w:tcBorders>
              <w:top w:val="single" w:sz="4" w:space="0" w:color="auto"/>
              <w:left w:val="single" w:sz="4" w:space="0" w:color="auto"/>
              <w:bottom w:val="nil"/>
              <w:right w:val="nil"/>
            </w:tcBorders>
            <w:shd w:val="clear" w:color="auto" w:fill="FFFFFF"/>
            <w:vAlign w:val="center"/>
          </w:tcPr>
          <w:p w14:paraId="0C4B29BE" w14:textId="1A1AE8F2" w:rsidR="00B82FF8" w:rsidRPr="003D7CA4" w:rsidRDefault="00B82FF8" w:rsidP="00B82FF8">
            <w:pPr>
              <w:pStyle w:val="TABLE"/>
            </w:pPr>
            <w:r w:rsidRPr="003D7CA4">
              <w:t>0</w:t>
            </w:r>
            <w:r w:rsidR="003D7CA4" w:rsidRPr="003D7CA4">
              <w:t>,</w:t>
            </w:r>
            <w:r w:rsidRPr="003D7CA4">
              <w:t>4-1</w:t>
            </w:r>
            <w:r w:rsidR="003D7CA4" w:rsidRPr="003D7CA4">
              <w:t>,</w:t>
            </w:r>
            <w:r w:rsidRPr="003D7CA4">
              <w:t>0</w:t>
            </w:r>
          </w:p>
        </w:tc>
        <w:tc>
          <w:tcPr>
            <w:tcW w:w="50" w:type="pct"/>
            <w:tcBorders>
              <w:top w:val="single" w:sz="4" w:space="0" w:color="auto"/>
              <w:left w:val="single" w:sz="4" w:space="0" w:color="auto"/>
              <w:bottom w:val="nil"/>
              <w:right w:val="nil"/>
            </w:tcBorders>
            <w:shd w:val="clear" w:color="auto" w:fill="FFFFFF"/>
            <w:vAlign w:val="center"/>
          </w:tcPr>
          <w:p w14:paraId="3A8D0463" w14:textId="77777777" w:rsidR="00B82FF8" w:rsidRPr="003D7CA4" w:rsidRDefault="00B82FF8" w:rsidP="00B82FF8">
            <w:pPr>
              <w:pStyle w:val="TABLE"/>
            </w:pPr>
            <w:r w:rsidRPr="003D7CA4">
              <w:t>200-500</w:t>
            </w:r>
          </w:p>
        </w:tc>
        <w:tc>
          <w:tcPr>
            <w:tcW w:w="50" w:type="pct"/>
            <w:tcBorders>
              <w:top w:val="single" w:sz="4" w:space="0" w:color="auto"/>
              <w:left w:val="single" w:sz="4" w:space="0" w:color="auto"/>
              <w:bottom w:val="nil"/>
              <w:right w:val="nil"/>
            </w:tcBorders>
            <w:shd w:val="clear" w:color="auto" w:fill="FFFFFF"/>
            <w:vAlign w:val="center"/>
          </w:tcPr>
          <w:p w14:paraId="4EEE23CE" w14:textId="3DF16F05" w:rsidR="00B82FF8" w:rsidRPr="003D7CA4" w:rsidRDefault="00B82FF8" w:rsidP="00B82FF8">
            <w:pPr>
              <w:pStyle w:val="TABLE"/>
            </w:pPr>
            <w:r w:rsidRPr="003D7CA4">
              <w:t>1</w:t>
            </w:r>
            <w:r w:rsidR="003D7CA4" w:rsidRPr="003D7CA4">
              <w:t>,</w:t>
            </w:r>
            <w:r w:rsidRPr="003D7CA4">
              <w:t>6-4</w:t>
            </w:r>
            <w:r w:rsidR="003D7CA4" w:rsidRPr="003D7CA4">
              <w:t>,</w:t>
            </w:r>
            <w:r w:rsidRPr="003D7CA4">
              <w:t>0</w:t>
            </w:r>
          </w:p>
        </w:tc>
        <w:tc>
          <w:tcPr>
            <w:tcW w:w="50" w:type="pct"/>
            <w:tcBorders>
              <w:top w:val="single" w:sz="4" w:space="0" w:color="auto"/>
              <w:left w:val="single" w:sz="4" w:space="0" w:color="auto"/>
              <w:bottom w:val="nil"/>
              <w:right w:val="single" w:sz="4" w:space="0" w:color="auto"/>
            </w:tcBorders>
            <w:shd w:val="clear" w:color="auto" w:fill="FFFFFF"/>
            <w:vAlign w:val="center"/>
          </w:tcPr>
          <w:p w14:paraId="20E06783" w14:textId="3AE2ECFC" w:rsidR="00B82FF8" w:rsidRPr="003D7CA4" w:rsidRDefault="00B82FF8" w:rsidP="00B82FF8">
            <w:pPr>
              <w:pStyle w:val="TABLE"/>
            </w:pPr>
            <w:r w:rsidRPr="003D7CA4">
              <w:t>800-2000</w:t>
            </w:r>
          </w:p>
        </w:tc>
      </w:tr>
      <w:tr w:rsidR="00B82FF8" w:rsidRPr="003D7CA4" w14:paraId="4E488A27" w14:textId="77777777" w:rsidTr="00B82FF8">
        <w:tc>
          <w:tcPr>
            <w:tcW w:w="50" w:type="pct"/>
            <w:tcBorders>
              <w:top w:val="single" w:sz="4" w:space="0" w:color="auto"/>
              <w:left w:val="single" w:sz="4" w:space="0" w:color="auto"/>
              <w:bottom w:val="nil"/>
              <w:right w:val="nil"/>
            </w:tcBorders>
            <w:shd w:val="clear" w:color="auto" w:fill="FFFFFF"/>
            <w:vAlign w:val="center"/>
          </w:tcPr>
          <w:p w14:paraId="1796DEA0" w14:textId="77777777" w:rsidR="00B82FF8" w:rsidRPr="003D7CA4" w:rsidRDefault="00B82FF8" w:rsidP="00B82FF8">
            <w:pPr>
              <w:pStyle w:val="TABLE"/>
            </w:pPr>
            <w:r w:rsidRPr="003D7CA4">
              <w:t>31-45</w:t>
            </w:r>
          </w:p>
        </w:tc>
        <w:tc>
          <w:tcPr>
            <w:tcW w:w="50" w:type="pct"/>
            <w:tcBorders>
              <w:top w:val="single" w:sz="4" w:space="0" w:color="auto"/>
              <w:left w:val="single" w:sz="4" w:space="0" w:color="auto"/>
              <w:bottom w:val="nil"/>
              <w:right w:val="nil"/>
            </w:tcBorders>
            <w:shd w:val="clear" w:color="auto" w:fill="FFFFFF"/>
            <w:vAlign w:val="center"/>
          </w:tcPr>
          <w:p w14:paraId="11E76BE1" w14:textId="77777777" w:rsidR="00B82FF8" w:rsidRPr="003D7CA4" w:rsidRDefault="00B82FF8" w:rsidP="00B82FF8">
            <w:pPr>
              <w:pStyle w:val="TABLE"/>
            </w:pPr>
            <w:r w:rsidRPr="003D7CA4">
              <w:t>10–12 lat</w:t>
            </w:r>
          </w:p>
        </w:tc>
        <w:tc>
          <w:tcPr>
            <w:tcW w:w="50" w:type="pct"/>
            <w:tcBorders>
              <w:top w:val="single" w:sz="4" w:space="0" w:color="auto"/>
              <w:left w:val="single" w:sz="4" w:space="0" w:color="auto"/>
              <w:bottom w:val="nil"/>
              <w:right w:val="nil"/>
            </w:tcBorders>
            <w:shd w:val="clear" w:color="auto" w:fill="FFFFFF"/>
            <w:vAlign w:val="center"/>
          </w:tcPr>
          <w:p w14:paraId="762262B6" w14:textId="63BD3778" w:rsidR="00B82FF8" w:rsidRPr="003D7CA4" w:rsidRDefault="00B82FF8" w:rsidP="00B82FF8">
            <w:pPr>
              <w:pStyle w:val="TABLE"/>
            </w:pPr>
            <w:r w:rsidRPr="003D7CA4">
              <w:t>0</w:t>
            </w:r>
            <w:r w:rsidR="003D7CA4" w:rsidRPr="003D7CA4">
              <w:t>,</w:t>
            </w:r>
            <w:r w:rsidRPr="003D7CA4">
              <w:t>5-1</w:t>
            </w:r>
            <w:r w:rsidR="003D7CA4" w:rsidRPr="003D7CA4">
              <w:t>,</w:t>
            </w:r>
            <w:r w:rsidRPr="003D7CA4">
              <w:t>4</w:t>
            </w:r>
          </w:p>
        </w:tc>
        <w:tc>
          <w:tcPr>
            <w:tcW w:w="50" w:type="pct"/>
            <w:tcBorders>
              <w:top w:val="single" w:sz="4" w:space="0" w:color="auto"/>
              <w:left w:val="single" w:sz="4" w:space="0" w:color="auto"/>
              <w:bottom w:val="nil"/>
              <w:right w:val="nil"/>
            </w:tcBorders>
            <w:shd w:val="clear" w:color="auto" w:fill="FFFFFF"/>
            <w:vAlign w:val="center"/>
          </w:tcPr>
          <w:p w14:paraId="2031E75D" w14:textId="77777777" w:rsidR="00B82FF8" w:rsidRPr="003D7CA4" w:rsidRDefault="00B82FF8" w:rsidP="00B82FF8">
            <w:pPr>
              <w:pStyle w:val="TABLE"/>
            </w:pPr>
            <w:r w:rsidRPr="003D7CA4">
              <w:t>250-700</w:t>
            </w:r>
          </w:p>
        </w:tc>
        <w:tc>
          <w:tcPr>
            <w:tcW w:w="50" w:type="pct"/>
            <w:tcBorders>
              <w:top w:val="single" w:sz="4" w:space="0" w:color="auto"/>
              <w:left w:val="single" w:sz="4" w:space="0" w:color="auto"/>
              <w:bottom w:val="nil"/>
              <w:right w:val="nil"/>
            </w:tcBorders>
            <w:shd w:val="clear" w:color="auto" w:fill="FFFFFF"/>
            <w:vAlign w:val="center"/>
          </w:tcPr>
          <w:p w14:paraId="3585AF61" w14:textId="707985F4" w:rsidR="00B82FF8" w:rsidRPr="003D7CA4" w:rsidRDefault="00B82FF8" w:rsidP="00B82FF8">
            <w:pPr>
              <w:pStyle w:val="TABLE"/>
            </w:pPr>
            <w:r w:rsidRPr="003D7CA4">
              <w:t>2</w:t>
            </w:r>
            <w:r w:rsidR="003D7CA4" w:rsidRPr="003D7CA4">
              <w:t>,</w:t>
            </w:r>
            <w:r w:rsidRPr="003D7CA4">
              <w:t>0-5</w:t>
            </w:r>
            <w:r w:rsidR="003D7CA4" w:rsidRPr="003D7CA4">
              <w:t>,</w:t>
            </w:r>
            <w:r w:rsidRPr="003D7CA4">
              <w:t>6</w:t>
            </w:r>
          </w:p>
        </w:tc>
        <w:tc>
          <w:tcPr>
            <w:tcW w:w="50" w:type="pct"/>
            <w:tcBorders>
              <w:top w:val="single" w:sz="4" w:space="0" w:color="auto"/>
              <w:left w:val="single" w:sz="4" w:space="0" w:color="auto"/>
              <w:bottom w:val="nil"/>
              <w:right w:val="single" w:sz="4" w:space="0" w:color="auto"/>
            </w:tcBorders>
            <w:shd w:val="clear" w:color="auto" w:fill="FFFFFF"/>
            <w:vAlign w:val="center"/>
          </w:tcPr>
          <w:p w14:paraId="64A5F8D9" w14:textId="50A9D947" w:rsidR="00B82FF8" w:rsidRPr="003D7CA4" w:rsidRDefault="00B82FF8" w:rsidP="00B82FF8">
            <w:pPr>
              <w:pStyle w:val="TABLE"/>
            </w:pPr>
            <w:r w:rsidRPr="003D7CA4">
              <w:t>1000-2800</w:t>
            </w:r>
          </w:p>
        </w:tc>
      </w:tr>
      <w:tr w:rsidR="00B82FF8" w:rsidRPr="003D7CA4" w14:paraId="406C9D86" w14:textId="77777777" w:rsidTr="00B82FF8">
        <w:tc>
          <w:tcPr>
            <w:tcW w:w="50" w:type="pct"/>
            <w:tcBorders>
              <w:top w:val="single" w:sz="4" w:space="0" w:color="auto"/>
              <w:left w:val="single" w:sz="4" w:space="0" w:color="auto"/>
              <w:bottom w:val="nil"/>
              <w:right w:val="nil"/>
            </w:tcBorders>
            <w:shd w:val="clear" w:color="auto" w:fill="FFFFFF"/>
            <w:vAlign w:val="center"/>
          </w:tcPr>
          <w:p w14:paraId="4FE8D488" w14:textId="77777777" w:rsidR="00B82FF8" w:rsidRPr="003D7CA4" w:rsidRDefault="00B82FF8" w:rsidP="00B82FF8">
            <w:pPr>
              <w:pStyle w:val="TABLE"/>
              <w:rPr>
                <w:rFonts w:cs="Arial"/>
                <w:szCs w:val="18"/>
              </w:rPr>
            </w:pPr>
            <w:r w:rsidRPr="003D7CA4">
              <w:rPr>
                <w:rFonts w:cs="Arial"/>
                <w:szCs w:val="18"/>
              </w:rPr>
              <w:t>46-53</w:t>
            </w:r>
          </w:p>
        </w:tc>
        <w:tc>
          <w:tcPr>
            <w:tcW w:w="50" w:type="pct"/>
            <w:tcBorders>
              <w:top w:val="single" w:sz="4" w:space="0" w:color="auto"/>
              <w:left w:val="single" w:sz="4" w:space="0" w:color="auto"/>
              <w:bottom w:val="nil"/>
              <w:right w:val="nil"/>
            </w:tcBorders>
            <w:shd w:val="clear" w:color="auto" w:fill="FFFFFF"/>
            <w:vAlign w:val="center"/>
          </w:tcPr>
          <w:p w14:paraId="322E417F" w14:textId="77777777" w:rsidR="00B82FF8" w:rsidRPr="003D7CA4" w:rsidRDefault="00B82FF8" w:rsidP="00B82FF8">
            <w:pPr>
              <w:pStyle w:val="TABLE"/>
              <w:rPr>
                <w:rFonts w:cs="Arial"/>
                <w:szCs w:val="18"/>
              </w:rPr>
            </w:pPr>
            <w:r w:rsidRPr="003D7CA4">
              <w:rPr>
                <w:rFonts w:cs="Arial"/>
                <w:szCs w:val="18"/>
              </w:rPr>
              <w:t>13–14 lat</w:t>
            </w:r>
          </w:p>
        </w:tc>
        <w:tc>
          <w:tcPr>
            <w:tcW w:w="50" w:type="pct"/>
            <w:tcBorders>
              <w:top w:val="single" w:sz="4" w:space="0" w:color="auto"/>
              <w:left w:val="single" w:sz="4" w:space="0" w:color="auto"/>
              <w:bottom w:val="nil"/>
              <w:right w:val="nil"/>
            </w:tcBorders>
            <w:shd w:val="clear" w:color="auto" w:fill="FFFFFF"/>
            <w:vAlign w:val="center"/>
          </w:tcPr>
          <w:p w14:paraId="339361AE" w14:textId="2CCF382C" w:rsidR="00B82FF8" w:rsidRPr="003D7CA4" w:rsidRDefault="00B82FF8" w:rsidP="00B82FF8">
            <w:pPr>
              <w:pStyle w:val="TABLE"/>
            </w:pPr>
            <w:r w:rsidRPr="003D7CA4">
              <w:t>0</w:t>
            </w:r>
            <w:r w:rsidR="003D7CA4" w:rsidRPr="003D7CA4">
              <w:t>,</w:t>
            </w:r>
            <w:r w:rsidRPr="003D7CA4">
              <w:t>8-1</w:t>
            </w:r>
            <w:r w:rsidR="003D7CA4" w:rsidRPr="003D7CA4">
              <w:t>,</w:t>
            </w:r>
            <w:r w:rsidRPr="003D7CA4">
              <w:t>8</w:t>
            </w:r>
          </w:p>
        </w:tc>
        <w:tc>
          <w:tcPr>
            <w:tcW w:w="50" w:type="pct"/>
            <w:tcBorders>
              <w:top w:val="single" w:sz="4" w:space="0" w:color="auto"/>
              <w:left w:val="single" w:sz="4" w:space="0" w:color="auto"/>
              <w:bottom w:val="nil"/>
              <w:right w:val="nil"/>
            </w:tcBorders>
            <w:shd w:val="clear" w:color="auto" w:fill="FFFFFF"/>
            <w:vAlign w:val="center"/>
          </w:tcPr>
          <w:p w14:paraId="3817210F" w14:textId="77777777" w:rsidR="00B82FF8" w:rsidRPr="003D7CA4" w:rsidRDefault="00B82FF8" w:rsidP="00B82FF8">
            <w:pPr>
              <w:pStyle w:val="TABLE"/>
            </w:pPr>
            <w:r w:rsidRPr="003D7CA4">
              <w:t>400-900</w:t>
            </w:r>
          </w:p>
        </w:tc>
        <w:tc>
          <w:tcPr>
            <w:tcW w:w="50" w:type="pct"/>
            <w:tcBorders>
              <w:top w:val="single" w:sz="4" w:space="0" w:color="auto"/>
              <w:left w:val="single" w:sz="4" w:space="0" w:color="auto"/>
              <w:bottom w:val="nil"/>
              <w:right w:val="nil"/>
            </w:tcBorders>
            <w:shd w:val="clear" w:color="auto" w:fill="FFFFFF"/>
            <w:vAlign w:val="center"/>
          </w:tcPr>
          <w:p w14:paraId="6A5C15E9" w14:textId="72EA4404" w:rsidR="00B82FF8" w:rsidRPr="003D7CA4" w:rsidRDefault="00B82FF8" w:rsidP="00B82FF8">
            <w:pPr>
              <w:pStyle w:val="TABLE"/>
            </w:pPr>
            <w:r w:rsidRPr="003D7CA4">
              <w:t>3</w:t>
            </w:r>
            <w:r w:rsidR="003D7CA4" w:rsidRPr="003D7CA4">
              <w:t>,</w:t>
            </w:r>
            <w:r w:rsidRPr="003D7CA4">
              <w:t>2-7</w:t>
            </w:r>
            <w:r w:rsidR="003D7CA4" w:rsidRPr="003D7CA4">
              <w:t>,</w:t>
            </w:r>
            <w:r w:rsidRPr="003D7CA4">
              <w:t>2</w:t>
            </w:r>
          </w:p>
        </w:tc>
        <w:tc>
          <w:tcPr>
            <w:tcW w:w="50" w:type="pct"/>
            <w:tcBorders>
              <w:top w:val="single" w:sz="4" w:space="0" w:color="auto"/>
              <w:left w:val="single" w:sz="4" w:space="0" w:color="auto"/>
              <w:bottom w:val="nil"/>
              <w:right w:val="single" w:sz="4" w:space="0" w:color="auto"/>
            </w:tcBorders>
            <w:shd w:val="clear" w:color="auto" w:fill="FFFFFF"/>
            <w:vAlign w:val="center"/>
          </w:tcPr>
          <w:p w14:paraId="69C18733" w14:textId="37ED8047" w:rsidR="00B82FF8" w:rsidRPr="003D7CA4" w:rsidRDefault="00B82FF8" w:rsidP="00B82FF8">
            <w:pPr>
              <w:pStyle w:val="TABLE"/>
            </w:pPr>
            <w:r w:rsidRPr="003D7CA4">
              <w:t>1600-3600</w:t>
            </w:r>
          </w:p>
        </w:tc>
      </w:tr>
      <w:tr w:rsidR="00B82FF8" w:rsidRPr="003D7CA4" w14:paraId="3DB4286F" w14:textId="77777777" w:rsidTr="00B82FF8">
        <w:tc>
          <w:tcPr>
            <w:tcW w:w="50" w:type="pct"/>
            <w:tcBorders>
              <w:top w:val="single" w:sz="4" w:space="0" w:color="auto"/>
              <w:left w:val="single" w:sz="4" w:space="0" w:color="auto"/>
              <w:bottom w:val="single" w:sz="4" w:space="0" w:color="auto"/>
              <w:right w:val="nil"/>
            </w:tcBorders>
            <w:shd w:val="clear" w:color="auto" w:fill="FFFFFF"/>
            <w:vAlign w:val="center"/>
          </w:tcPr>
          <w:p w14:paraId="21E3EA09" w14:textId="77777777" w:rsidR="00B82FF8" w:rsidRPr="003D7CA4" w:rsidRDefault="00B82FF8" w:rsidP="00B82FF8">
            <w:pPr>
              <w:pStyle w:val="TABLE"/>
              <w:rPr>
                <w:rFonts w:cs="Arial"/>
                <w:szCs w:val="18"/>
              </w:rPr>
            </w:pPr>
            <w:r w:rsidRPr="003D7CA4">
              <w:rPr>
                <w:rFonts w:cs="Arial"/>
                <w:szCs w:val="18"/>
              </w:rPr>
              <w:t>&gt; 53</w:t>
            </w:r>
          </w:p>
        </w:tc>
        <w:tc>
          <w:tcPr>
            <w:tcW w:w="50" w:type="pct"/>
            <w:tcBorders>
              <w:top w:val="single" w:sz="4" w:space="0" w:color="auto"/>
              <w:left w:val="single" w:sz="4" w:space="0" w:color="auto"/>
              <w:bottom w:val="single" w:sz="4" w:space="0" w:color="auto"/>
              <w:right w:val="nil"/>
            </w:tcBorders>
            <w:shd w:val="clear" w:color="auto" w:fill="FFFFFF"/>
            <w:vAlign w:val="center"/>
          </w:tcPr>
          <w:p w14:paraId="3F961244" w14:textId="77777777" w:rsidR="00B82FF8" w:rsidRPr="003D7CA4" w:rsidRDefault="00B82FF8" w:rsidP="00B82FF8">
            <w:pPr>
              <w:pStyle w:val="Default"/>
              <w:rPr>
                <w:rFonts w:ascii="Arial" w:hAnsi="Arial" w:cs="Arial"/>
                <w:sz w:val="18"/>
                <w:szCs w:val="18"/>
              </w:rPr>
            </w:pPr>
            <w:r w:rsidRPr="003D7CA4">
              <w:rPr>
                <w:rFonts w:ascii="Arial" w:hAnsi="Arial" w:cs="Arial"/>
                <w:sz w:val="18"/>
                <w:szCs w:val="18"/>
              </w:rPr>
              <w:t>≥ 15 lat</w:t>
            </w:r>
          </w:p>
        </w:tc>
        <w:tc>
          <w:tcPr>
            <w:tcW w:w="50" w:type="pct"/>
            <w:tcBorders>
              <w:top w:val="single" w:sz="4" w:space="0" w:color="auto"/>
              <w:left w:val="single" w:sz="4" w:space="0" w:color="auto"/>
              <w:bottom w:val="single" w:sz="4" w:space="0" w:color="auto"/>
              <w:right w:val="nil"/>
            </w:tcBorders>
            <w:shd w:val="clear" w:color="auto" w:fill="FFFFFF"/>
            <w:vAlign w:val="center"/>
          </w:tcPr>
          <w:p w14:paraId="7B47A0FA" w14:textId="7E8D314E" w:rsidR="00B82FF8" w:rsidRPr="003D7CA4" w:rsidRDefault="00B82FF8" w:rsidP="00B82FF8">
            <w:pPr>
              <w:pStyle w:val="TABLE"/>
            </w:pPr>
            <w:r w:rsidRPr="003D7CA4">
              <w:t>1</w:t>
            </w:r>
            <w:r w:rsidR="003D7CA4" w:rsidRPr="003D7CA4">
              <w:t>,</w:t>
            </w:r>
            <w:r w:rsidRPr="003D7CA4">
              <w:t>0-2</w:t>
            </w:r>
            <w:r w:rsidR="003D7CA4" w:rsidRPr="003D7CA4">
              <w:t>,</w:t>
            </w:r>
            <w:r w:rsidRPr="003D7CA4">
              <w:t>0*</w:t>
            </w:r>
          </w:p>
        </w:tc>
        <w:tc>
          <w:tcPr>
            <w:tcW w:w="50" w:type="pct"/>
            <w:tcBorders>
              <w:top w:val="single" w:sz="4" w:space="0" w:color="auto"/>
              <w:left w:val="single" w:sz="4" w:space="0" w:color="auto"/>
              <w:bottom w:val="single" w:sz="4" w:space="0" w:color="auto"/>
              <w:right w:val="nil"/>
            </w:tcBorders>
            <w:shd w:val="clear" w:color="auto" w:fill="FFFFFF"/>
            <w:vAlign w:val="center"/>
          </w:tcPr>
          <w:p w14:paraId="05F794B4" w14:textId="48FBCE65" w:rsidR="00B82FF8" w:rsidRPr="003D7CA4" w:rsidRDefault="00B82FF8" w:rsidP="00B82FF8">
            <w:pPr>
              <w:pStyle w:val="TABLE"/>
            </w:pPr>
            <w:r w:rsidRPr="003D7CA4">
              <w:t>500-1000*</w:t>
            </w:r>
          </w:p>
        </w:tc>
        <w:tc>
          <w:tcPr>
            <w:tcW w:w="50" w:type="pct"/>
            <w:tcBorders>
              <w:top w:val="single" w:sz="4" w:space="0" w:color="auto"/>
              <w:left w:val="single" w:sz="4" w:space="0" w:color="auto"/>
              <w:bottom w:val="single" w:sz="4" w:space="0" w:color="auto"/>
              <w:right w:val="nil"/>
            </w:tcBorders>
            <w:shd w:val="clear" w:color="auto" w:fill="FFFFFF"/>
            <w:vAlign w:val="center"/>
          </w:tcPr>
          <w:p w14:paraId="061076DD" w14:textId="20F3EB55" w:rsidR="00B82FF8" w:rsidRPr="003D7CA4" w:rsidRDefault="00B82FF8" w:rsidP="00B82FF8">
            <w:pPr>
              <w:pStyle w:val="TABLE"/>
            </w:pPr>
            <w:r w:rsidRPr="003D7CA4">
              <w:t>4</w:t>
            </w:r>
            <w:r w:rsidR="003D7CA4" w:rsidRPr="003D7CA4">
              <w:t>,</w:t>
            </w:r>
            <w:r w:rsidRPr="003D7CA4">
              <w:t>0-8</w:t>
            </w:r>
            <w:r w:rsidR="003D7CA4" w:rsidRPr="003D7CA4">
              <w:t>,</w:t>
            </w:r>
            <w:r w:rsidRPr="003D7CA4">
              <w:t>0*</w:t>
            </w:r>
          </w:p>
        </w:tc>
        <w:tc>
          <w:tcPr>
            <w:tcW w:w="50" w:type="pct"/>
            <w:tcBorders>
              <w:top w:val="single" w:sz="4" w:space="0" w:color="auto"/>
              <w:left w:val="single" w:sz="4" w:space="0" w:color="auto"/>
              <w:bottom w:val="single" w:sz="4" w:space="0" w:color="auto"/>
              <w:right w:val="single" w:sz="4" w:space="0" w:color="auto"/>
            </w:tcBorders>
            <w:shd w:val="clear" w:color="auto" w:fill="FFFFFF"/>
            <w:vAlign w:val="center"/>
          </w:tcPr>
          <w:p w14:paraId="40ACBBF9" w14:textId="6F16368E" w:rsidR="00B82FF8" w:rsidRPr="003D7CA4" w:rsidRDefault="00B82FF8" w:rsidP="00B82FF8">
            <w:pPr>
              <w:pStyle w:val="TABLE"/>
            </w:pPr>
            <w:r w:rsidRPr="003D7CA4">
              <w:t>2000-4000*</w:t>
            </w:r>
          </w:p>
        </w:tc>
      </w:tr>
      <w:bookmarkEnd w:id="0"/>
    </w:tbl>
    <w:p w14:paraId="18D3280A" w14:textId="77777777" w:rsidR="00B82FF8" w:rsidRPr="003D7CA4" w:rsidRDefault="00B82FF8" w:rsidP="00554BF5">
      <w:pPr>
        <w:autoSpaceDE w:val="0"/>
        <w:autoSpaceDN w:val="0"/>
        <w:adjustRightInd w:val="0"/>
        <w:spacing w:after="0" w:line="240" w:lineRule="auto"/>
        <w:rPr>
          <w:rFonts w:asciiTheme="majorBidi" w:hAnsiTheme="majorBidi" w:cstheme="majorBidi"/>
          <w:bCs/>
          <w:iCs/>
          <w:lang w:val="pl-PL"/>
        </w:rPr>
      </w:pPr>
    </w:p>
    <w:p w14:paraId="38B8FFBC" w14:textId="585A3D6D" w:rsidR="008B2928" w:rsidRPr="003D7CA4" w:rsidRDefault="008B2928" w:rsidP="00D20465">
      <w:pPr>
        <w:autoSpaceDE w:val="0"/>
        <w:autoSpaceDN w:val="0"/>
        <w:adjustRightInd w:val="0"/>
        <w:spacing w:after="0" w:line="240" w:lineRule="auto"/>
        <w:jc w:val="both"/>
        <w:rPr>
          <w:rFonts w:ascii="Times New Roman" w:hAnsi="Times New Roman" w:cs="Times New Roman"/>
          <w:bCs/>
          <w:iCs/>
          <w:lang w:val="pl-PL"/>
        </w:rPr>
      </w:pPr>
      <w:r w:rsidRPr="003D7CA4">
        <w:rPr>
          <w:rFonts w:ascii="Times New Roman" w:hAnsi="Times New Roman" w:cs="Times New Roman"/>
          <w:lang w:val="pl-PL"/>
        </w:rPr>
        <w:t>* W razie potrzeby dawkę pojedynczą można zwiększyć do 5 ml (co odpowiada 2500 mg metamizolu), a dawkę dobową — do 10 ml (co odpowiada 5000 mg metamizolu).</w:t>
      </w:r>
    </w:p>
    <w:p w14:paraId="12833525" w14:textId="77777777" w:rsidR="003D72EE" w:rsidRPr="003D7CA4" w:rsidRDefault="003D72EE" w:rsidP="00D20465">
      <w:pPr>
        <w:spacing w:after="0" w:line="240" w:lineRule="auto"/>
        <w:jc w:val="both"/>
        <w:rPr>
          <w:rFonts w:ascii="Times New Roman" w:hAnsi="Times New Roman" w:cs="Times New Roman"/>
          <w:u w:val="single"/>
          <w:lang w:val="pl-PL"/>
        </w:rPr>
      </w:pPr>
    </w:p>
    <w:p w14:paraId="40C13398" w14:textId="4E9A8D41" w:rsidR="00554BF5" w:rsidRPr="003D7CA4" w:rsidRDefault="003D72EE" w:rsidP="00D20465">
      <w:pPr>
        <w:spacing w:line="240" w:lineRule="auto"/>
        <w:jc w:val="both"/>
        <w:rPr>
          <w:rFonts w:ascii="Times New Roman" w:hAnsi="Times New Roman" w:cs="Times New Roman"/>
          <w:u w:val="single"/>
          <w:lang w:val="pl-PL"/>
        </w:rPr>
      </w:pPr>
      <w:r w:rsidRPr="003D7CA4">
        <w:rPr>
          <w:rFonts w:ascii="Times New Roman" w:hAnsi="Times New Roman" w:cs="Times New Roman"/>
          <w:u w:val="single"/>
          <w:lang w:val="pl-PL"/>
        </w:rPr>
        <w:t>Szczególne grupy pacjentów</w:t>
      </w:r>
    </w:p>
    <w:p w14:paraId="3CEAD868" w14:textId="790D7713" w:rsidR="00B33010" w:rsidRPr="003D7CA4" w:rsidRDefault="00B33010" w:rsidP="00D20465">
      <w:pPr>
        <w:autoSpaceDE w:val="0"/>
        <w:autoSpaceDN w:val="0"/>
        <w:adjustRightInd w:val="0"/>
        <w:spacing w:after="0" w:line="240" w:lineRule="auto"/>
        <w:jc w:val="both"/>
        <w:rPr>
          <w:rFonts w:ascii="Times New Roman" w:hAnsi="Times New Roman" w:cs="Times New Roman"/>
          <w:b/>
          <w:bCs/>
          <w:i/>
          <w:iCs/>
          <w:lang w:val="pl-PL"/>
        </w:rPr>
      </w:pPr>
      <w:r w:rsidRPr="003D7CA4">
        <w:rPr>
          <w:rFonts w:ascii="Times New Roman" w:hAnsi="Times New Roman" w:cs="Times New Roman"/>
          <w:b/>
          <w:bCs/>
          <w:i/>
          <w:iCs/>
          <w:lang w:val="pl-PL"/>
        </w:rPr>
        <w:t xml:space="preserve">Pacjenci w podeszłym wieku, </w:t>
      </w:r>
      <w:r w:rsidR="00C360A9" w:rsidRPr="003D7CA4">
        <w:rPr>
          <w:rFonts w:ascii="Times New Roman" w:hAnsi="Times New Roman" w:cs="Times New Roman"/>
          <w:b/>
          <w:bCs/>
          <w:i/>
          <w:iCs/>
          <w:lang w:val="pl-PL"/>
        </w:rPr>
        <w:t>pacj</w:t>
      </w:r>
      <w:r w:rsidR="003D7CA4" w:rsidRPr="003D7CA4">
        <w:rPr>
          <w:rFonts w:ascii="Times New Roman" w:hAnsi="Times New Roman" w:cs="Times New Roman"/>
          <w:b/>
          <w:bCs/>
          <w:i/>
          <w:iCs/>
          <w:lang w:val="pl-PL"/>
        </w:rPr>
        <w:t>en</w:t>
      </w:r>
      <w:r w:rsidR="00C360A9" w:rsidRPr="003D7CA4">
        <w:rPr>
          <w:rFonts w:ascii="Times New Roman" w:hAnsi="Times New Roman" w:cs="Times New Roman"/>
          <w:b/>
          <w:bCs/>
          <w:i/>
          <w:iCs/>
          <w:lang w:val="pl-PL"/>
        </w:rPr>
        <w:t xml:space="preserve">ci </w:t>
      </w:r>
      <w:r w:rsidRPr="003D7CA4">
        <w:rPr>
          <w:rFonts w:ascii="Times New Roman" w:hAnsi="Times New Roman" w:cs="Times New Roman"/>
          <w:b/>
          <w:bCs/>
          <w:i/>
          <w:iCs/>
          <w:lang w:val="pl-PL"/>
        </w:rPr>
        <w:t xml:space="preserve">osłabieni oraz </w:t>
      </w:r>
      <w:r w:rsidR="00C360A9" w:rsidRPr="003D7CA4">
        <w:rPr>
          <w:rFonts w:ascii="Times New Roman" w:hAnsi="Times New Roman" w:cs="Times New Roman"/>
          <w:b/>
          <w:bCs/>
          <w:i/>
          <w:iCs/>
          <w:lang w:val="pl-PL"/>
        </w:rPr>
        <w:t>pacj</w:t>
      </w:r>
      <w:r w:rsidR="003D7CA4">
        <w:rPr>
          <w:rFonts w:ascii="Times New Roman" w:hAnsi="Times New Roman" w:cs="Times New Roman"/>
          <w:b/>
          <w:bCs/>
          <w:i/>
          <w:iCs/>
          <w:lang w:val="pl-PL"/>
        </w:rPr>
        <w:t>en</w:t>
      </w:r>
      <w:r w:rsidR="00C360A9" w:rsidRPr="003D7CA4">
        <w:rPr>
          <w:rFonts w:ascii="Times New Roman" w:hAnsi="Times New Roman" w:cs="Times New Roman"/>
          <w:b/>
          <w:bCs/>
          <w:i/>
          <w:iCs/>
          <w:lang w:val="pl-PL"/>
        </w:rPr>
        <w:t xml:space="preserve">ci </w:t>
      </w:r>
      <w:r w:rsidRPr="003D7CA4">
        <w:rPr>
          <w:rFonts w:ascii="Times New Roman" w:hAnsi="Times New Roman" w:cs="Times New Roman"/>
          <w:b/>
          <w:bCs/>
          <w:i/>
          <w:iCs/>
          <w:lang w:val="pl-PL"/>
        </w:rPr>
        <w:t xml:space="preserve">z obniżonym </w:t>
      </w:r>
      <w:proofErr w:type="spellStart"/>
      <w:r w:rsidRPr="003D7CA4">
        <w:rPr>
          <w:rFonts w:ascii="Times New Roman" w:hAnsi="Times New Roman" w:cs="Times New Roman"/>
          <w:b/>
          <w:bCs/>
          <w:i/>
          <w:iCs/>
          <w:lang w:val="pl-PL"/>
        </w:rPr>
        <w:t>klirensem</w:t>
      </w:r>
      <w:proofErr w:type="spellEnd"/>
      <w:r w:rsidRPr="003D7CA4">
        <w:rPr>
          <w:rFonts w:ascii="Times New Roman" w:hAnsi="Times New Roman" w:cs="Times New Roman"/>
          <w:b/>
          <w:bCs/>
          <w:i/>
          <w:iCs/>
          <w:lang w:val="pl-PL"/>
        </w:rPr>
        <w:t xml:space="preserve"> kreatyniny</w:t>
      </w:r>
    </w:p>
    <w:p w14:paraId="054F011F" w14:textId="6F52D2BB" w:rsidR="00B33010" w:rsidRPr="003D7CA4" w:rsidRDefault="003F76BC" w:rsidP="00D20465">
      <w:pPr>
        <w:autoSpaceDE w:val="0"/>
        <w:autoSpaceDN w:val="0"/>
        <w:adjustRightInd w:val="0"/>
        <w:spacing w:after="0" w:line="240" w:lineRule="auto"/>
        <w:jc w:val="both"/>
        <w:rPr>
          <w:rFonts w:ascii="Times New Roman" w:hAnsi="Times New Roman" w:cs="Times New Roman"/>
          <w:bCs/>
          <w:iCs/>
          <w:lang w:val="pl-PL"/>
        </w:rPr>
      </w:pPr>
      <w:r w:rsidRPr="003D7CA4">
        <w:rPr>
          <w:rFonts w:ascii="Times New Roman" w:hAnsi="Times New Roman" w:cs="Times New Roman"/>
          <w:lang w:val="pl-PL"/>
        </w:rPr>
        <w:t xml:space="preserve">W przypadku pacjentów w podeszłym wieku, osłabionych oraz z obniżonym </w:t>
      </w:r>
      <w:proofErr w:type="spellStart"/>
      <w:r w:rsidRPr="003D7CA4">
        <w:rPr>
          <w:rFonts w:ascii="Times New Roman" w:hAnsi="Times New Roman" w:cs="Times New Roman"/>
          <w:lang w:val="pl-PL"/>
        </w:rPr>
        <w:t>klirensem</w:t>
      </w:r>
      <w:proofErr w:type="spellEnd"/>
      <w:r w:rsidRPr="003D7CA4">
        <w:rPr>
          <w:rFonts w:ascii="Times New Roman" w:hAnsi="Times New Roman" w:cs="Times New Roman"/>
          <w:lang w:val="pl-PL"/>
        </w:rPr>
        <w:t xml:space="preserve"> kreatyniny dawkę należy zmniejszyć ze względu na możliwość wydłużenia eliminacji produktów metabolizmu metamizolu.</w:t>
      </w:r>
    </w:p>
    <w:p w14:paraId="298AFD2D" w14:textId="77777777" w:rsidR="00B33010" w:rsidRPr="003D7CA4" w:rsidRDefault="00B33010" w:rsidP="00D20465">
      <w:pPr>
        <w:autoSpaceDE w:val="0"/>
        <w:autoSpaceDN w:val="0"/>
        <w:adjustRightInd w:val="0"/>
        <w:spacing w:after="0" w:line="240" w:lineRule="auto"/>
        <w:jc w:val="both"/>
        <w:rPr>
          <w:rFonts w:ascii="Times New Roman" w:hAnsi="Times New Roman" w:cs="Times New Roman"/>
          <w:b/>
          <w:bCs/>
          <w:i/>
          <w:iCs/>
          <w:lang w:val="pl-PL"/>
        </w:rPr>
      </w:pPr>
    </w:p>
    <w:p w14:paraId="40C13399" w14:textId="4467CA3D" w:rsidR="000B30ED" w:rsidRPr="003D7CA4" w:rsidRDefault="000B30ED" w:rsidP="00D20465">
      <w:pPr>
        <w:autoSpaceDE w:val="0"/>
        <w:autoSpaceDN w:val="0"/>
        <w:adjustRightInd w:val="0"/>
        <w:spacing w:after="0" w:line="240" w:lineRule="auto"/>
        <w:jc w:val="both"/>
        <w:rPr>
          <w:rFonts w:ascii="Times New Roman" w:hAnsi="Times New Roman" w:cs="Times New Roman"/>
          <w:b/>
          <w:bCs/>
          <w:i/>
          <w:iCs/>
          <w:lang w:val="pl-PL"/>
        </w:rPr>
      </w:pPr>
      <w:r w:rsidRPr="003D7CA4">
        <w:rPr>
          <w:rFonts w:ascii="Times New Roman" w:hAnsi="Times New Roman" w:cs="Times New Roman"/>
          <w:b/>
          <w:bCs/>
          <w:i/>
          <w:iCs/>
          <w:lang w:val="pl-PL"/>
        </w:rPr>
        <w:t>Pacjenci z zaburzeniami czynności nerek i</w:t>
      </w:r>
      <w:r w:rsidR="00754B5C">
        <w:rPr>
          <w:rFonts w:ascii="Times New Roman" w:hAnsi="Times New Roman" w:cs="Times New Roman"/>
          <w:b/>
          <w:bCs/>
          <w:i/>
          <w:iCs/>
          <w:lang w:val="pl-PL"/>
        </w:rPr>
        <w:t xml:space="preserve"> </w:t>
      </w:r>
      <w:r w:rsidR="005D1D49" w:rsidRPr="003D7CA4">
        <w:rPr>
          <w:rFonts w:ascii="Times New Roman" w:hAnsi="Times New Roman" w:cs="Times New Roman"/>
          <w:b/>
          <w:bCs/>
          <w:i/>
          <w:iCs/>
          <w:lang w:val="pl-PL"/>
        </w:rPr>
        <w:t>(lub)</w:t>
      </w:r>
      <w:r w:rsidRPr="003D7CA4">
        <w:rPr>
          <w:rFonts w:ascii="Times New Roman" w:hAnsi="Times New Roman" w:cs="Times New Roman"/>
          <w:b/>
          <w:bCs/>
          <w:i/>
          <w:iCs/>
          <w:lang w:val="pl-PL"/>
        </w:rPr>
        <w:t> wątroby</w:t>
      </w:r>
    </w:p>
    <w:p w14:paraId="0F9D4AC8" w14:textId="4A39A151" w:rsidR="000F6E93" w:rsidRPr="003D7CA4" w:rsidRDefault="000F6E93" w:rsidP="00D20465">
      <w:pPr>
        <w:spacing w:after="0" w:line="240" w:lineRule="auto"/>
        <w:jc w:val="both"/>
        <w:rPr>
          <w:rFonts w:ascii="Times New Roman" w:hAnsi="Times New Roman" w:cs="Times New Roman"/>
          <w:lang w:val="pl-PL"/>
        </w:rPr>
      </w:pPr>
      <w:r w:rsidRPr="003D7CA4">
        <w:rPr>
          <w:rFonts w:ascii="Times New Roman" w:hAnsi="Times New Roman" w:cs="Times New Roman"/>
          <w:lang w:val="pl-PL"/>
        </w:rPr>
        <w:t>Ponieważ szybkość eliminacji jest zmniejszona u pacjentów z zaburzeniami czynności nerek lub wątroby, należy unikać wielokrotnego podawania dużych dawek. Nie jest wymagane zmniejszenie dawki w przypadku krótkotrwałego stosowania. Dotychczas brak jest wystarczającego doświadczenia w zakresie długoterminowego stosowania metamizolu u pacjentów z zaburzeniami czynności nerek lub wątroby.</w:t>
      </w:r>
    </w:p>
    <w:p w14:paraId="40C1339A" w14:textId="33795E3F"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p>
    <w:p w14:paraId="0C297AEA" w14:textId="13B95153" w:rsidR="003D72EE" w:rsidRPr="003D7CA4" w:rsidRDefault="003D72EE" w:rsidP="00D20465">
      <w:pPr>
        <w:spacing w:line="240" w:lineRule="auto"/>
        <w:jc w:val="both"/>
        <w:rPr>
          <w:rFonts w:ascii="Times New Roman" w:hAnsi="Times New Roman" w:cs="Times New Roman"/>
          <w:i/>
          <w:iCs/>
          <w:u w:val="single"/>
          <w:lang w:val="pl-PL"/>
        </w:rPr>
      </w:pPr>
      <w:r w:rsidRPr="003D7CA4">
        <w:rPr>
          <w:rFonts w:ascii="Times New Roman" w:hAnsi="Times New Roman" w:cs="Times New Roman"/>
          <w:i/>
          <w:iCs/>
          <w:u w:val="single"/>
          <w:lang w:val="pl-PL"/>
        </w:rPr>
        <w:t>Dzieci i młodzież</w:t>
      </w:r>
    </w:p>
    <w:p w14:paraId="437C6CFF" w14:textId="725FBDD5" w:rsidR="003D72EE" w:rsidRPr="003D7CA4" w:rsidRDefault="00C360A9" w:rsidP="00D20465">
      <w:pPr>
        <w:spacing w:after="0" w:line="240" w:lineRule="auto"/>
        <w:jc w:val="both"/>
        <w:rPr>
          <w:rFonts w:ascii="Times New Roman" w:hAnsi="Times New Roman" w:cs="Times New Roman"/>
          <w:lang w:val="pl-PL"/>
        </w:rPr>
      </w:pPr>
      <w:r w:rsidRPr="003D7CA4">
        <w:rPr>
          <w:rFonts w:ascii="Times New Roman" w:hAnsi="Times New Roman" w:cs="Times New Roman"/>
          <w:lang w:val="pl-PL"/>
        </w:rPr>
        <w:t>Niemowlętom, dzieciom i młodzieży p</w:t>
      </w:r>
      <w:r w:rsidR="00C73A4D" w:rsidRPr="003D7CA4">
        <w:rPr>
          <w:rFonts w:ascii="Times New Roman" w:hAnsi="Times New Roman" w:cs="Times New Roman"/>
          <w:lang w:val="pl-PL"/>
        </w:rPr>
        <w:t xml:space="preserve">rodukt leczniczy </w:t>
      </w:r>
      <w:r w:rsidR="000933A3">
        <w:rPr>
          <w:rFonts w:ascii="Times New Roman" w:hAnsi="Times New Roman" w:cs="Times New Roman"/>
          <w:noProof/>
          <w:lang w:val="pl-PL"/>
        </w:rPr>
        <w:t>Pyreoxing</w:t>
      </w:r>
      <w:r w:rsidR="00814E1F" w:rsidRPr="003D7CA4">
        <w:rPr>
          <w:rFonts w:ascii="Times New Roman" w:hAnsi="Times New Roman" w:cs="Times New Roman"/>
          <w:lang w:val="pl-PL"/>
        </w:rPr>
        <w:t xml:space="preserve"> </w:t>
      </w:r>
      <w:r w:rsidR="00C73A4D" w:rsidRPr="003D7CA4">
        <w:rPr>
          <w:rFonts w:ascii="Times New Roman" w:hAnsi="Times New Roman" w:cs="Times New Roman"/>
          <w:lang w:val="pl-PL"/>
        </w:rPr>
        <w:t xml:space="preserve">roztwór do </w:t>
      </w:r>
      <w:proofErr w:type="spellStart"/>
      <w:r w:rsidR="00C73A4D" w:rsidRPr="003D7CA4">
        <w:rPr>
          <w:rFonts w:ascii="Times New Roman" w:hAnsi="Times New Roman" w:cs="Times New Roman"/>
          <w:lang w:val="pl-PL"/>
        </w:rPr>
        <w:t>wstrzykiwań</w:t>
      </w:r>
      <w:proofErr w:type="spellEnd"/>
      <w:r w:rsidR="00C73A4D" w:rsidRPr="003D7CA4">
        <w:rPr>
          <w:rFonts w:ascii="Times New Roman" w:hAnsi="Times New Roman" w:cs="Times New Roman"/>
          <w:lang w:val="pl-PL"/>
        </w:rPr>
        <w:t xml:space="preserve"> podaje się</w:t>
      </w:r>
      <w:bookmarkStart w:id="1" w:name="_Hlk140674126"/>
      <w:r w:rsidR="00C73A4D" w:rsidRPr="003D7CA4">
        <w:rPr>
          <w:rFonts w:ascii="Times New Roman" w:hAnsi="Times New Roman" w:cs="Times New Roman"/>
          <w:lang w:val="pl-PL"/>
        </w:rPr>
        <w:t xml:space="preserve"> </w:t>
      </w:r>
      <w:bookmarkEnd w:id="1"/>
      <w:r w:rsidR="00C73A4D" w:rsidRPr="003D7CA4">
        <w:rPr>
          <w:rFonts w:ascii="Times New Roman" w:hAnsi="Times New Roman" w:cs="Times New Roman"/>
          <w:lang w:val="pl-PL"/>
        </w:rPr>
        <w:t>dożylnie lub domięśniowo.</w:t>
      </w:r>
    </w:p>
    <w:p w14:paraId="40C1339D" w14:textId="77777777" w:rsidR="00554BF5" w:rsidRPr="003D7CA4" w:rsidRDefault="00554BF5" w:rsidP="00D20465">
      <w:pPr>
        <w:autoSpaceDE w:val="0"/>
        <w:autoSpaceDN w:val="0"/>
        <w:adjustRightInd w:val="0"/>
        <w:spacing w:after="0" w:line="240" w:lineRule="auto"/>
        <w:jc w:val="both"/>
        <w:rPr>
          <w:rFonts w:ascii="Times New Roman" w:hAnsi="Times New Roman" w:cs="Times New Roman"/>
          <w:b/>
          <w:bCs/>
          <w:lang w:val="pl-PL"/>
        </w:rPr>
      </w:pPr>
    </w:p>
    <w:p w14:paraId="40C1339E"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Sposób podawania</w:t>
      </w:r>
    </w:p>
    <w:p w14:paraId="40C1339F" w14:textId="5E027AF4" w:rsidR="00554BF5" w:rsidRPr="003D7CA4" w:rsidRDefault="00C73A4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Produkt leczniczy </w:t>
      </w:r>
      <w:r w:rsidR="000933A3">
        <w:rPr>
          <w:rFonts w:ascii="Times New Roman" w:hAnsi="Times New Roman" w:cs="Times New Roman"/>
          <w:noProof/>
          <w:lang w:val="pl-PL"/>
        </w:rPr>
        <w:t>Pyreoxing</w:t>
      </w:r>
      <w:r w:rsidR="00814E1F" w:rsidRPr="003D7CA4">
        <w:rPr>
          <w:rFonts w:ascii="Times New Roman" w:hAnsi="Times New Roman" w:cs="Times New Roman"/>
          <w:lang w:val="pl-PL"/>
        </w:rPr>
        <w:t xml:space="preserve"> </w:t>
      </w:r>
      <w:r w:rsidRPr="003D7CA4">
        <w:rPr>
          <w:rFonts w:ascii="Times New Roman" w:hAnsi="Times New Roman" w:cs="Times New Roman"/>
          <w:lang w:val="pl-PL"/>
        </w:rPr>
        <w:t xml:space="preserve">roztwór do </w:t>
      </w:r>
      <w:proofErr w:type="spellStart"/>
      <w:r w:rsidRPr="003D7CA4">
        <w:rPr>
          <w:rFonts w:ascii="Times New Roman" w:hAnsi="Times New Roman" w:cs="Times New Roman"/>
          <w:lang w:val="pl-PL"/>
        </w:rPr>
        <w:t>wstrzykiwań</w:t>
      </w:r>
      <w:proofErr w:type="spellEnd"/>
      <w:r w:rsidRPr="003D7CA4">
        <w:rPr>
          <w:rFonts w:ascii="Times New Roman" w:hAnsi="Times New Roman" w:cs="Times New Roman"/>
          <w:lang w:val="pl-PL"/>
        </w:rPr>
        <w:t xml:space="preserve"> jest przeznaczony do podawania dożyl</w:t>
      </w:r>
      <w:r w:rsidR="00DD4076" w:rsidRPr="003D7CA4">
        <w:rPr>
          <w:rFonts w:ascii="Times New Roman" w:hAnsi="Times New Roman" w:cs="Times New Roman"/>
          <w:lang w:val="pl-PL"/>
        </w:rPr>
        <w:t>nie</w:t>
      </w:r>
      <w:r w:rsidRPr="003D7CA4">
        <w:rPr>
          <w:rFonts w:ascii="Times New Roman" w:hAnsi="Times New Roman" w:cs="Times New Roman"/>
          <w:lang w:val="pl-PL"/>
        </w:rPr>
        <w:t xml:space="preserve"> lub domięśni</w:t>
      </w:r>
      <w:r w:rsidR="00DD4076" w:rsidRPr="003D7CA4">
        <w:rPr>
          <w:rFonts w:ascii="Times New Roman" w:hAnsi="Times New Roman" w:cs="Times New Roman"/>
          <w:lang w:val="pl-PL"/>
        </w:rPr>
        <w:t>owo</w:t>
      </w:r>
      <w:r w:rsidRPr="003D7CA4">
        <w:rPr>
          <w:rFonts w:ascii="Times New Roman" w:hAnsi="Times New Roman" w:cs="Times New Roman"/>
          <w:lang w:val="pl-PL"/>
        </w:rPr>
        <w:t>.</w:t>
      </w:r>
    </w:p>
    <w:p w14:paraId="401D146C" w14:textId="1C975162" w:rsidR="004E1767" w:rsidRPr="003D7CA4" w:rsidRDefault="00DD4076"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Należy </w:t>
      </w:r>
      <w:r w:rsidR="005B200B" w:rsidRPr="003D7CA4">
        <w:rPr>
          <w:rFonts w:ascii="Times New Roman" w:hAnsi="Times New Roman" w:cs="Times New Roman"/>
          <w:lang w:val="pl-PL"/>
        </w:rPr>
        <w:t xml:space="preserve">przerwać </w:t>
      </w:r>
      <w:r w:rsidR="000B30ED" w:rsidRPr="003D7CA4">
        <w:rPr>
          <w:rFonts w:ascii="Times New Roman" w:hAnsi="Times New Roman" w:cs="Times New Roman"/>
          <w:lang w:val="pl-PL"/>
        </w:rPr>
        <w:t>wstrzykiwanie produktu leczniczego w przypadku wystąpienia pierwszych objawów reakcji anafilaktycznej</w:t>
      </w:r>
      <w:r w:rsidRPr="003D7CA4">
        <w:rPr>
          <w:rFonts w:ascii="Times New Roman" w:hAnsi="Times New Roman" w:cs="Times New Roman"/>
          <w:lang w:val="pl-PL"/>
        </w:rPr>
        <w:t xml:space="preserve"> lub </w:t>
      </w:r>
      <w:proofErr w:type="spellStart"/>
      <w:r w:rsidR="000B30ED" w:rsidRPr="003D7CA4">
        <w:rPr>
          <w:rFonts w:ascii="Times New Roman" w:hAnsi="Times New Roman" w:cs="Times New Roman"/>
          <w:lang w:val="pl-PL"/>
        </w:rPr>
        <w:t>anafilaktoidalnej</w:t>
      </w:r>
      <w:proofErr w:type="spellEnd"/>
      <w:r w:rsidR="000B30ED" w:rsidRPr="003D7CA4">
        <w:rPr>
          <w:rFonts w:ascii="Times New Roman" w:hAnsi="Times New Roman" w:cs="Times New Roman"/>
          <w:lang w:val="pl-PL"/>
        </w:rPr>
        <w:t xml:space="preserve"> (patrz punkt 4.8), </w:t>
      </w:r>
      <w:r w:rsidR="005B200B" w:rsidRPr="003D7CA4">
        <w:rPr>
          <w:rFonts w:ascii="Times New Roman" w:hAnsi="Times New Roman" w:cs="Times New Roman"/>
          <w:lang w:val="pl-PL"/>
        </w:rPr>
        <w:t>w celu ograniczenia do minimum</w:t>
      </w:r>
      <w:r w:rsidRPr="003D7CA4">
        <w:rPr>
          <w:rFonts w:ascii="Times New Roman" w:hAnsi="Times New Roman" w:cs="Times New Roman"/>
          <w:lang w:val="pl-PL"/>
        </w:rPr>
        <w:t xml:space="preserve"> </w:t>
      </w:r>
      <w:r w:rsidR="000B30ED" w:rsidRPr="003D7CA4">
        <w:rPr>
          <w:rFonts w:ascii="Times New Roman" w:hAnsi="Times New Roman" w:cs="Times New Roman"/>
          <w:lang w:val="pl-PL"/>
        </w:rPr>
        <w:t>ryzyk</w:t>
      </w:r>
      <w:r w:rsidR="005B200B" w:rsidRPr="003D7CA4">
        <w:rPr>
          <w:rFonts w:ascii="Times New Roman" w:hAnsi="Times New Roman" w:cs="Times New Roman"/>
          <w:lang w:val="pl-PL"/>
        </w:rPr>
        <w:t>a</w:t>
      </w:r>
      <w:r w:rsidR="000B30ED" w:rsidRPr="003D7CA4">
        <w:rPr>
          <w:rFonts w:ascii="Times New Roman" w:hAnsi="Times New Roman" w:cs="Times New Roman"/>
          <w:lang w:val="pl-PL"/>
        </w:rPr>
        <w:t xml:space="preserve"> wystąpienia </w:t>
      </w:r>
      <w:r w:rsidR="005B200B" w:rsidRPr="003D7CA4">
        <w:rPr>
          <w:rFonts w:ascii="Times New Roman" w:hAnsi="Times New Roman" w:cs="Times New Roman"/>
          <w:lang w:val="pl-PL"/>
        </w:rPr>
        <w:t xml:space="preserve">reakcji </w:t>
      </w:r>
      <w:proofErr w:type="spellStart"/>
      <w:r w:rsidR="005B200B" w:rsidRPr="003D7CA4">
        <w:rPr>
          <w:rFonts w:ascii="Times New Roman" w:hAnsi="Times New Roman" w:cs="Times New Roman"/>
          <w:lang w:val="pl-PL"/>
        </w:rPr>
        <w:t>hipotencyjnej</w:t>
      </w:r>
      <w:proofErr w:type="spellEnd"/>
      <w:r w:rsidRPr="003D7CA4">
        <w:rPr>
          <w:rFonts w:ascii="Times New Roman" w:hAnsi="Times New Roman" w:cs="Times New Roman"/>
          <w:lang w:val="pl-PL"/>
        </w:rPr>
        <w:t>.</w:t>
      </w:r>
    </w:p>
    <w:p w14:paraId="40C133A0" w14:textId="4C7A1D3E" w:rsidR="000B30ED" w:rsidRPr="003D7CA4" w:rsidRDefault="000B30ED"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 xml:space="preserve">Podczas podawania </w:t>
      </w:r>
      <w:r w:rsidR="00DD4076" w:rsidRPr="003D7CA4">
        <w:rPr>
          <w:rFonts w:ascii="Times New Roman" w:hAnsi="Times New Roman" w:cs="Times New Roman"/>
          <w:lang w:val="pl-PL"/>
        </w:rPr>
        <w:t xml:space="preserve">drogą </w:t>
      </w:r>
      <w:r w:rsidRPr="003D7CA4">
        <w:rPr>
          <w:rFonts w:ascii="Times New Roman" w:hAnsi="Times New Roman" w:cs="Times New Roman"/>
          <w:lang w:val="pl-PL"/>
        </w:rPr>
        <w:t>pozajelitow</w:t>
      </w:r>
      <w:r w:rsidR="000772BC">
        <w:rPr>
          <w:rFonts w:ascii="Times New Roman" w:hAnsi="Times New Roman" w:cs="Times New Roman"/>
          <w:lang w:val="pl-PL"/>
        </w:rPr>
        <w:t>ą</w:t>
      </w:r>
      <w:r w:rsidRPr="003D7CA4">
        <w:rPr>
          <w:rFonts w:ascii="Times New Roman" w:hAnsi="Times New Roman" w:cs="Times New Roman"/>
          <w:lang w:val="pl-PL"/>
        </w:rPr>
        <w:t xml:space="preserve"> </w:t>
      </w:r>
      <w:r w:rsidR="00DD4076" w:rsidRPr="003D7CA4">
        <w:rPr>
          <w:rFonts w:ascii="Times New Roman" w:hAnsi="Times New Roman" w:cs="Times New Roman"/>
          <w:lang w:val="pl-PL"/>
        </w:rPr>
        <w:t>pacjent powinien</w:t>
      </w:r>
      <w:r w:rsidRPr="003D7CA4">
        <w:rPr>
          <w:rFonts w:ascii="Times New Roman" w:hAnsi="Times New Roman" w:cs="Times New Roman"/>
          <w:lang w:val="pl-PL"/>
        </w:rPr>
        <w:t xml:space="preserve"> znajdowa</w:t>
      </w:r>
      <w:r w:rsidR="00DD4076" w:rsidRPr="003D7CA4">
        <w:rPr>
          <w:rFonts w:ascii="Times New Roman" w:hAnsi="Times New Roman" w:cs="Times New Roman"/>
          <w:lang w:val="pl-PL"/>
        </w:rPr>
        <w:t>ć</w:t>
      </w:r>
      <w:r w:rsidRPr="003D7CA4">
        <w:rPr>
          <w:rFonts w:ascii="Times New Roman" w:hAnsi="Times New Roman" w:cs="Times New Roman"/>
          <w:lang w:val="pl-PL"/>
        </w:rPr>
        <w:t xml:space="preserve"> się w pozycji leżącej oraz </w:t>
      </w:r>
      <w:r w:rsidR="00DD4076" w:rsidRPr="003D7CA4">
        <w:rPr>
          <w:rFonts w:ascii="Times New Roman" w:hAnsi="Times New Roman" w:cs="Times New Roman"/>
          <w:lang w:val="pl-PL"/>
        </w:rPr>
        <w:t>być</w:t>
      </w:r>
      <w:r w:rsidRPr="003D7CA4">
        <w:rPr>
          <w:rFonts w:ascii="Times New Roman" w:hAnsi="Times New Roman" w:cs="Times New Roman"/>
          <w:lang w:val="pl-PL"/>
        </w:rPr>
        <w:t xml:space="preserve"> pod ścisłym nadzorem </w:t>
      </w:r>
      <w:r w:rsidR="00DD4076" w:rsidRPr="003D7CA4">
        <w:rPr>
          <w:rFonts w:ascii="Times New Roman" w:hAnsi="Times New Roman" w:cs="Times New Roman"/>
          <w:lang w:val="pl-PL"/>
        </w:rPr>
        <w:t>lekarza</w:t>
      </w:r>
      <w:r w:rsidRPr="003D7CA4">
        <w:rPr>
          <w:rFonts w:ascii="Times New Roman" w:hAnsi="Times New Roman" w:cs="Times New Roman"/>
          <w:lang w:val="pl-PL"/>
        </w:rPr>
        <w:t xml:space="preserve">. Ponadto, aby zapobiec wystąpieniu reakcji hipotensyjnej, wstrzyknięcie dożylne należy wykonywać bardzo powoli, </w:t>
      </w:r>
      <w:r w:rsidR="005B200B" w:rsidRPr="003D7CA4">
        <w:rPr>
          <w:rFonts w:ascii="Times New Roman" w:hAnsi="Times New Roman" w:cs="Times New Roman"/>
          <w:lang w:val="pl-PL"/>
        </w:rPr>
        <w:t>tj</w:t>
      </w:r>
      <w:r w:rsidRPr="003D7CA4">
        <w:rPr>
          <w:rFonts w:ascii="Times New Roman" w:hAnsi="Times New Roman" w:cs="Times New Roman"/>
          <w:lang w:val="pl-PL"/>
        </w:rPr>
        <w:t>. nie więcej niż 1 ml (500 mg metamizolu) na minutę.</w:t>
      </w:r>
    </w:p>
    <w:p w14:paraId="060E80B9" w14:textId="77777777" w:rsidR="005B200B" w:rsidRPr="003D7CA4" w:rsidRDefault="005B200B" w:rsidP="00D20465">
      <w:pPr>
        <w:autoSpaceDE w:val="0"/>
        <w:autoSpaceDN w:val="0"/>
        <w:adjustRightInd w:val="0"/>
        <w:spacing w:after="0" w:line="240" w:lineRule="auto"/>
        <w:jc w:val="both"/>
        <w:rPr>
          <w:rFonts w:ascii="Times New Roman" w:hAnsi="Times New Roman" w:cs="Times New Roman"/>
          <w:b/>
          <w:bCs/>
          <w:lang w:val="pl-PL"/>
        </w:rPr>
      </w:pPr>
    </w:p>
    <w:p w14:paraId="40C133A2" w14:textId="0EE1C350"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4.3 Przeciwwskazania</w:t>
      </w:r>
    </w:p>
    <w:p w14:paraId="40C133A3" w14:textId="77777777" w:rsidR="00473BCE" w:rsidRPr="003D7CA4" w:rsidRDefault="00473BCE" w:rsidP="00D20465">
      <w:pPr>
        <w:autoSpaceDE w:val="0"/>
        <w:autoSpaceDN w:val="0"/>
        <w:adjustRightInd w:val="0"/>
        <w:spacing w:after="0" w:line="240" w:lineRule="auto"/>
        <w:jc w:val="both"/>
        <w:rPr>
          <w:rFonts w:ascii="Times New Roman" w:eastAsia="TimesNewRoman" w:hAnsi="Times New Roman" w:cs="Times New Roman"/>
          <w:lang w:val="pl-PL"/>
        </w:rPr>
      </w:pPr>
    </w:p>
    <w:p w14:paraId="40C133A4" w14:textId="2033D61B" w:rsidR="000B30ED" w:rsidRPr="003D7CA4" w:rsidRDefault="00C73A4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Stosowanie produktu leczniczego </w:t>
      </w:r>
      <w:r w:rsidR="000933A3">
        <w:rPr>
          <w:rFonts w:ascii="Times New Roman" w:hAnsi="Times New Roman" w:cs="Times New Roman"/>
          <w:noProof/>
          <w:lang w:val="pl-PL"/>
        </w:rPr>
        <w:t>Pyreoxing</w:t>
      </w:r>
      <w:r w:rsidR="00814E1F" w:rsidRPr="003D7CA4">
        <w:rPr>
          <w:rFonts w:ascii="Times New Roman" w:eastAsia="TimesNewRoman" w:hAnsi="Times New Roman" w:cs="Times New Roman"/>
          <w:lang w:val="pl-PL"/>
        </w:rPr>
        <w:t xml:space="preserve"> </w:t>
      </w:r>
      <w:r w:rsidRPr="003D7CA4">
        <w:rPr>
          <w:rFonts w:ascii="Times New Roman" w:eastAsia="TimesNewRoman" w:hAnsi="Times New Roman" w:cs="Times New Roman"/>
          <w:lang w:val="pl-PL"/>
        </w:rPr>
        <w:t xml:space="preserve">roztwór do </w:t>
      </w:r>
      <w:proofErr w:type="spellStart"/>
      <w:r w:rsidRPr="003D7CA4">
        <w:rPr>
          <w:rFonts w:ascii="Times New Roman" w:eastAsia="TimesNewRoman" w:hAnsi="Times New Roman" w:cs="Times New Roman"/>
          <w:lang w:val="pl-PL"/>
        </w:rPr>
        <w:t>wstrzykiwań</w:t>
      </w:r>
      <w:proofErr w:type="spellEnd"/>
      <w:r w:rsidRPr="003D7CA4">
        <w:rPr>
          <w:rFonts w:ascii="Times New Roman" w:eastAsia="TimesNewRoman" w:hAnsi="Times New Roman" w:cs="Times New Roman"/>
          <w:lang w:val="pl-PL"/>
        </w:rPr>
        <w:t xml:space="preserve"> jest przeciwwskazane </w:t>
      </w:r>
      <w:r w:rsidR="00AB4374">
        <w:rPr>
          <w:rFonts w:ascii="Times New Roman" w:eastAsia="TimesNewRoman" w:hAnsi="Times New Roman" w:cs="Times New Roman"/>
          <w:lang w:val="pl-PL"/>
        </w:rPr>
        <w:t xml:space="preserve">w następujących </w:t>
      </w:r>
      <w:proofErr w:type="spellStart"/>
      <w:r w:rsidR="00AB4374">
        <w:rPr>
          <w:rFonts w:ascii="Times New Roman" w:eastAsia="TimesNewRoman" w:hAnsi="Times New Roman" w:cs="Times New Roman"/>
          <w:lang w:val="pl-PL"/>
        </w:rPr>
        <w:t>przypakach</w:t>
      </w:r>
      <w:proofErr w:type="spellEnd"/>
      <w:r w:rsidR="00335108">
        <w:rPr>
          <w:rFonts w:ascii="Times New Roman" w:eastAsia="TimesNewRoman" w:hAnsi="Times New Roman" w:cs="Times New Roman"/>
          <w:lang w:val="pl-PL"/>
        </w:rPr>
        <w:t xml:space="preserve"> pacjentów</w:t>
      </w:r>
      <w:r w:rsidRPr="003D7CA4">
        <w:rPr>
          <w:rFonts w:ascii="Times New Roman" w:eastAsia="TimesNewRoman" w:hAnsi="Times New Roman" w:cs="Times New Roman"/>
          <w:lang w:val="pl-PL"/>
        </w:rPr>
        <w:t>:</w:t>
      </w:r>
    </w:p>
    <w:p w14:paraId="40C133A5" w14:textId="3D85CA74" w:rsidR="000B30ED" w:rsidRPr="003D7CA4" w:rsidRDefault="000B30ED" w:rsidP="00D20465">
      <w:pPr>
        <w:pStyle w:val="Akapitzlist"/>
        <w:numPr>
          <w:ilvl w:val="0"/>
          <w:numId w:val="1"/>
        </w:num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lastRenderedPageBreak/>
        <w:t xml:space="preserve">pacjenci z nadwrażliwością na metamizol lub inne </w:t>
      </w:r>
      <w:proofErr w:type="spellStart"/>
      <w:r w:rsidRPr="003D7CA4">
        <w:rPr>
          <w:rFonts w:ascii="Times New Roman" w:hAnsi="Times New Roman" w:cs="Times New Roman"/>
          <w:lang w:val="pl-PL"/>
        </w:rPr>
        <w:t>pirazolony</w:t>
      </w:r>
      <w:proofErr w:type="spellEnd"/>
      <w:r w:rsidRPr="003D7CA4">
        <w:rPr>
          <w:rFonts w:ascii="Times New Roman" w:hAnsi="Times New Roman" w:cs="Times New Roman"/>
          <w:lang w:val="pl-PL"/>
        </w:rPr>
        <w:t xml:space="preserve"> (np. </w:t>
      </w:r>
      <w:proofErr w:type="spellStart"/>
      <w:r w:rsidRPr="003D7CA4">
        <w:rPr>
          <w:rFonts w:ascii="Times New Roman" w:hAnsi="Times New Roman" w:cs="Times New Roman"/>
          <w:lang w:val="pl-PL"/>
        </w:rPr>
        <w:t>fenazon</w:t>
      </w:r>
      <w:proofErr w:type="spellEnd"/>
      <w:r w:rsidRPr="003D7CA4">
        <w:rPr>
          <w:rFonts w:ascii="Times New Roman" w:hAnsi="Times New Roman" w:cs="Times New Roman"/>
          <w:lang w:val="pl-PL"/>
        </w:rPr>
        <w:t xml:space="preserve"> lub </w:t>
      </w:r>
      <w:proofErr w:type="spellStart"/>
      <w:r w:rsidRPr="003D7CA4">
        <w:rPr>
          <w:rFonts w:ascii="Times New Roman" w:hAnsi="Times New Roman" w:cs="Times New Roman"/>
          <w:lang w:val="pl-PL"/>
        </w:rPr>
        <w:t>propyfenazon</w:t>
      </w:r>
      <w:proofErr w:type="spellEnd"/>
      <w:r w:rsidRPr="003D7CA4">
        <w:rPr>
          <w:rFonts w:ascii="Times New Roman" w:hAnsi="Times New Roman" w:cs="Times New Roman"/>
          <w:lang w:val="pl-PL"/>
        </w:rPr>
        <w:t xml:space="preserve">) bądź na </w:t>
      </w:r>
      <w:proofErr w:type="spellStart"/>
      <w:r w:rsidRPr="003D7CA4">
        <w:rPr>
          <w:rFonts w:ascii="Times New Roman" w:hAnsi="Times New Roman" w:cs="Times New Roman"/>
          <w:lang w:val="pl-PL"/>
        </w:rPr>
        <w:t>pirazolidyny</w:t>
      </w:r>
      <w:proofErr w:type="spellEnd"/>
      <w:r w:rsidRPr="003D7CA4">
        <w:rPr>
          <w:rFonts w:ascii="Times New Roman" w:hAnsi="Times New Roman" w:cs="Times New Roman"/>
          <w:lang w:val="pl-PL"/>
        </w:rPr>
        <w:t xml:space="preserve"> (np. </w:t>
      </w:r>
      <w:proofErr w:type="spellStart"/>
      <w:r w:rsidRPr="003D7CA4">
        <w:rPr>
          <w:rFonts w:ascii="Times New Roman" w:hAnsi="Times New Roman" w:cs="Times New Roman"/>
          <w:lang w:val="pl-PL"/>
        </w:rPr>
        <w:t>fenylobutazon</w:t>
      </w:r>
      <w:proofErr w:type="spellEnd"/>
      <w:r w:rsidRPr="003D7CA4">
        <w:rPr>
          <w:rFonts w:ascii="Times New Roman" w:hAnsi="Times New Roman" w:cs="Times New Roman"/>
          <w:lang w:val="pl-PL"/>
        </w:rPr>
        <w:t xml:space="preserve">, </w:t>
      </w:r>
      <w:proofErr w:type="spellStart"/>
      <w:r w:rsidRPr="003D7CA4">
        <w:rPr>
          <w:rFonts w:ascii="Times New Roman" w:hAnsi="Times New Roman" w:cs="Times New Roman"/>
          <w:lang w:val="pl-PL"/>
        </w:rPr>
        <w:t>oksyfenbutazon</w:t>
      </w:r>
      <w:proofErr w:type="spellEnd"/>
      <w:r w:rsidRPr="003D7CA4">
        <w:rPr>
          <w:rFonts w:ascii="Times New Roman" w:hAnsi="Times New Roman" w:cs="Times New Roman"/>
          <w:lang w:val="pl-PL"/>
        </w:rPr>
        <w:t>); dotyczy to również pacjentów, u których w przeszłości w związku z podaniem jednego z tych leków wystąpiła przykładowo agranulocytoza;</w:t>
      </w:r>
    </w:p>
    <w:p w14:paraId="40C133A6" w14:textId="495A3870" w:rsidR="000B30ED" w:rsidRPr="003D7CA4" w:rsidRDefault="00AA2DF0" w:rsidP="00D20465">
      <w:pPr>
        <w:pStyle w:val="Akapitzlist"/>
        <w:numPr>
          <w:ilvl w:val="0"/>
          <w:numId w:val="1"/>
        </w:num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pacjenci z zaburzeniami czynności szpiku kostnego (np. po leczeniu cytostaty</w:t>
      </w:r>
      <w:r w:rsidR="00D7451A" w:rsidRPr="003D7CA4">
        <w:rPr>
          <w:rFonts w:ascii="Times New Roman" w:hAnsi="Times New Roman" w:cs="Times New Roman"/>
          <w:lang w:val="pl-PL"/>
        </w:rPr>
        <w:t>kami</w:t>
      </w:r>
      <w:r w:rsidRPr="003D7CA4">
        <w:rPr>
          <w:rFonts w:ascii="Times New Roman" w:hAnsi="Times New Roman" w:cs="Times New Roman"/>
          <w:lang w:val="pl-PL"/>
        </w:rPr>
        <w:t>) lub chorobami układu krwiotwórczego;</w:t>
      </w:r>
    </w:p>
    <w:p w14:paraId="1BCEE772" w14:textId="4EBD4DF7" w:rsidR="004535F6" w:rsidRPr="003D7CA4" w:rsidRDefault="00AA2DF0" w:rsidP="00D20465">
      <w:pPr>
        <w:pStyle w:val="Akapitzlist"/>
        <w:numPr>
          <w:ilvl w:val="0"/>
          <w:numId w:val="1"/>
        </w:numPr>
        <w:spacing w:line="240" w:lineRule="auto"/>
        <w:jc w:val="both"/>
        <w:rPr>
          <w:rFonts w:ascii="Times New Roman" w:hAnsi="Times New Roman" w:cs="Times New Roman"/>
          <w:lang w:val="pl-PL"/>
        </w:rPr>
      </w:pPr>
      <w:r w:rsidRPr="003D7CA4">
        <w:rPr>
          <w:rFonts w:ascii="Times New Roman" w:hAnsi="Times New Roman" w:cs="Times New Roman"/>
          <w:lang w:val="pl-PL"/>
        </w:rPr>
        <w:t xml:space="preserve">pacjenci z astmą analgetyczną lub nietolerancją leków przeciwbólowych objawiającą się pokrzywką, obrzękiem naczynioruchowym, tj. pacjenci, u których stwierdzono w przeszłości skurcz oskrzeli lub inne reakcje </w:t>
      </w:r>
      <w:proofErr w:type="spellStart"/>
      <w:r w:rsidRPr="003D7CA4">
        <w:rPr>
          <w:rFonts w:ascii="Times New Roman" w:hAnsi="Times New Roman" w:cs="Times New Roman"/>
          <w:lang w:val="pl-PL"/>
        </w:rPr>
        <w:t>anafilaktoidalne</w:t>
      </w:r>
      <w:proofErr w:type="spellEnd"/>
      <w:r w:rsidRPr="003D7CA4">
        <w:rPr>
          <w:rFonts w:ascii="Times New Roman" w:hAnsi="Times New Roman" w:cs="Times New Roman"/>
          <w:lang w:val="pl-PL"/>
        </w:rPr>
        <w:t xml:space="preserve"> (np. pokrzywkę, nieżyt nosa, obrzęk naczynioruchowy) w związku ze stosowaniem leków przeciwbólowych, takich jak salicylany, paracetamol, </w:t>
      </w:r>
      <w:proofErr w:type="spellStart"/>
      <w:r w:rsidRPr="003D7CA4">
        <w:rPr>
          <w:rFonts w:ascii="Times New Roman" w:hAnsi="Times New Roman" w:cs="Times New Roman"/>
          <w:lang w:val="pl-PL"/>
        </w:rPr>
        <w:t>diklofenak</w:t>
      </w:r>
      <w:proofErr w:type="spellEnd"/>
      <w:r w:rsidRPr="003D7CA4">
        <w:rPr>
          <w:rFonts w:ascii="Times New Roman" w:hAnsi="Times New Roman" w:cs="Times New Roman"/>
          <w:lang w:val="pl-PL"/>
        </w:rPr>
        <w:t xml:space="preserve">, </w:t>
      </w:r>
      <w:proofErr w:type="spellStart"/>
      <w:r w:rsidRPr="003D7CA4">
        <w:rPr>
          <w:rFonts w:ascii="Times New Roman" w:hAnsi="Times New Roman" w:cs="Times New Roman"/>
          <w:lang w:val="pl-PL"/>
        </w:rPr>
        <w:t>ibuprofen</w:t>
      </w:r>
      <w:proofErr w:type="spellEnd"/>
      <w:r w:rsidRPr="003D7CA4">
        <w:rPr>
          <w:rFonts w:ascii="Times New Roman" w:hAnsi="Times New Roman" w:cs="Times New Roman"/>
          <w:lang w:val="pl-PL"/>
        </w:rPr>
        <w:t xml:space="preserve">, </w:t>
      </w:r>
      <w:proofErr w:type="spellStart"/>
      <w:r w:rsidRPr="003D7CA4">
        <w:rPr>
          <w:rFonts w:ascii="Times New Roman" w:hAnsi="Times New Roman" w:cs="Times New Roman"/>
          <w:lang w:val="pl-PL"/>
        </w:rPr>
        <w:t>indometacyna</w:t>
      </w:r>
      <w:proofErr w:type="spellEnd"/>
      <w:r w:rsidRPr="003D7CA4">
        <w:rPr>
          <w:rFonts w:ascii="Times New Roman" w:hAnsi="Times New Roman" w:cs="Times New Roman"/>
          <w:lang w:val="pl-PL"/>
        </w:rPr>
        <w:t xml:space="preserve">, </w:t>
      </w:r>
      <w:proofErr w:type="spellStart"/>
      <w:r w:rsidRPr="003D7CA4">
        <w:rPr>
          <w:rFonts w:ascii="Times New Roman" w:hAnsi="Times New Roman" w:cs="Times New Roman"/>
          <w:lang w:val="pl-PL"/>
        </w:rPr>
        <w:t>naproksen</w:t>
      </w:r>
      <w:proofErr w:type="spellEnd"/>
      <w:r w:rsidRPr="003D7CA4">
        <w:rPr>
          <w:rFonts w:ascii="Times New Roman" w:hAnsi="Times New Roman" w:cs="Times New Roman"/>
          <w:lang w:val="pl-PL"/>
        </w:rPr>
        <w:t>;</w:t>
      </w:r>
    </w:p>
    <w:p w14:paraId="6747C7AB" w14:textId="7FA9A01F" w:rsidR="006C0DE9" w:rsidRPr="003D7CA4" w:rsidRDefault="004535F6" w:rsidP="00D20465">
      <w:pPr>
        <w:pStyle w:val="Akapitzlist"/>
        <w:numPr>
          <w:ilvl w:val="0"/>
          <w:numId w:val="1"/>
        </w:numPr>
        <w:spacing w:line="240" w:lineRule="auto"/>
        <w:jc w:val="both"/>
        <w:rPr>
          <w:rFonts w:ascii="Times New Roman" w:hAnsi="Times New Roman" w:cs="Times New Roman"/>
          <w:lang w:val="pl-PL"/>
        </w:rPr>
      </w:pPr>
      <w:r w:rsidRPr="003D7CA4">
        <w:rPr>
          <w:rFonts w:ascii="Times New Roman" w:hAnsi="Times New Roman" w:cs="Times New Roman"/>
          <w:lang w:val="pl-PL"/>
        </w:rPr>
        <w:t xml:space="preserve">pacjenci z nadwrażliwością substancję pomocniczą produktu leczniczego </w:t>
      </w:r>
      <w:r w:rsidR="000933A3">
        <w:rPr>
          <w:rFonts w:ascii="Times New Roman" w:hAnsi="Times New Roman" w:cs="Times New Roman"/>
          <w:noProof/>
          <w:lang w:val="pl-PL"/>
        </w:rPr>
        <w:t>Pyreoxing</w:t>
      </w:r>
      <w:r w:rsidRPr="003D7CA4">
        <w:rPr>
          <w:rFonts w:ascii="Times New Roman" w:hAnsi="Times New Roman" w:cs="Times New Roman"/>
          <w:lang w:val="pl-PL"/>
        </w:rPr>
        <w:t>;</w:t>
      </w:r>
    </w:p>
    <w:p w14:paraId="40C133A8" w14:textId="08F27A6A" w:rsidR="000B30ED" w:rsidRPr="003D7CA4" w:rsidRDefault="00AA2DF0" w:rsidP="00D20465">
      <w:pPr>
        <w:pStyle w:val="Akapitzlist"/>
        <w:numPr>
          <w:ilvl w:val="0"/>
          <w:numId w:val="1"/>
        </w:num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pacjenci z ostrą wątrobową porfirią przerywaną (ryzyko wystąpienia napadu porfirii);</w:t>
      </w:r>
    </w:p>
    <w:p w14:paraId="72064C5F" w14:textId="077A8A7E" w:rsidR="00CA0BA3" w:rsidRPr="003D7CA4" w:rsidRDefault="00AA2DF0" w:rsidP="00D20465">
      <w:pPr>
        <w:pStyle w:val="Akapitzlist"/>
        <w:numPr>
          <w:ilvl w:val="0"/>
          <w:numId w:val="1"/>
        </w:num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pacjenci z wrodzonym niedoborem dehydrogenazy glukozo-6-fosforanowej (ryzyko hemolizy);</w:t>
      </w:r>
    </w:p>
    <w:p w14:paraId="7D060615" w14:textId="1C62113C" w:rsidR="004535F6" w:rsidRPr="003D7CA4" w:rsidRDefault="00AA2DF0" w:rsidP="00D20465">
      <w:pPr>
        <w:pStyle w:val="Akapitzlist"/>
        <w:numPr>
          <w:ilvl w:val="0"/>
          <w:numId w:val="1"/>
        </w:numPr>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pacjentki w trzecim trymestrze ciąży.</w:t>
      </w:r>
    </w:p>
    <w:p w14:paraId="40C133AB" w14:textId="2970CF0E" w:rsidR="000B30ED" w:rsidRPr="003D7CA4" w:rsidRDefault="000B30ED" w:rsidP="00D20465">
      <w:pPr>
        <w:spacing w:after="0" w:line="240" w:lineRule="auto"/>
        <w:jc w:val="both"/>
        <w:rPr>
          <w:rFonts w:ascii="Times New Roman" w:hAnsi="Times New Roman" w:cs="Times New Roman"/>
          <w:lang w:val="pl-PL"/>
        </w:rPr>
      </w:pPr>
      <w:r w:rsidRPr="003D7CA4">
        <w:rPr>
          <w:rFonts w:ascii="Times New Roman" w:hAnsi="Times New Roman" w:cs="Times New Roman"/>
          <w:lang w:val="pl-PL"/>
        </w:rPr>
        <w:t xml:space="preserve">Produktu leczniczego </w:t>
      </w:r>
      <w:r w:rsidR="000933A3">
        <w:rPr>
          <w:rFonts w:ascii="Times New Roman" w:hAnsi="Times New Roman" w:cs="Times New Roman"/>
          <w:noProof/>
          <w:lang w:val="pl-PL"/>
        </w:rPr>
        <w:t>Pyreoxing</w:t>
      </w:r>
      <w:r w:rsidR="000C68B1" w:rsidRPr="003D7CA4">
        <w:rPr>
          <w:rFonts w:ascii="Times New Roman" w:hAnsi="Times New Roman" w:cs="Times New Roman"/>
          <w:lang w:val="pl-PL"/>
        </w:rPr>
        <w:t xml:space="preserve"> </w:t>
      </w:r>
      <w:r w:rsidRPr="003D7CA4">
        <w:rPr>
          <w:rFonts w:ascii="Times New Roman" w:hAnsi="Times New Roman" w:cs="Times New Roman"/>
          <w:lang w:val="pl-PL"/>
        </w:rPr>
        <w:t>nie wolno podawać pozajelitowo pacjentom z niedociśnieniem lub niestabilny</w:t>
      </w:r>
      <w:r w:rsidR="000C68B1" w:rsidRPr="003D7CA4">
        <w:rPr>
          <w:rFonts w:ascii="Times New Roman" w:hAnsi="Times New Roman" w:cs="Times New Roman"/>
          <w:lang w:val="pl-PL"/>
        </w:rPr>
        <w:t>ch</w:t>
      </w:r>
      <w:r w:rsidRPr="003D7CA4">
        <w:rPr>
          <w:rFonts w:ascii="Times New Roman" w:hAnsi="Times New Roman" w:cs="Times New Roman"/>
          <w:lang w:val="pl-PL"/>
        </w:rPr>
        <w:t xml:space="preserve"> hemodynamicznie.</w:t>
      </w:r>
    </w:p>
    <w:p w14:paraId="40C133AE" w14:textId="77777777" w:rsidR="00473BCE" w:rsidRPr="003D7CA4" w:rsidRDefault="00473BCE" w:rsidP="00D20465">
      <w:pPr>
        <w:autoSpaceDE w:val="0"/>
        <w:autoSpaceDN w:val="0"/>
        <w:adjustRightInd w:val="0"/>
        <w:spacing w:after="0" w:line="240" w:lineRule="auto"/>
        <w:jc w:val="both"/>
        <w:rPr>
          <w:rFonts w:ascii="Times New Roman" w:eastAsia="TimesNewRoman" w:hAnsi="Times New Roman" w:cs="Times New Roman"/>
          <w:lang w:val="pl-PL"/>
        </w:rPr>
      </w:pPr>
    </w:p>
    <w:p w14:paraId="40C133AF"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4.4 Specjalne ostrzeżenia i środki ostrożności dotyczące stosowania</w:t>
      </w:r>
    </w:p>
    <w:p w14:paraId="40C133B0" w14:textId="77777777" w:rsidR="003B709F" w:rsidRPr="003D7CA4" w:rsidRDefault="003B709F" w:rsidP="00D20465">
      <w:pPr>
        <w:autoSpaceDE w:val="0"/>
        <w:autoSpaceDN w:val="0"/>
        <w:adjustRightInd w:val="0"/>
        <w:spacing w:after="0" w:line="240" w:lineRule="auto"/>
        <w:jc w:val="both"/>
        <w:rPr>
          <w:rFonts w:ascii="Times New Roman" w:hAnsi="Times New Roman" w:cs="Times New Roman"/>
          <w:b/>
          <w:bCs/>
          <w:lang w:val="pl-PL"/>
        </w:rPr>
      </w:pPr>
    </w:p>
    <w:p w14:paraId="6A059A8A" w14:textId="77777777" w:rsidR="0028329A" w:rsidRPr="003D7CA4" w:rsidRDefault="000B30ED" w:rsidP="00D20465">
      <w:pPr>
        <w:pStyle w:val="Default"/>
        <w:jc w:val="both"/>
        <w:rPr>
          <w:b/>
          <w:bCs/>
          <w:sz w:val="22"/>
          <w:szCs w:val="22"/>
        </w:rPr>
      </w:pPr>
      <w:r w:rsidRPr="003D7CA4">
        <w:rPr>
          <w:b/>
          <w:bCs/>
          <w:sz w:val="22"/>
          <w:szCs w:val="22"/>
        </w:rPr>
        <w:t>Ostrzeżenie</w:t>
      </w:r>
    </w:p>
    <w:p w14:paraId="2E5D0BA6" w14:textId="77777777" w:rsidR="0087559E" w:rsidRPr="003D7CA4" w:rsidRDefault="0087559E" w:rsidP="00D20465">
      <w:pPr>
        <w:autoSpaceDE w:val="0"/>
        <w:autoSpaceDN w:val="0"/>
        <w:adjustRightInd w:val="0"/>
        <w:spacing w:after="0" w:line="240" w:lineRule="auto"/>
        <w:jc w:val="both"/>
        <w:rPr>
          <w:rFonts w:ascii="Times New Roman" w:hAnsi="Times New Roman" w:cs="Times New Roman"/>
          <w:b/>
          <w:bCs/>
          <w:lang w:val="pl-PL"/>
        </w:rPr>
      </w:pPr>
    </w:p>
    <w:p w14:paraId="39025336" w14:textId="77777777" w:rsidR="00BA29AF" w:rsidRPr="003D7CA4" w:rsidRDefault="000B30ED" w:rsidP="00D20465">
      <w:pPr>
        <w:autoSpaceDE w:val="0"/>
        <w:autoSpaceDN w:val="0"/>
        <w:adjustRightInd w:val="0"/>
        <w:spacing w:after="0" w:line="240" w:lineRule="auto"/>
        <w:jc w:val="both"/>
        <w:rPr>
          <w:rFonts w:ascii="Times New Roman" w:hAnsi="Times New Roman" w:cs="Times New Roman"/>
          <w:bCs/>
          <w:i/>
          <w:lang w:val="pl-PL"/>
        </w:rPr>
      </w:pPr>
      <w:r w:rsidRPr="003D7CA4">
        <w:rPr>
          <w:rFonts w:ascii="Times New Roman" w:hAnsi="Times New Roman" w:cs="Times New Roman"/>
          <w:i/>
          <w:iCs/>
          <w:lang w:val="pl-PL"/>
        </w:rPr>
        <w:t xml:space="preserve">Agranulocytoza </w:t>
      </w:r>
    </w:p>
    <w:p w14:paraId="17BF80D9" w14:textId="6766335A" w:rsidR="005D485E" w:rsidRPr="003D7CA4" w:rsidRDefault="005D485E"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Agranulocytoza wywołana metamizolem jest zaburzeniem pochodzenia </w:t>
      </w:r>
      <w:proofErr w:type="spellStart"/>
      <w:r w:rsidRPr="003D7CA4">
        <w:rPr>
          <w:rFonts w:ascii="Times New Roman" w:hAnsi="Times New Roman" w:cs="Times New Roman"/>
          <w:lang w:val="pl-PL"/>
        </w:rPr>
        <w:t>immunoalergicznego</w:t>
      </w:r>
      <w:proofErr w:type="spellEnd"/>
      <w:r w:rsidRPr="003D7CA4">
        <w:rPr>
          <w:rFonts w:ascii="Times New Roman" w:hAnsi="Times New Roman" w:cs="Times New Roman"/>
          <w:lang w:val="pl-PL"/>
        </w:rPr>
        <w:t xml:space="preserve">, trwającym co najmniej tydzień. Reakcje te występują bardzo rzadko, mogą mieć ciężkie nasilenie i zagrażać życiu, a nawet prowadzić do zgonu. </w:t>
      </w:r>
    </w:p>
    <w:p w14:paraId="57B5F839" w14:textId="77777777" w:rsidR="005D485E" w:rsidRPr="003D7CA4" w:rsidRDefault="005D485E" w:rsidP="00D20465">
      <w:pPr>
        <w:autoSpaceDE w:val="0"/>
        <w:autoSpaceDN w:val="0"/>
        <w:adjustRightInd w:val="0"/>
        <w:spacing w:after="0" w:line="240" w:lineRule="auto"/>
        <w:jc w:val="both"/>
        <w:rPr>
          <w:rFonts w:ascii="Times New Roman" w:hAnsi="Times New Roman" w:cs="Times New Roman"/>
          <w:lang w:val="pl-PL"/>
        </w:rPr>
      </w:pPr>
    </w:p>
    <w:p w14:paraId="40C133B4" w14:textId="35FEB96A" w:rsidR="000B30ED" w:rsidRPr="003D7CA4" w:rsidRDefault="005A18FC"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Nie są one zależne od dawki i mogą wystąpić w dowolnym momencie w trakcie leczenia. Należy poinstruować pacjentów, aby natychmiast przerwali leczenie i skonsultowali się z lekarzem w przypadku wystąpienia któregokolwiek z następujących objawów, które mogą być związane z </w:t>
      </w:r>
      <w:proofErr w:type="spellStart"/>
      <w:r w:rsidRPr="003D7CA4">
        <w:rPr>
          <w:rFonts w:ascii="Times New Roman" w:hAnsi="Times New Roman" w:cs="Times New Roman"/>
          <w:lang w:val="pl-PL"/>
        </w:rPr>
        <w:t>neutropenią</w:t>
      </w:r>
      <w:proofErr w:type="spellEnd"/>
      <w:r w:rsidRPr="003D7CA4">
        <w:rPr>
          <w:rFonts w:ascii="Times New Roman" w:hAnsi="Times New Roman" w:cs="Times New Roman"/>
          <w:lang w:val="pl-PL"/>
        </w:rPr>
        <w:t xml:space="preserve">: gorączka, dreszcze, ból gardła, owrzodzenia w jamie ustnej. </w:t>
      </w:r>
    </w:p>
    <w:p w14:paraId="40C133B5" w14:textId="77777777" w:rsidR="003B709F" w:rsidRPr="003D7CA4" w:rsidRDefault="003B709F" w:rsidP="00D20465">
      <w:pPr>
        <w:autoSpaceDE w:val="0"/>
        <w:autoSpaceDN w:val="0"/>
        <w:adjustRightInd w:val="0"/>
        <w:spacing w:after="0" w:line="240" w:lineRule="auto"/>
        <w:jc w:val="both"/>
        <w:rPr>
          <w:rFonts w:ascii="Times New Roman" w:eastAsia="TimesNewRoman" w:hAnsi="Times New Roman" w:cs="Times New Roman"/>
          <w:lang w:val="pl-PL"/>
        </w:rPr>
      </w:pPr>
    </w:p>
    <w:p w14:paraId="5AECD620" w14:textId="315A6846" w:rsidR="00DA7FA9" w:rsidRPr="003D7CA4" w:rsidRDefault="00DA7FA9" w:rsidP="00D20465">
      <w:pPr>
        <w:pStyle w:val="BULLETS"/>
        <w:tabs>
          <w:tab w:val="clear" w:pos="284"/>
        </w:tabs>
        <w:spacing w:after="0" w:line="240" w:lineRule="auto"/>
        <w:ind w:left="0" w:firstLine="0"/>
        <w:jc w:val="both"/>
        <w:rPr>
          <w:rFonts w:ascii="Times New Roman" w:hAnsi="Times New Roman" w:cs="Times New Roman"/>
        </w:rPr>
      </w:pPr>
      <w:r w:rsidRPr="003D7CA4">
        <w:rPr>
          <w:rFonts w:ascii="Times New Roman" w:hAnsi="Times New Roman" w:cs="Times New Roman"/>
        </w:rPr>
        <w:t xml:space="preserve">W przypadku wystąpienia </w:t>
      </w:r>
      <w:proofErr w:type="spellStart"/>
      <w:r w:rsidRPr="003D7CA4">
        <w:rPr>
          <w:rFonts w:ascii="Times New Roman" w:hAnsi="Times New Roman" w:cs="Times New Roman"/>
        </w:rPr>
        <w:t>neutropenii</w:t>
      </w:r>
      <w:proofErr w:type="spellEnd"/>
      <w:r w:rsidRPr="003D7CA4">
        <w:rPr>
          <w:rFonts w:ascii="Times New Roman" w:hAnsi="Times New Roman" w:cs="Times New Roman"/>
        </w:rPr>
        <w:t xml:space="preserve"> (&lt; 1500 granulocytów obojętnochłonnych na </w:t>
      </w:r>
      <w:proofErr w:type="spellStart"/>
      <w:r w:rsidRPr="003D7CA4">
        <w:rPr>
          <w:rFonts w:ascii="Times New Roman" w:hAnsi="Times New Roman" w:cs="Times New Roman"/>
        </w:rPr>
        <w:t>mikrolitr</w:t>
      </w:r>
      <w:proofErr w:type="spellEnd"/>
      <w:r w:rsidRPr="003D7CA4">
        <w:rPr>
          <w:rFonts w:ascii="Times New Roman" w:hAnsi="Times New Roman" w:cs="Times New Roman"/>
        </w:rPr>
        <w:t xml:space="preserve"> krwi lub mniej) należy natychmiast przerwać leczenie i wykonać pełne badanie morfologiczne krwi. Morfologię krwi należy monitorować do czasu powrotu wartości do zakresu prawidłowego.</w:t>
      </w:r>
    </w:p>
    <w:p w14:paraId="5C134B52" w14:textId="7A6BF625" w:rsidR="00595985" w:rsidRPr="003D7CA4" w:rsidRDefault="00595985" w:rsidP="00D20465">
      <w:pPr>
        <w:autoSpaceDE w:val="0"/>
        <w:autoSpaceDN w:val="0"/>
        <w:adjustRightInd w:val="0"/>
        <w:spacing w:after="0" w:line="240" w:lineRule="auto"/>
        <w:jc w:val="both"/>
        <w:rPr>
          <w:rFonts w:ascii="Times New Roman" w:eastAsia="TimesNewRoman" w:hAnsi="Times New Roman" w:cs="Times New Roman"/>
          <w:lang w:val="pl-PL"/>
        </w:rPr>
      </w:pPr>
    </w:p>
    <w:p w14:paraId="60E93510" w14:textId="77777777" w:rsidR="00595985" w:rsidRPr="003D7CA4" w:rsidRDefault="00595985" w:rsidP="00D20465">
      <w:pPr>
        <w:spacing w:after="0" w:line="240" w:lineRule="auto"/>
        <w:jc w:val="both"/>
        <w:rPr>
          <w:rFonts w:ascii="Times New Roman" w:hAnsi="Times New Roman" w:cs="Times New Roman"/>
          <w:bCs/>
          <w:lang w:val="pl-PL"/>
        </w:rPr>
      </w:pPr>
      <w:r w:rsidRPr="003D7CA4">
        <w:rPr>
          <w:rFonts w:ascii="Times New Roman" w:hAnsi="Times New Roman" w:cs="Times New Roman"/>
          <w:i/>
          <w:iCs/>
          <w:lang w:val="pl-PL"/>
        </w:rPr>
        <w:t>Pancytopenia</w:t>
      </w:r>
    </w:p>
    <w:p w14:paraId="6DA5842C" w14:textId="77777777" w:rsidR="00595985" w:rsidRPr="003D7CA4" w:rsidRDefault="00595985" w:rsidP="00D20465">
      <w:pPr>
        <w:pStyle w:val="BULLETS"/>
        <w:tabs>
          <w:tab w:val="clear" w:pos="284"/>
        </w:tabs>
        <w:spacing w:line="240" w:lineRule="auto"/>
        <w:ind w:left="0" w:firstLine="0"/>
        <w:jc w:val="both"/>
        <w:rPr>
          <w:rFonts w:ascii="Times New Roman" w:hAnsi="Times New Roman" w:cs="Times New Roman"/>
        </w:rPr>
      </w:pPr>
      <w:r w:rsidRPr="003D7CA4">
        <w:rPr>
          <w:rFonts w:ascii="Times New Roman" w:hAnsi="Times New Roman" w:cs="Times New Roman"/>
        </w:rPr>
        <w:t>W przypadku wystąpienia pancytopenii należy natychmiast przerwać leczenie i kontrolować morfologię krwi do czasu normalizacji wartości.</w:t>
      </w:r>
    </w:p>
    <w:p w14:paraId="01CC7244" w14:textId="44C7FF69" w:rsidR="00595985" w:rsidRPr="003D7CA4" w:rsidRDefault="00595985" w:rsidP="00D20465">
      <w:pPr>
        <w:spacing w:after="0" w:line="240" w:lineRule="auto"/>
        <w:jc w:val="both"/>
        <w:rPr>
          <w:rFonts w:ascii="Times New Roman" w:hAnsi="Times New Roman" w:cs="Times New Roman"/>
          <w:lang w:val="pl-PL"/>
        </w:rPr>
      </w:pPr>
      <w:r w:rsidRPr="003D7CA4">
        <w:rPr>
          <w:rFonts w:ascii="Times New Roman" w:hAnsi="Times New Roman" w:cs="Times New Roman"/>
          <w:lang w:val="pl-PL"/>
        </w:rPr>
        <w:t>Wszystkim pacjentom należy zalecić, aby natychmiast zgłaszali się do lekarza w przypadku wystąpienia objawów przedmiotowych i podmiotowych wskazujących na zaburzenia składu krwi (np. ogólne złe samopoczucie, zakażenie, utrzymująca się gorączka, powstawanie zasinień, krwawienie, bladość).</w:t>
      </w:r>
    </w:p>
    <w:p w14:paraId="1B2071D0" w14:textId="77777777" w:rsidR="000C68B1" w:rsidRPr="003D7CA4" w:rsidRDefault="000C68B1" w:rsidP="00D20465">
      <w:pPr>
        <w:spacing w:after="0" w:line="240" w:lineRule="auto"/>
        <w:jc w:val="both"/>
        <w:rPr>
          <w:rFonts w:ascii="Times New Roman" w:hAnsi="Times New Roman" w:cs="Times New Roman"/>
          <w:i/>
          <w:iCs/>
          <w:lang w:val="pl-PL"/>
        </w:rPr>
      </w:pPr>
    </w:p>
    <w:p w14:paraId="24F4A96A" w14:textId="69130E82" w:rsidR="0076161E" w:rsidRPr="003D7CA4" w:rsidRDefault="0076161E" w:rsidP="00D20465">
      <w:pPr>
        <w:spacing w:after="0" w:line="240" w:lineRule="auto"/>
        <w:jc w:val="both"/>
        <w:rPr>
          <w:rFonts w:ascii="Times New Roman" w:hAnsi="Times New Roman" w:cs="Times New Roman"/>
          <w:bCs/>
          <w:lang w:val="pl-PL"/>
        </w:rPr>
      </w:pPr>
      <w:r w:rsidRPr="003D7CA4">
        <w:rPr>
          <w:rFonts w:ascii="Times New Roman" w:hAnsi="Times New Roman" w:cs="Times New Roman"/>
          <w:i/>
          <w:iCs/>
          <w:lang w:val="pl-PL"/>
        </w:rPr>
        <w:t>Wstrząs anafilaktyczny</w:t>
      </w:r>
    </w:p>
    <w:p w14:paraId="40C133B8" w14:textId="52C90F36" w:rsidR="000B30ED" w:rsidRPr="003D7CA4" w:rsidRDefault="00BA29AF"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Reakcje te występują głównie u wrażliwych pacjentów. Dlatego stosowanie metamizolu u pacjentów z astmą lub chorobą atopową wymaga zachowania szczególnej ostrożności (patrz punkt 4.3).</w:t>
      </w:r>
    </w:p>
    <w:p w14:paraId="3158D836" w14:textId="386B572D" w:rsidR="00D20465" w:rsidRPr="003D7CA4" w:rsidRDefault="00D20465" w:rsidP="00D20465">
      <w:pPr>
        <w:spacing w:after="0" w:line="240" w:lineRule="auto"/>
        <w:jc w:val="both"/>
        <w:rPr>
          <w:rFonts w:ascii="Times New Roman" w:hAnsi="Times New Roman" w:cs="Times New Roman"/>
          <w:i/>
          <w:iCs/>
          <w:lang w:val="pl-PL"/>
        </w:rPr>
      </w:pPr>
    </w:p>
    <w:p w14:paraId="08FC1EBC" w14:textId="4B33CD6A" w:rsidR="00D20465" w:rsidRPr="003D7CA4" w:rsidRDefault="00D20465" w:rsidP="00D20465">
      <w:pPr>
        <w:spacing w:after="0" w:line="240" w:lineRule="auto"/>
        <w:jc w:val="both"/>
        <w:rPr>
          <w:rFonts w:ascii="Times New Roman" w:hAnsi="Times New Roman" w:cs="Times New Roman"/>
          <w:i/>
          <w:iCs/>
          <w:lang w:val="pl-PL"/>
        </w:rPr>
      </w:pPr>
    </w:p>
    <w:p w14:paraId="1D5C416A" w14:textId="7746342E" w:rsidR="00D20465" w:rsidRPr="003D7CA4" w:rsidRDefault="00D20465" w:rsidP="00D20465">
      <w:pPr>
        <w:spacing w:after="0" w:line="240" w:lineRule="auto"/>
        <w:jc w:val="both"/>
        <w:rPr>
          <w:rFonts w:ascii="Times New Roman" w:hAnsi="Times New Roman" w:cs="Times New Roman"/>
          <w:i/>
          <w:iCs/>
          <w:lang w:val="pl-PL"/>
        </w:rPr>
      </w:pPr>
    </w:p>
    <w:p w14:paraId="5B4CBD26" w14:textId="77777777" w:rsidR="00D20465" w:rsidRPr="003D7CA4" w:rsidRDefault="00D20465" w:rsidP="00D20465">
      <w:pPr>
        <w:spacing w:after="0" w:line="240" w:lineRule="auto"/>
        <w:jc w:val="both"/>
        <w:rPr>
          <w:rFonts w:ascii="Times New Roman" w:hAnsi="Times New Roman" w:cs="Times New Roman"/>
          <w:i/>
          <w:iCs/>
          <w:lang w:val="pl-PL"/>
        </w:rPr>
      </w:pPr>
    </w:p>
    <w:p w14:paraId="5BD7899C" w14:textId="27C1244F" w:rsidR="002E5D9A" w:rsidRPr="003D7CA4" w:rsidRDefault="002E5D9A" w:rsidP="00D20465">
      <w:pPr>
        <w:spacing w:after="0" w:line="240" w:lineRule="auto"/>
        <w:jc w:val="both"/>
        <w:rPr>
          <w:rFonts w:ascii="Times New Roman" w:hAnsi="Times New Roman" w:cs="Times New Roman"/>
          <w:bCs/>
          <w:lang w:val="pl-PL"/>
        </w:rPr>
      </w:pPr>
      <w:r w:rsidRPr="003D7CA4">
        <w:rPr>
          <w:rFonts w:ascii="Times New Roman" w:hAnsi="Times New Roman" w:cs="Times New Roman"/>
          <w:i/>
          <w:iCs/>
          <w:lang w:val="pl-PL"/>
        </w:rPr>
        <w:t xml:space="preserve">Ciężkie </w:t>
      </w:r>
      <w:r w:rsidR="005D1D49" w:rsidRPr="003D7CA4">
        <w:rPr>
          <w:rFonts w:ascii="Times New Roman" w:hAnsi="Times New Roman" w:cs="Times New Roman"/>
          <w:i/>
          <w:iCs/>
          <w:lang w:val="pl-PL"/>
        </w:rPr>
        <w:t xml:space="preserve">reakcje </w:t>
      </w:r>
      <w:r w:rsidRPr="003D7CA4">
        <w:rPr>
          <w:rFonts w:ascii="Times New Roman" w:hAnsi="Times New Roman" w:cs="Times New Roman"/>
          <w:i/>
          <w:iCs/>
          <w:lang w:val="pl-PL"/>
        </w:rPr>
        <w:t>skórne</w:t>
      </w:r>
    </w:p>
    <w:p w14:paraId="1AD919B4" w14:textId="50576C22" w:rsidR="00C1176A" w:rsidRPr="003D7CA4" w:rsidRDefault="00C1176A" w:rsidP="00D20465">
      <w:pPr>
        <w:pStyle w:val="BULLETS"/>
        <w:tabs>
          <w:tab w:val="clear" w:pos="284"/>
        </w:tabs>
        <w:spacing w:line="240" w:lineRule="auto"/>
        <w:ind w:left="0" w:firstLine="0"/>
        <w:jc w:val="both"/>
        <w:rPr>
          <w:rFonts w:ascii="Times New Roman" w:hAnsi="Times New Roman" w:cs="Times New Roman"/>
        </w:rPr>
      </w:pPr>
      <w:r w:rsidRPr="003D7CA4">
        <w:rPr>
          <w:rFonts w:ascii="Times New Roman" w:hAnsi="Times New Roman" w:cs="Times New Roman"/>
        </w:rPr>
        <w:lastRenderedPageBreak/>
        <w:t>W związku z leczeniem metamizolem opisywano ciężkie skórne działania niepożądane, w tym zespół Stevensa-Johnsona (SJS), toksyczne martwicze oddzielanie się naskórka (TEN) oraz reakcje polekowe z eozynofilią i objawami układowymi (DRESS), które mogą zagrażać życiu lub prowadzić do zgonu.</w:t>
      </w:r>
    </w:p>
    <w:p w14:paraId="6164D829" w14:textId="6B4F117C" w:rsidR="00C1176A" w:rsidRPr="003D7CA4" w:rsidRDefault="00C1176A" w:rsidP="00D20465">
      <w:pPr>
        <w:pStyle w:val="BULLETS"/>
        <w:tabs>
          <w:tab w:val="clear" w:pos="284"/>
        </w:tabs>
        <w:spacing w:line="240" w:lineRule="auto"/>
        <w:ind w:left="0" w:firstLine="0"/>
        <w:jc w:val="both"/>
        <w:rPr>
          <w:rFonts w:ascii="Times New Roman" w:hAnsi="Times New Roman" w:cs="Times New Roman"/>
        </w:rPr>
      </w:pPr>
      <w:r w:rsidRPr="003D7CA4">
        <w:rPr>
          <w:rFonts w:ascii="Times New Roman" w:hAnsi="Times New Roman" w:cs="Times New Roman"/>
        </w:rPr>
        <w:t>Pacjentów należy poinformować o objawach przedmiotowych i podmiotowych oraz uważnie obserwować pod kątem reakcji skórnych.</w:t>
      </w:r>
    </w:p>
    <w:p w14:paraId="76C719BC" w14:textId="61525C97" w:rsidR="002E5D9A" w:rsidRPr="003D7CA4" w:rsidRDefault="002E5D9A" w:rsidP="00D20465">
      <w:pPr>
        <w:pStyle w:val="BULLETS"/>
        <w:tabs>
          <w:tab w:val="clear" w:pos="284"/>
        </w:tabs>
        <w:spacing w:line="240" w:lineRule="auto"/>
        <w:ind w:left="0" w:firstLine="0"/>
        <w:jc w:val="both"/>
        <w:rPr>
          <w:rFonts w:ascii="Times New Roman" w:hAnsi="Times New Roman" w:cs="Times New Roman"/>
        </w:rPr>
      </w:pPr>
      <w:r w:rsidRPr="003D7CA4">
        <w:rPr>
          <w:rFonts w:ascii="Times New Roman" w:hAnsi="Times New Roman" w:cs="Times New Roman"/>
        </w:rPr>
        <w:t>Jeśli wystąpią objawy przedmiotowe i podmiotowe wskazujące na te reakcje, należy natychmiast przerwać podawanie metamizolu i nie wolno wznawiać jego stosowania (patrz punkt 4.3).</w:t>
      </w:r>
    </w:p>
    <w:p w14:paraId="42B0CE7B" w14:textId="77777777" w:rsidR="00AA5F15" w:rsidRPr="003D7CA4" w:rsidRDefault="00AA5F15" w:rsidP="00D20465">
      <w:pPr>
        <w:autoSpaceDE w:val="0"/>
        <w:autoSpaceDN w:val="0"/>
        <w:adjustRightInd w:val="0"/>
        <w:spacing w:after="0" w:line="240" w:lineRule="auto"/>
        <w:jc w:val="both"/>
        <w:rPr>
          <w:rFonts w:ascii="Times New Roman" w:eastAsia="TimesNewRoman" w:hAnsi="Times New Roman" w:cs="Times New Roman"/>
          <w:lang w:val="pl-PL"/>
        </w:rPr>
      </w:pPr>
    </w:p>
    <w:p w14:paraId="40C133BA" w14:textId="5CC65CED" w:rsidR="000B30ED" w:rsidRPr="003D7CA4" w:rsidRDefault="000B30ED" w:rsidP="00D20465">
      <w:pPr>
        <w:autoSpaceDE w:val="0"/>
        <w:autoSpaceDN w:val="0"/>
        <w:adjustRightInd w:val="0"/>
        <w:spacing w:after="0" w:line="240" w:lineRule="auto"/>
        <w:jc w:val="both"/>
        <w:rPr>
          <w:rFonts w:ascii="Times New Roman" w:hAnsi="Times New Roman" w:cs="Times New Roman"/>
          <w:bCs/>
          <w:i/>
          <w:iCs/>
          <w:lang w:val="pl-PL"/>
        </w:rPr>
      </w:pPr>
      <w:r w:rsidRPr="003D7CA4">
        <w:rPr>
          <w:rFonts w:ascii="Times New Roman" w:hAnsi="Times New Roman" w:cs="Times New Roman"/>
          <w:i/>
          <w:iCs/>
          <w:lang w:val="pl-PL"/>
        </w:rPr>
        <w:t>Reakcje anafilaktyczne</w:t>
      </w:r>
      <w:r w:rsidR="00390C9A" w:rsidRPr="00E71AE2">
        <w:rPr>
          <w:lang w:val="pl-PL"/>
        </w:rPr>
        <w:t xml:space="preserve"> </w:t>
      </w:r>
      <w:r w:rsidR="00390C9A" w:rsidRPr="00390C9A">
        <w:rPr>
          <w:rFonts w:ascii="Times New Roman" w:hAnsi="Times New Roman" w:cs="Times New Roman"/>
          <w:i/>
          <w:iCs/>
          <w:lang w:val="pl-PL"/>
        </w:rPr>
        <w:t>i</w:t>
      </w:r>
      <w:r w:rsidR="00754B5C">
        <w:rPr>
          <w:rFonts w:ascii="Times New Roman" w:hAnsi="Times New Roman" w:cs="Times New Roman"/>
          <w:i/>
          <w:iCs/>
          <w:lang w:val="pl-PL"/>
        </w:rPr>
        <w:t xml:space="preserve"> </w:t>
      </w:r>
      <w:r w:rsidR="00390C9A" w:rsidRPr="00390C9A">
        <w:rPr>
          <w:rFonts w:ascii="Times New Roman" w:hAnsi="Times New Roman" w:cs="Times New Roman"/>
          <w:i/>
          <w:iCs/>
          <w:lang w:val="pl-PL"/>
        </w:rPr>
        <w:t>(lub)</w:t>
      </w:r>
      <w:r w:rsidR="004225C6">
        <w:rPr>
          <w:rFonts w:ascii="Times New Roman" w:hAnsi="Times New Roman" w:cs="Times New Roman"/>
          <w:i/>
          <w:iCs/>
          <w:lang w:val="pl-PL"/>
        </w:rPr>
        <w:t xml:space="preserve"> </w:t>
      </w:r>
      <w:proofErr w:type="spellStart"/>
      <w:r w:rsidRPr="003D7CA4">
        <w:rPr>
          <w:rFonts w:ascii="Times New Roman" w:hAnsi="Times New Roman" w:cs="Times New Roman"/>
          <w:i/>
          <w:iCs/>
          <w:lang w:val="pl-PL"/>
        </w:rPr>
        <w:t>anafilaktoidalne</w:t>
      </w:r>
      <w:proofErr w:type="spellEnd"/>
    </w:p>
    <w:p w14:paraId="60DF105E" w14:textId="40E7D6F9" w:rsidR="002E5D9A" w:rsidRPr="003D7CA4" w:rsidRDefault="002E5D9A"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Podczas dokonywania wyboru drogi podawania należy mieć na uwadze, że podawanie pozajelitowe wiąże się z wyższym ryzykiem reakcji anafilaktycznych</w:t>
      </w:r>
      <w:r w:rsidR="004225C6">
        <w:rPr>
          <w:rFonts w:ascii="Times New Roman" w:hAnsi="Times New Roman" w:cs="Times New Roman"/>
          <w:lang w:val="pl-PL"/>
        </w:rPr>
        <w:t xml:space="preserve"> </w:t>
      </w:r>
      <w:r w:rsidR="004225C6" w:rsidRPr="004225C6">
        <w:rPr>
          <w:rFonts w:ascii="Times New Roman" w:hAnsi="Times New Roman" w:cs="Times New Roman"/>
          <w:lang w:val="pl-PL"/>
        </w:rPr>
        <w:t>i</w:t>
      </w:r>
      <w:r w:rsidR="00754B5C">
        <w:rPr>
          <w:rFonts w:ascii="Times New Roman" w:hAnsi="Times New Roman" w:cs="Times New Roman"/>
          <w:lang w:val="pl-PL"/>
        </w:rPr>
        <w:t xml:space="preserve"> </w:t>
      </w:r>
      <w:r w:rsidR="004225C6" w:rsidRPr="004225C6">
        <w:rPr>
          <w:rFonts w:ascii="Times New Roman" w:hAnsi="Times New Roman" w:cs="Times New Roman"/>
          <w:lang w:val="pl-PL"/>
        </w:rPr>
        <w:t xml:space="preserve">(lub) </w:t>
      </w:r>
      <w:proofErr w:type="spellStart"/>
      <w:r w:rsidRPr="003D7CA4">
        <w:rPr>
          <w:rFonts w:ascii="Times New Roman" w:hAnsi="Times New Roman" w:cs="Times New Roman"/>
          <w:lang w:val="pl-PL"/>
        </w:rPr>
        <w:t>anafilaktoidalnych</w:t>
      </w:r>
      <w:proofErr w:type="spellEnd"/>
      <w:r w:rsidRPr="003D7CA4">
        <w:rPr>
          <w:rFonts w:ascii="Times New Roman" w:hAnsi="Times New Roman" w:cs="Times New Roman"/>
          <w:lang w:val="pl-PL"/>
        </w:rPr>
        <w:t>.</w:t>
      </w:r>
    </w:p>
    <w:p w14:paraId="40C133BD" w14:textId="28989F5E" w:rsidR="000B30ED" w:rsidRPr="003D7CA4" w:rsidRDefault="002E5D9A" w:rsidP="00D20465">
      <w:pPr>
        <w:spacing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Ryzyko wystąpienia potencjalnie ciężkich reakcji </w:t>
      </w:r>
      <w:proofErr w:type="spellStart"/>
      <w:r w:rsidRPr="003D7CA4">
        <w:rPr>
          <w:rFonts w:ascii="Times New Roman" w:hAnsi="Times New Roman" w:cs="Times New Roman"/>
          <w:lang w:val="pl-PL"/>
        </w:rPr>
        <w:t>anafilaktoidalnych</w:t>
      </w:r>
      <w:proofErr w:type="spellEnd"/>
      <w:r w:rsidRPr="003D7CA4">
        <w:rPr>
          <w:rFonts w:ascii="Times New Roman" w:hAnsi="Times New Roman" w:cs="Times New Roman"/>
          <w:lang w:val="pl-PL"/>
        </w:rPr>
        <w:t xml:space="preserve"> na metamizol jest wyraźnie podwyższone u następujących pacjentów (patrz punkt 4.3):</w:t>
      </w:r>
    </w:p>
    <w:p w14:paraId="40C133BE" w14:textId="6C78418F" w:rsidR="000B30ED" w:rsidRPr="003D7CA4" w:rsidRDefault="00BA29AF" w:rsidP="00D20465">
      <w:pPr>
        <w:pStyle w:val="Akapitzlist"/>
        <w:numPr>
          <w:ilvl w:val="0"/>
          <w:numId w:val="1"/>
        </w:num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pacjenci z astmą analgetyczną lub z nietolerancją leków przeciwbólowych przyjmującą postać pokrzywki, obrzęku naczynioruchowego;</w:t>
      </w:r>
    </w:p>
    <w:p w14:paraId="1F1EC3ED" w14:textId="6917BF01" w:rsidR="00901EC7" w:rsidRPr="003D7CA4" w:rsidRDefault="00901EC7" w:rsidP="00D20465">
      <w:pPr>
        <w:pStyle w:val="Akapitzlist"/>
        <w:numPr>
          <w:ilvl w:val="0"/>
          <w:numId w:val="1"/>
        </w:numPr>
        <w:spacing w:line="240" w:lineRule="auto"/>
        <w:jc w:val="both"/>
        <w:rPr>
          <w:rFonts w:ascii="Times New Roman" w:hAnsi="Times New Roman" w:cs="Times New Roman"/>
          <w:lang w:val="pl-PL"/>
        </w:rPr>
      </w:pPr>
      <w:r w:rsidRPr="003D7CA4">
        <w:rPr>
          <w:rFonts w:ascii="Times New Roman" w:hAnsi="Times New Roman" w:cs="Times New Roman"/>
          <w:lang w:val="pl-PL"/>
        </w:rPr>
        <w:t>pacjenci z astmą oskrzelową, zwłaszcza w przypadku towarzyszącego zapalenia błony śluzowej nosa i zatok przynosowych;</w:t>
      </w:r>
    </w:p>
    <w:p w14:paraId="40C133BF" w14:textId="542B9A61" w:rsidR="000B30ED" w:rsidRPr="003D7CA4" w:rsidRDefault="000B30ED" w:rsidP="00D20465">
      <w:pPr>
        <w:pStyle w:val="Akapitzlist"/>
        <w:numPr>
          <w:ilvl w:val="0"/>
          <w:numId w:val="1"/>
        </w:num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pacjenci </w:t>
      </w:r>
      <w:r w:rsidR="00A05D4F" w:rsidRPr="003D7CA4">
        <w:rPr>
          <w:rFonts w:ascii="Times New Roman" w:eastAsia="TimesNewRoman" w:hAnsi="Times New Roman" w:cs="Times New Roman"/>
          <w:lang w:val="pl-PL"/>
        </w:rPr>
        <w:t>z</w:t>
      </w:r>
      <w:r w:rsidRPr="003D7CA4">
        <w:rPr>
          <w:rFonts w:ascii="Times New Roman" w:eastAsia="TimesNewRoman" w:hAnsi="Times New Roman" w:cs="Times New Roman"/>
          <w:lang w:val="pl-PL"/>
        </w:rPr>
        <w:t xml:space="preserve"> przewlekłą pokrzywk</w:t>
      </w:r>
      <w:r w:rsidR="00A05D4F" w:rsidRPr="003D7CA4">
        <w:rPr>
          <w:rFonts w:ascii="Times New Roman" w:eastAsia="TimesNewRoman" w:hAnsi="Times New Roman" w:cs="Times New Roman"/>
          <w:lang w:val="pl-PL"/>
        </w:rPr>
        <w:t>ą</w:t>
      </w:r>
      <w:r w:rsidRPr="003D7CA4">
        <w:rPr>
          <w:rFonts w:ascii="Times New Roman" w:eastAsia="TimesNewRoman" w:hAnsi="Times New Roman" w:cs="Times New Roman"/>
          <w:lang w:val="pl-PL"/>
        </w:rPr>
        <w:t>;</w:t>
      </w:r>
    </w:p>
    <w:p w14:paraId="3918EA3C" w14:textId="19636DD1" w:rsidR="00B60F84" w:rsidRPr="003D7CA4" w:rsidRDefault="002E5D9A" w:rsidP="00D20465">
      <w:pPr>
        <w:pStyle w:val="Akapitzlist"/>
        <w:numPr>
          <w:ilvl w:val="0"/>
          <w:numId w:val="3"/>
        </w:numPr>
        <w:spacing w:line="240" w:lineRule="auto"/>
        <w:jc w:val="both"/>
        <w:rPr>
          <w:rFonts w:ascii="Times New Roman" w:hAnsi="Times New Roman" w:cs="Times New Roman"/>
          <w:lang w:val="pl-PL"/>
        </w:rPr>
      </w:pPr>
      <w:r w:rsidRPr="003D7CA4">
        <w:rPr>
          <w:rFonts w:ascii="Times New Roman" w:hAnsi="Times New Roman" w:cs="Times New Roman"/>
          <w:lang w:val="pl-PL"/>
        </w:rPr>
        <w:t>pacjenci z nadwrażliwością na alkohol, tj. pacjenci, którzy już reagują na niewielkie ilości napojów alkoholowych wystąpieniem objawów, takich jak kichanie, łzawienie i wyraźne zaczerwienienie twarzy; nietolerancja alkoholu może być objawem niezdiagnozowanego zespołu astmy analgetycznej;</w:t>
      </w:r>
    </w:p>
    <w:p w14:paraId="40C133C4" w14:textId="661F3B0C" w:rsidR="004C6530" w:rsidRPr="003D7CA4" w:rsidRDefault="000B30ED" w:rsidP="00D20465">
      <w:pPr>
        <w:pStyle w:val="Akapitzlist"/>
        <w:numPr>
          <w:ilvl w:val="0"/>
          <w:numId w:val="3"/>
        </w:num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pacjenci z nadwrażliwością na barwniki (np. </w:t>
      </w:r>
      <w:proofErr w:type="spellStart"/>
      <w:r w:rsidRPr="003D7CA4">
        <w:rPr>
          <w:rFonts w:ascii="Times New Roman" w:hAnsi="Times New Roman" w:cs="Times New Roman"/>
          <w:lang w:val="pl-PL"/>
        </w:rPr>
        <w:t>tartrazynę</w:t>
      </w:r>
      <w:proofErr w:type="spellEnd"/>
      <w:r w:rsidRPr="003D7CA4">
        <w:rPr>
          <w:rFonts w:ascii="Times New Roman" w:hAnsi="Times New Roman" w:cs="Times New Roman"/>
          <w:lang w:val="pl-PL"/>
        </w:rPr>
        <w:t>) lub środki konserwujące (np. benzoesany).</w:t>
      </w:r>
    </w:p>
    <w:p w14:paraId="770A8490" w14:textId="77777777" w:rsidR="002E5D9A" w:rsidRPr="003D7CA4" w:rsidRDefault="002E5D9A" w:rsidP="00D20465">
      <w:pPr>
        <w:autoSpaceDE w:val="0"/>
        <w:autoSpaceDN w:val="0"/>
        <w:adjustRightInd w:val="0"/>
        <w:spacing w:after="0" w:line="240" w:lineRule="auto"/>
        <w:jc w:val="both"/>
        <w:rPr>
          <w:rFonts w:ascii="Times New Roman" w:eastAsia="TimesNewRoman" w:hAnsi="Times New Roman" w:cs="Times New Roman"/>
          <w:lang w:val="pl-PL"/>
        </w:rPr>
      </w:pPr>
    </w:p>
    <w:p w14:paraId="7E175794" w14:textId="00AA2E7F" w:rsidR="002F394B" w:rsidRPr="003D7CA4" w:rsidRDefault="00EF1A5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Przed podaniem metamizolu należy zebrać szczegółowy wywiad chorobowy. </w:t>
      </w:r>
    </w:p>
    <w:p w14:paraId="40C133C6" w14:textId="300ABCEE" w:rsidR="004C6530" w:rsidRPr="003D7CA4" w:rsidRDefault="000B30ED" w:rsidP="00D20465">
      <w:pPr>
        <w:autoSpaceDE w:val="0"/>
        <w:autoSpaceDN w:val="0"/>
        <w:adjustRightInd w:val="0"/>
        <w:spacing w:after="0" w:line="240" w:lineRule="auto"/>
        <w:jc w:val="both"/>
        <w:rPr>
          <w:rFonts w:ascii="Times New Roman" w:hAnsi="Times New Roman" w:cs="Times New Roman"/>
          <w:b/>
          <w:bCs/>
          <w:i/>
          <w:iCs/>
          <w:lang w:val="pl-PL"/>
        </w:rPr>
      </w:pPr>
      <w:r w:rsidRPr="003D7CA4">
        <w:rPr>
          <w:rFonts w:ascii="Times New Roman" w:hAnsi="Times New Roman" w:cs="Times New Roman"/>
          <w:lang w:val="pl-PL"/>
        </w:rPr>
        <w:t xml:space="preserve">U pacjentów, u których istnieje szczególne ryzyko wystąpienia reakcji anafilaktycznych, metamizol należy podawać po dokładnym rozważeniu możliwych zagrożeń w zestawieniu z oczekiwanymi korzyściami. Jeżeli metamizol jest podawany </w:t>
      </w:r>
      <w:bookmarkStart w:id="2" w:name="_Hlk45527930"/>
      <w:r w:rsidRPr="003D7CA4">
        <w:rPr>
          <w:rFonts w:ascii="Times New Roman" w:hAnsi="Times New Roman" w:cs="Times New Roman"/>
          <w:lang w:val="pl-PL"/>
        </w:rPr>
        <w:t xml:space="preserve">w takich przypadkach, pacjent powinien pozostawać pod ścisłym nadzorem medycznym. Konieczne jest również zapewnienie dostępności odpowiednich środków umożliwiających podjęcie leczenia w sytuacji nagłej. </w:t>
      </w:r>
      <w:bookmarkEnd w:id="2"/>
    </w:p>
    <w:p w14:paraId="046F8248" w14:textId="77777777" w:rsidR="00BA29AF" w:rsidRPr="003D7CA4" w:rsidRDefault="00BA29AF" w:rsidP="00D20465">
      <w:pPr>
        <w:autoSpaceDE w:val="0"/>
        <w:autoSpaceDN w:val="0"/>
        <w:adjustRightInd w:val="0"/>
        <w:spacing w:after="0" w:line="240" w:lineRule="auto"/>
        <w:jc w:val="both"/>
        <w:rPr>
          <w:rFonts w:ascii="Times New Roman" w:hAnsi="Times New Roman" w:cs="Times New Roman"/>
          <w:b/>
          <w:bCs/>
          <w:i/>
          <w:iCs/>
          <w:lang w:val="pl-PL"/>
        </w:rPr>
      </w:pPr>
    </w:p>
    <w:p w14:paraId="40C133C7" w14:textId="640B6A9E" w:rsidR="000B30ED" w:rsidRPr="003D7CA4" w:rsidRDefault="000B30ED" w:rsidP="00D20465">
      <w:pPr>
        <w:autoSpaceDE w:val="0"/>
        <w:autoSpaceDN w:val="0"/>
        <w:adjustRightInd w:val="0"/>
        <w:spacing w:after="0" w:line="240" w:lineRule="auto"/>
        <w:jc w:val="both"/>
        <w:rPr>
          <w:rFonts w:ascii="Times New Roman" w:hAnsi="Times New Roman" w:cs="Times New Roman"/>
          <w:b/>
          <w:bCs/>
          <w:i/>
          <w:iCs/>
          <w:lang w:val="pl-PL"/>
        </w:rPr>
      </w:pPr>
      <w:r w:rsidRPr="003D7CA4">
        <w:rPr>
          <w:rFonts w:ascii="Times New Roman" w:hAnsi="Times New Roman" w:cs="Times New Roman"/>
          <w:b/>
          <w:bCs/>
          <w:i/>
          <w:iCs/>
          <w:lang w:val="pl-PL"/>
        </w:rPr>
        <w:t xml:space="preserve">Izolowane niedociśnienie </w:t>
      </w:r>
    </w:p>
    <w:p w14:paraId="40C133C8" w14:textId="52D38F95" w:rsidR="004C6530"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Podanie metamizolu może niekiedy powodować reakcje hipotensyjne (patrz także punkt 4.8). Reakcje te prawdopodobnie są zależne od dawki, a ich wystąpienie jest bardziej prawdopodobne po podaniu pozajelitowym. Co więcej, ryzyko wystąpienia ciężkich reakcji hipotensyjnych jest zwiększone </w:t>
      </w:r>
    </w:p>
    <w:p w14:paraId="40C133C9" w14:textId="5FF4630C" w:rsidR="000B30ED" w:rsidRPr="003D7CA4" w:rsidRDefault="000B30ED" w:rsidP="00D20465">
      <w:pPr>
        <w:pStyle w:val="Akapitzlist"/>
        <w:numPr>
          <w:ilvl w:val="0"/>
          <w:numId w:val="3"/>
        </w:num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w przypadku szybkiego wykonywania wstrzyknięcia;</w:t>
      </w:r>
    </w:p>
    <w:p w14:paraId="40C133CA" w14:textId="17DA55CF" w:rsidR="000B30ED" w:rsidRPr="003D7CA4" w:rsidRDefault="000B30ED" w:rsidP="00D20465">
      <w:pPr>
        <w:pStyle w:val="Akapitzlist"/>
        <w:numPr>
          <w:ilvl w:val="0"/>
          <w:numId w:val="4"/>
        </w:num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u pacjentów z niedociśnieniem, zmniejszeniem objętości płynów ustrojowych lub odwodnieniem, niestabilnym krążeniem lub niewydolnością krążenia w początkowym stadium;</w:t>
      </w:r>
    </w:p>
    <w:p w14:paraId="40C133CB" w14:textId="3D42BC5B" w:rsidR="000B30ED" w:rsidRPr="003D7CA4" w:rsidRDefault="000B30ED" w:rsidP="00D20465">
      <w:pPr>
        <w:pStyle w:val="Akapitzlist"/>
        <w:numPr>
          <w:ilvl w:val="0"/>
          <w:numId w:val="4"/>
        </w:num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u pacjentów z wysoką gorączką.</w:t>
      </w:r>
    </w:p>
    <w:p w14:paraId="3460624C" w14:textId="77777777" w:rsidR="00157203" w:rsidRPr="003D7CA4" w:rsidRDefault="00157203" w:rsidP="00D20465">
      <w:pPr>
        <w:autoSpaceDE w:val="0"/>
        <w:autoSpaceDN w:val="0"/>
        <w:adjustRightInd w:val="0"/>
        <w:spacing w:after="0" w:line="240" w:lineRule="auto"/>
        <w:jc w:val="both"/>
        <w:rPr>
          <w:rFonts w:ascii="Times New Roman" w:eastAsia="TimesNewRoman" w:hAnsi="Times New Roman" w:cs="Times New Roman"/>
          <w:lang w:val="pl-PL"/>
        </w:rPr>
      </w:pPr>
    </w:p>
    <w:p w14:paraId="40C133CC" w14:textId="26FECF1A" w:rsidR="000B30ED" w:rsidRPr="003D7CA4" w:rsidRDefault="009330F8"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U takich pacjentów konieczna jest uważna ocena wskazania do stosowania i w sytuacji podawania metamizolu w takich przypadkach pacjent powinien znajdować się pod ścisłym nadzorem medycznym. W celu zmniejszenia ryzyka reakcji hipotensyjnych może być konieczne wdrożenie środków zapobiegawczych (np. stabilizacja krążenia).</w:t>
      </w:r>
    </w:p>
    <w:p w14:paraId="7CF1257B" w14:textId="77777777" w:rsidR="00B95807" w:rsidRPr="003D7CA4" w:rsidRDefault="00B95807" w:rsidP="00D20465">
      <w:pPr>
        <w:autoSpaceDE w:val="0"/>
        <w:autoSpaceDN w:val="0"/>
        <w:adjustRightInd w:val="0"/>
        <w:spacing w:after="0" w:line="240" w:lineRule="auto"/>
        <w:jc w:val="both"/>
        <w:rPr>
          <w:rFonts w:ascii="Times New Roman" w:eastAsia="TimesNewRoman" w:hAnsi="Times New Roman" w:cs="Times New Roman"/>
          <w:lang w:val="pl-PL"/>
        </w:rPr>
      </w:pPr>
    </w:p>
    <w:p w14:paraId="40C133CE" w14:textId="19BB5415" w:rsidR="000B30ED" w:rsidRPr="003D7CA4" w:rsidRDefault="00157203"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U pacjentów, u których za wszelką cenę należy unikać obniżenia ciśnienia krwi, tj. u pacjentów z ciężką postacią choroby wieńcowej lub z istotnym zwężeniem naczyń krwionośnych zaopatrujących mózg, stosowaniu metamizolu musi towarzyszyć uważne monitorowanie parametrów hemodynamicznych. </w:t>
      </w:r>
    </w:p>
    <w:p w14:paraId="40C133CF" w14:textId="77777777" w:rsidR="004C6530" w:rsidRPr="003D7CA4" w:rsidRDefault="004C6530" w:rsidP="00D20465">
      <w:pPr>
        <w:autoSpaceDE w:val="0"/>
        <w:autoSpaceDN w:val="0"/>
        <w:adjustRightInd w:val="0"/>
        <w:spacing w:after="0" w:line="240" w:lineRule="auto"/>
        <w:jc w:val="both"/>
        <w:rPr>
          <w:rFonts w:ascii="Times New Roman" w:eastAsia="TimesNewRoman" w:hAnsi="Times New Roman" w:cs="Times New Roman"/>
          <w:lang w:val="pl-PL"/>
        </w:rPr>
      </w:pPr>
    </w:p>
    <w:p w14:paraId="40C133D1" w14:textId="5ADF9A56" w:rsidR="004C6530" w:rsidRPr="003D7CA4" w:rsidRDefault="00157203"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Zaleca się unikanie stosowania dużych dawek metamizolu u pacjentów z zaburzeniami czynności nerek lub wątroby, ponieważ wydalanie leku jest zmniejszone u tych pacjentów. </w:t>
      </w:r>
    </w:p>
    <w:p w14:paraId="40C133D2" w14:textId="1542BDF6" w:rsidR="000B30ED" w:rsidRPr="003D7CA4" w:rsidRDefault="00157203"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 xml:space="preserve">Należy zagwarantować, że wstrzykiwanie produktu leczniczego zostanie przerwane w przypadku wystąpienia pierwszych objawów reakcji </w:t>
      </w:r>
      <w:proofErr w:type="spellStart"/>
      <w:r w:rsidRPr="003D7CA4">
        <w:rPr>
          <w:rFonts w:ascii="Times New Roman" w:hAnsi="Times New Roman" w:cs="Times New Roman"/>
          <w:lang w:val="pl-PL"/>
        </w:rPr>
        <w:t>anafilaktoidalnej</w:t>
      </w:r>
      <w:proofErr w:type="spellEnd"/>
      <w:r w:rsidRPr="003D7CA4">
        <w:rPr>
          <w:rFonts w:ascii="Times New Roman" w:hAnsi="Times New Roman" w:cs="Times New Roman"/>
          <w:lang w:val="pl-PL"/>
        </w:rPr>
        <w:t xml:space="preserve"> (patrz punkt 4.8), a wstrzyknięcie dożylne powinno być wykonywane bardzo wolno (maksymalnie 1 ml na minutę).</w:t>
      </w:r>
    </w:p>
    <w:p w14:paraId="4F2760B3" w14:textId="77777777" w:rsidR="004B354B" w:rsidRPr="003D7CA4" w:rsidRDefault="004B354B" w:rsidP="00D20465">
      <w:pPr>
        <w:pStyle w:val="Default"/>
        <w:jc w:val="both"/>
        <w:rPr>
          <w:rFonts w:eastAsia="TimesNewRoman"/>
          <w:i/>
          <w:iCs/>
          <w:color w:val="auto"/>
          <w:sz w:val="22"/>
          <w:szCs w:val="22"/>
        </w:rPr>
      </w:pPr>
      <w:r w:rsidRPr="003D7CA4">
        <w:rPr>
          <w:rFonts w:eastAsia="TimesNewRoman"/>
          <w:i/>
          <w:iCs/>
          <w:color w:val="auto"/>
          <w:sz w:val="22"/>
          <w:szCs w:val="22"/>
        </w:rPr>
        <w:t xml:space="preserve">Polekowe uszkodzenie wątroby </w:t>
      </w:r>
    </w:p>
    <w:p w14:paraId="34B5A2AC" w14:textId="77777777" w:rsidR="004B354B" w:rsidRPr="003D7CA4" w:rsidRDefault="004B354B" w:rsidP="00D20465">
      <w:pPr>
        <w:pStyle w:val="Default"/>
        <w:jc w:val="both"/>
        <w:rPr>
          <w:rFonts w:eastAsia="TimesNewRoman"/>
          <w:color w:val="auto"/>
          <w:sz w:val="22"/>
          <w:szCs w:val="22"/>
        </w:rPr>
      </w:pPr>
      <w:r w:rsidRPr="003D7CA4">
        <w:rPr>
          <w:rFonts w:eastAsia="TimesNewRoman"/>
          <w:color w:val="auto"/>
          <w:sz w:val="22"/>
          <w:szCs w:val="22"/>
        </w:rPr>
        <w:t xml:space="preserve">U pacjentów leczonych metamizolem obserwowano przypadki ostrego zapalenia wątroby, głównie o wzorcu </w:t>
      </w:r>
      <w:proofErr w:type="spellStart"/>
      <w:r w:rsidRPr="003D7CA4">
        <w:rPr>
          <w:rFonts w:eastAsia="TimesNewRoman"/>
          <w:color w:val="auto"/>
          <w:sz w:val="22"/>
          <w:szCs w:val="22"/>
        </w:rPr>
        <w:t>wątrobowokomórkowym</w:t>
      </w:r>
      <w:proofErr w:type="spellEnd"/>
      <w:r w:rsidRPr="003D7CA4">
        <w:rPr>
          <w:rFonts w:eastAsia="TimesNewRoman"/>
          <w:color w:val="auto"/>
          <w:sz w:val="22"/>
          <w:szCs w:val="22"/>
        </w:rPr>
        <w:t xml:space="preserve">, występującego w ciągu kliku dni lub miesięcy od rozpoczęcia leczenia. Objawy przedmiotowe i podmiotowe obejmują zwiększenie aktywności enzymów wątrobowych w surowicy z żółtaczką lub bez żółtaczki, często w kontekście innych reakcji nadwrażliwości na lek (np. wysypki skórnej, zaburzeń składu krwi, gorączki i eozynofilii) lub z towarzyszącymi objawami autoimmunologicznego zapalenia wątroby. Większość pacjentów powróciła do zdrowia po przerwaniu leczenia metamizolem; niemniej jednak w pojedynczych przypadkach obserwowano progresję do ostrej niewydolności wątroby wymagającej przeszczepu wątroby. </w:t>
      </w:r>
    </w:p>
    <w:p w14:paraId="372E6CB0" w14:textId="77777777" w:rsidR="004B354B" w:rsidRPr="003D7CA4" w:rsidRDefault="004B354B" w:rsidP="00D20465">
      <w:pPr>
        <w:pStyle w:val="Default"/>
        <w:jc w:val="both"/>
        <w:rPr>
          <w:rFonts w:eastAsia="TimesNewRoman"/>
          <w:color w:val="auto"/>
          <w:sz w:val="22"/>
          <w:szCs w:val="22"/>
        </w:rPr>
      </w:pPr>
      <w:r w:rsidRPr="003D7CA4">
        <w:rPr>
          <w:rFonts w:eastAsia="TimesNewRoman"/>
          <w:color w:val="auto"/>
          <w:sz w:val="22"/>
          <w:szCs w:val="22"/>
        </w:rPr>
        <w:t xml:space="preserve">Mechanizm uszkodzenia wątroby indukowanego metamizolem nie został wyraźnie wyjaśniony, ale dane wskazują na mechanizm </w:t>
      </w:r>
      <w:proofErr w:type="spellStart"/>
      <w:r w:rsidRPr="003D7CA4">
        <w:rPr>
          <w:rFonts w:eastAsia="TimesNewRoman"/>
          <w:color w:val="auto"/>
          <w:sz w:val="22"/>
          <w:szCs w:val="22"/>
        </w:rPr>
        <w:t>immunoalergiczny</w:t>
      </w:r>
      <w:proofErr w:type="spellEnd"/>
      <w:r w:rsidRPr="003D7CA4">
        <w:rPr>
          <w:rFonts w:eastAsia="TimesNewRoman"/>
          <w:color w:val="auto"/>
          <w:sz w:val="22"/>
          <w:szCs w:val="22"/>
        </w:rPr>
        <w:t xml:space="preserve">. </w:t>
      </w:r>
    </w:p>
    <w:p w14:paraId="0B0C6B5D" w14:textId="77777777" w:rsidR="004B354B" w:rsidRPr="003D7CA4" w:rsidRDefault="004B354B" w:rsidP="00D20465">
      <w:pPr>
        <w:pStyle w:val="Default"/>
        <w:jc w:val="both"/>
        <w:rPr>
          <w:rFonts w:eastAsia="TimesNewRoman"/>
          <w:color w:val="auto"/>
          <w:sz w:val="22"/>
          <w:szCs w:val="22"/>
        </w:rPr>
      </w:pPr>
      <w:r w:rsidRPr="003D7CA4">
        <w:rPr>
          <w:rFonts w:eastAsia="TimesNewRoman"/>
          <w:color w:val="auto"/>
          <w:sz w:val="22"/>
          <w:szCs w:val="22"/>
        </w:rPr>
        <w:t xml:space="preserve">Pacjentów należy poinstruować, aby skontaktowali się z lekarzem w przypadku wystąpienia objawów wskazujących na uszkodzenie wątroby. U tych pacjentów należy przerwać podawanie metamizolu i ocenić czynność wątroby. </w:t>
      </w:r>
    </w:p>
    <w:p w14:paraId="767F96F0" w14:textId="77777777" w:rsidR="004B354B" w:rsidRPr="003D7CA4" w:rsidRDefault="004B354B"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Nie należy wznawiać podawania metamizolu u pacjentów z epizodem uszkodzenia wątroby podczas leczenia metamizolem, w przypadku którego nie ustalono innej przyczyny uszkodzenia narządu.</w:t>
      </w:r>
    </w:p>
    <w:p w14:paraId="78FB45CE" w14:textId="5AB1DECE" w:rsidR="00B95807" w:rsidRPr="003D7CA4" w:rsidRDefault="00B95807" w:rsidP="00D20465">
      <w:pPr>
        <w:autoSpaceDE w:val="0"/>
        <w:autoSpaceDN w:val="0"/>
        <w:adjustRightInd w:val="0"/>
        <w:spacing w:after="0" w:line="240" w:lineRule="auto"/>
        <w:jc w:val="both"/>
        <w:rPr>
          <w:rFonts w:ascii="Times New Roman" w:eastAsia="TimesNewRoman" w:hAnsi="Times New Roman" w:cs="Times New Roman"/>
          <w:lang w:val="pl-PL"/>
        </w:rPr>
      </w:pPr>
    </w:p>
    <w:p w14:paraId="7BED97F5" w14:textId="77E40316" w:rsidR="003964A5" w:rsidRPr="003D7CA4" w:rsidRDefault="00C87FCA" w:rsidP="00D20465">
      <w:pPr>
        <w:spacing w:after="0" w:line="240" w:lineRule="auto"/>
        <w:jc w:val="both"/>
        <w:rPr>
          <w:rFonts w:ascii="Times New Roman" w:hAnsi="Times New Roman" w:cs="Times New Roman"/>
          <w:color w:val="000000" w:themeColor="text1"/>
          <w:lang w:val="pl-PL"/>
        </w:rPr>
      </w:pPr>
      <w:r w:rsidRPr="003D7CA4">
        <w:rPr>
          <w:rFonts w:ascii="Times New Roman" w:hAnsi="Times New Roman" w:cs="Times New Roman"/>
          <w:color w:val="000000" w:themeColor="text1"/>
          <w:lang w:val="pl-PL"/>
        </w:rPr>
        <w:t>P</w:t>
      </w:r>
      <w:r w:rsidR="003964A5" w:rsidRPr="003D7CA4">
        <w:rPr>
          <w:rFonts w:ascii="Times New Roman" w:hAnsi="Times New Roman" w:cs="Times New Roman"/>
          <w:color w:val="000000" w:themeColor="text1"/>
          <w:lang w:val="pl-PL"/>
        </w:rPr>
        <w:t xml:space="preserve">rodukt leczniczy zawiera 32,7 mg sodu w jednym mililitrze roztworu do </w:t>
      </w:r>
      <w:proofErr w:type="spellStart"/>
      <w:r w:rsidR="003964A5" w:rsidRPr="003D7CA4">
        <w:rPr>
          <w:rFonts w:ascii="Times New Roman" w:hAnsi="Times New Roman" w:cs="Times New Roman"/>
          <w:color w:val="000000" w:themeColor="text1"/>
          <w:lang w:val="pl-PL"/>
        </w:rPr>
        <w:t>wstrzykiwań</w:t>
      </w:r>
      <w:proofErr w:type="spellEnd"/>
      <w:r w:rsidR="003964A5" w:rsidRPr="003D7CA4">
        <w:rPr>
          <w:rFonts w:ascii="Times New Roman" w:hAnsi="Times New Roman" w:cs="Times New Roman"/>
          <w:color w:val="000000" w:themeColor="text1"/>
          <w:lang w:val="pl-PL"/>
        </w:rPr>
        <w:t>, co odpowiada 1,63% maksymalnej dobowej dawki sodu zalecanej przez Światową Organizację Zdrowia (WHO) w diecie u osób dorosłych, która wynosi 2 g.</w:t>
      </w:r>
    </w:p>
    <w:p w14:paraId="40C133D3" w14:textId="77777777" w:rsidR="004C6530" w:rsidRPr="003D7CA4" w:rsidRDefault="004C6530" w:rsidP="00D20465">
      <w:pPr>
        <w:autoSpaceDE w:val="0"/>
        <w:autoSpaceDN w:val="0"/>
        <w:adjustRightInd w:val="0"/>
        <w:spacing w:after="0" w:line="240" w:lineRule="auto"/>
        <w:jc w:val="both"/>
        <w:rPr>
          <w:rFonts w:ascii="Times New Roman" w:eastAsia="TimesNewRoman" w:hAnsi="Times New Roman" w:cs="Times New Roman"/>
          <w:lang w:val="pl-PL"/>
        </w:rPr>
      </w:pPr>
    </w:p>
    <w:p w14:paraId="40C133D4" w14:textId="51130512"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4.5 Interakcje z innymi produktami leczniczymi i inne rodzaje interakcji</w:t>
      </w:r>
    </w:p>
    <w:p w14:paraId="61B67115" w14:textId="2F1D21E6" w:rsidR="00B640B9" w:rsidRPr="003D7CA4" w:rsidRDefault="00B640B9" w:rsidP="00D20465">
      <w:pPr>
        <w:autoSpaceDE w:val="0"/>
        <w:autoSpaceDN w:val="0"/>
        <w:adjustRightInd w:val="0"/>
        <w:spacing w:after="0" w:line="240" w:lineRule="auto"/>
        <w:jc w:val="both"/>
        <w:rPr>
          <w:rFonts w:ascii="Times New Roman" w:hAnsi="Times New Roman" w:cs="Times New Roman"/>
          <w:b/>
          <w:bCs/>
          <w:lang w:val="pl-PL"/>
        </w:rPr>
      </w:pPr>
    </w:p>
    <w:p w14:paraId="1E0A3BD3" w14:textId="77777777" w:rsidR="00B640B9" w:rsidRPr="003D7CA4" w:rsidRDefault="00B640B9" w:rsidP="00D20465">
      <w:pPr>
        <w:pStyle w:val="Default"/>
        <w:jc w:val="both"/>
        <w:rPr>
          <w:rFonts w:eastAsia="TimesNewRoman"/>
          <w:color w:val="auto"/>
          <w:sz w:val="22"/>
          <w:szCs w:val="22"/>
        </w:rPr>
      </w:pPr>
      <w:r w:rsidRPr="003D7CA4">
        <w:rPr>
          <w:rFonts w:eastAsia="TimesNewRoman"/>
          <w:color w:val="auto"/>
          <w:sz w:val="22"/>
          <w:szCs w:val="22"/>
        </w:rPr>
        <w:t xml:space="preserve">Farmakokinetyczna indukcja aktywności enzymów metabolizujących: </w:t>
      </w:r>
    </w:p>
    <w:p w14:paraId="09A5D3F0" w14:textId="77777777" w:rsidR="00B640B9" w:rsidRPr="003D7CA4" w:rsidRDefault="00B640B9" w:rsidP="00D20465">
      <w:pPr>
        <w:pStyle w:val="Default"/>
        <w:jc w:val="both"/>
        <w:rPr>
          <w:rFonts w:eastAsia="TimesNewRoman"/>
          <w:color w:val="auto"/>
          <w:sz w:val="22"/>
          <w:szCs w:val="22"/>
        </w:rPr>
      </w:pPr>
      <w:r w:rsidRPr="003D7CA4">
        <w:rPr>
          <w:rFonts w:eastAsia="TimesNewRoman"/>
          <w:color w:val="auto"/>
          <w:sz w:val="22"/>
          <w:szCs w:val="22"/>
        </w:rPr>
        <w:t xml:space="preserve">Metamizol może indukować aktywność enzymów metabolizujących, w tym CYP2B6 i CYP3A4. </w:t>
      </w:r>
    </w:p>
    <w:p w14:paraId="24375F58" w14:textId="780698F0" w:rsidR="00B640B9" w:rsidRPr="003D7CA4" w:rsidRDefault="00B640B9"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Jednoczesne podawanie metamizolu z </w:t>
      </w:r>
      <w:proofErr w:type="spellStart"/>
      <w:r w:rsidRPr="003D7CA4">
        <w:rPr>
          <w:rFonts w:ascii="Times New Roman" w:eastAsia="TimesNewRoman" w:hAnsi="Times New Roman" w:cs="Times New Roman"/>
          <w:lang w:val="pl-PL"/>
        </w:rPr>
        <w:t>bupropionem</w:t>
      </w:r>
      <w:proofErr w:type="spellEnd"/>
      <w:r w:rsidRPr="003D7CA4">
        <w:rPr>
          <w:rFonts w:ascii="Times New Roman" w:eastAsia="TimesNewRoman" w:hAnsi="Times New Roman" w:cs="Times New Roman"/>
          <w:lang w:val="pl-PL"/>
        </w:rPr>
        <w:t xml:space="preserve">, </w:t>
      </w:r>
      <w:proofErr w:type="spellStart"/>
      <w:r w:rsidRPr="003D7CA4">
        <w:rPr>
          <w:rFonts w:ascii="Times New Roman" w:eastAsia="TimesNewRoman" w:hAnsi="Times New Roman" w:cs="Times New Roman"/>
          <w:lang w:val="pl-PL"/>
        </w:rPr>
        <w:t>efawirenzem</w:t>
      </w:r>
      <w:proofErr w:type="spellEnd"/>
      <w:r w:rsidRPr="003D7CA4">
        <w:rPr>
          <w:rFonts w:ascii="Times New Roman" w:eastAsia="TimesNewRoman" w:hAnsi="Times New Roman" w:cs="Times New Roman"/>
          <w:lang w:val="pl-PL"/>
        </w:rPr>
        <w:t xml:space="preserve">, metadonem, </w:t>
      </w:r>
      <w:proofErr w:type="spellStart"/>
      <w:r w:rsidRPr="003D7CA4">
        <w:rPr>
          <w:rFonts w:ascii="Times New Roman" w:eastAsia="TimesNewRoman" w:hAnsi="Times New Roman" w:cs="Times New Roman"/>
          <w:lang w:val="pl-PL"/>
        </w:rPr>
        <w:t>walproinianem</w:t>
      </w:r>
      <w:proofErr w:type="spellEnd"/>
      <w:r w:rsidRPr="003D7CA4">
        <w:rPr>
          <w:rFonts w:ascii="Times New Roman" w:eastAsia="TimesNewRoman" w:hAnsi="Times New Roman" w:cs="Times New Roman"/>
          <w:lang w:val="pl-PL"/>
        </w:rPr>
        <w:t xml:space="preserve">, </w:t>
      </w:r>
      <w:proofErr w:type="spellStart"/>
      <w:r w:rsidRPr="003D7CA4">
        <w:rPr>
          <w:rFonts w:ascii="Times New Roman" w:eastAsia="TimesNewRoman" w:hAnsi="Times New Roman" w:cs="Times New Roman"/>
          <w:lang w:val="pl-PL"/>
        </w:rPr>
        <w:t>cyklosporyną</w:t>
      </w:r>
      <w:proofErr w:type="spellEnd"/>
      <w:r w:rsidRPr="003D7CA4">
        <w:rPr>
          <w:rFonts w:ascii="Times New Roman" w:eastAsia="TimesNewRoman" w:hAnsi="Times New Roman" w:cs="Times New Roman"/>
          <w:lang w:val="pl-PL"/>
        </w:rPr>
        <w:t xml:space="preserve">, </w:t>
      </w:r>
      <w:proofErr w:type="spellStart"/>
      <w:r w:rsidRPr="003D7CA4">
        <w:rPr>
          <w:rFonts w:ascii="Times New Roman" w:eastAsia="TimesNewRoman" w:hAnsi="Times New Roman" w:cs="Times New Roman"/>
          <w:lang w:val="pl-PL"/>
        </w:rPr>
        <w:t>takrolimusem</w:t>
      </w:r>
      <w:proofErr w:type="spellEnd"/>
      <w:r w:rsidRPr="003D7CA4">
        <w:rPr>
          <w:rFonts w:ascii="Times New Roman" w:eastAsia="TimesNewRoman" w:hAnsi="Times New Roman" w:cs="Times New Roman"/>
          <w:lang w:val="pl-PL"/>
        </w:rPr>
        <w:t xml:space="preserve"> lub </w:t>
      </w:r>
      <w:proofErr w:type="spellStart"/>
      <w:r w:rsidRPr="003D7CA4">
        <w:rPr>
          <w:rFonts w:ascii="Times New Roman" w:eastAsia="TimesNewRoman" w:hAnsi="Times New Roman" w:cs="Times New Roman"/>
          <w:lang w:val="pl-PL"/>
        </w:rPr>
        <w:t>sertraliną</w:t>
      </w:r>
      <w:proofErr w:type="spellEnd"/>
      <w:r w:rsidRPr="003D7CA4">
        <w:rPr>
          <w:rFonts w:ascii="Times New Roman" w:eastAsia="TimesNewRoman" w:hAnsi="Times New Roman" w:cs="Times New Roman"/>
          <w:lang w:val="pl-PL"/>
        </w:rPr>
        <w:t xml:space="preserve"> może powodować obniżenie stężenia tych leków w osoczu, co może potencjalnie skutkować obniżeniem ich skuteczności klinicznej. Dlatego zaleca się zachowanie ostrożności podczas jednoczesnego podawania metamizolu; zależnie od potrzeb należy monitorować odpowiedź kliniczną i (lub) stężenie leku.</w:t>
      </w:r>
    </w:p>
    <w:p w14:paraId="61FDD3D7" w14:textId="77777777" w:rsidR="00A67D20" w:rsidRPr="003D7CA4" w:rsidRDefault="00A67D20" w:rsidP="00D20465">
      <w:pPr>
        <w:autoSpaceDE w:val="0"/>
        <w:autoSpaceDN w:val="0"/>
        <w:adjustRightInd w:val="0"/>
        <w:spacing w:after="0" w:line="240" w:lineRule="auto"/>
        <w:jc w:val="both"/>
        <w:rPr>
          <w:rFonts w:ascii="Times New Roman" w:hAnsi="Times New Roman" w:cs="Times New Roman"/>
          <w:b/>
          <w:bCs/>
          <w:strike/>
          <w:lang w:val="pl-PL"/>
        </w:rPr>
      </w:pPr>
    </w:p>
    <w:p w14:paraId="4EB03EE3" w14:textId="01E02030" w:rsidR="00595985" w:rsidRPr="003D7CA4" w:rsidRDefault="00896423"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 xml:space="preserve">Dodanie metamizolu do </w:t>
      </w:r>
      <w:proofErr w:type="spellStart"/>
      <w:r w:rsidRPr="003D7CA4">
        <w:rPr>
          <w:rFonts w:ascii="Times New Roman" w:hAnsi="Times New Roman" w:cs="Times New Roman"/>
          <w:lang w:val="pl-PL"/>
        </w:rPr>
        <w:t>metotreksatu</w:t>
      </w:r>
      <w:proofErr w:type="spellEnd"/>
      <w:r w:rsidRPr="003D7CA4">
        <w:rPr>
          <w:rFonts w:ascii="Times New Roman" w:hAnsi="Times New Roman" w:cs="Times New Roman"/>
          <w:lang w:val="pl-PL"/>
        </w:rPr>
        <w:t xml:space="preserve"> może nasilać hematologiczne działania toksyczne </w:t>
      </w:r>
      <w:proofErr w:type="spellStart"/>
      <w:r w:rsidRPr="003D7CA4">
        <w:rPr>
          <w:rFonts w:ascii="Times New Roman" w:hAnsi="Times New Roman" w:cs="Times New Roman"/>
          <w:lang w:val="pl-PL"/>
        </w:rPr>
        <w:t>metotreksatu</w:t>
      </w:r>
      <w:proofErr w:type="spellEnd"/>
      <w:r w:rsidRPr="003D7CA4">
        <w:rPr>
          <w:rFonts w:ascii="Times New Roman" w:hAnsi="Times New Roman" w:cs="Times New Roman"/>
          <w:lang w:val="pl-PL"/>
        </w:rPr>
        <w:t>, szczególnie u pacjentów w podeszłym wieku. Należy unikać jednoczesnego podawania tych leków.</w:t>
      </w:r>
    </w:p>
    <w:p w14:paraId="712419DF" w14:textId="137A1CD1" w:rsidR="006050F0" w:rsidRPr="003D7CA4" w:rsidRDefault="006050F0"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Metamizol może zmniejszać wpływ kwasu acetylosalicylowego (aspiryny) na agregację płytek krwi w sytuacji równoczesnego podawania. Dlatego takie skojarzenie należy stosować z zachowaniem ostrożności u pacjentów przyjmujących niskie dawki aspiryny w celu </w:t>
      </w:r>
      <w:proofErr w:type="spellStart"/>
      <w:r w:rsidRPr="003D7CA4">
        <w:rPr>
          <w:rFonts w:ascii="Times New Roman" w:eastAsia="TimesNewRoman" w:hAnsi="Times New Roman" w:cs="Times New Roman"/>
          <w:lang w:val="pl-PL"/>
        </w:rPr>
        <w:t>kardioprotekcji</w:t>
      </w:r>
      <w:proofErr w:type="spellEnd"/>
      <w:r w:rsidRPr="003D7CA4">
        <w:rPr>
          <w:rFonts w:ascii="Times New Roman" w:eastAsia="TimesNewRoman" w:hAnsi="Times New Roman" w:cs="Times New Roman"/>
          <w:lang w:val="pl-PL"/>
        </w:rPr>
        <w:t xml:space="preserve">. </w:t>
      </w:r>
    </w:p>
    <w:p w14:paraId="40C133D9" w14:textId="009669AE" w:rsidR="004C6530" w:rsidRPr="003D7CA4" w:rsidRDefault="004C6530" w:rsidP="00D20465">
      <w:pPr>
        <w:autoSpaceDE w:val="0"/>
        <w:autoSpaceDN w:val="0"/>
        <w:adjustRightInd w:val="0"/>
        <w:spacing w:after="0" w:line="240" w:lineRule="auto"/>
        <w:jc w:val="both"/>
        <w:rPr>
          <w:rFonts w:ascii="Times New Roman" w:hAnsi="Times New Roman" w:cs="Times New Roman"/>
          <w:b/>
          <w:bCs/>
          <w:lang w:val="pl-PL"/>
        </w:rPr>
      </w:pPr>
    </w:p>
    <w:p w14:paraId="03419C1F" w14:textId="77777777" w:rsidR="00D20465" w:rsidRPr="003D7CA4" w:rsidRDefault="00BD21CE" w:rsidP="00D20465">
      <w:pPr>
        <w:spacing w:after="0" w:line="240" w:lineRule="auto"/>
        <w:jc w:val="both"/>
        <w:rPr>
          <w:rFonts w:ascii="Times New Roman" w:hAnsi="Times New Roman" w:cs="Times New Roman"/>
          <w:lang w:val="pl-PL"/>
        </w:rPr>
      </w:pPr>
      <w:r w:rsidRPr="003D7CA4">
        <w:rPr>
          <w:rFonts w:ascii="Times New Roman" w:hAnsi="Times New Roman" w:cs="Times New Roman"/>
          <w:lang w:val="pl-PL"/>
        </w:rPr>
        <w:t xml:space="preserve">U pacjentów przyjmujących metamizol obserwowano wpływ na wyniki badań laboratoryjnych (fałszywie niskie wartości), w których wykorzystywana jest reakcja </w:t>
      </w:r>
      <w:proofErr w:type="spellStart"/>
      <w:r w:rsidRPr="003D7CA4">
        <w:rPr>
          <w:rFonts w:ascii="Times New Roman" w:hAnsi="Times New Roman" w:cs="Times New Roman"/>
          <w:lang w:val="pl-PL"/>
        </w:rPr>
        <w:t>Trindera</w:t>
      </w:r>
      <w:proofErr w:type="spellEnd"/>
      <w:r w:rsidRPr="003D7CA4">
        <w:rPr>
          <w:rFonts w:ascii="Times New Roman" w:hAnsi="Times New Roman" w:cs="Times New Roman"/>
          <w:lang w:val="pl-PL"/>
        </w:rPr>
        <w:t xml:space="preserve">/podobna do reakcji </w:t>
      </w:r>
      <w:proofErr w:type="spellStart"/>
      <w:r w:rsidRPr="003D7CA4">
        <w:rPr>
          <w:rFonts w:ascii="Times New Roman" w:hAnsi="Times New Roman" w:cs="Times New Roman"/>
          <w:lang w:val="pl-PL"/>
        </w:rPr>
        <w:t>Trindera</w:t>
      </w:r>
      <w:proofErr w:type="spellEnd"/>
      <w:r w:rsidRPr="003D7CA4">
        <w:rPr>
          <w:rFonts w:ascii="Times New Roman" w:hAnsi="Times New Roman" w:cs="Times New Roman"/>
          <w:lang w:val="pl-PL"/>
        </w:rPr>
        <w:t xml:space="preserve"> (np. badań do pomiaru stężenia kreatyniny w surowicy, trójglicerydów, cholesterolu HDL i kwasu moczowego).</w:t>
      </w:r>
    </w:p>
    <w:p w14:paraId="40C133DA" w14:textId="0CDFDD83" w:rsidR="000B30ED" w:rsidRPr="003D7CA4" w:rsidRDefault="000B30ED" w:rsidP="00D20465">
      <w:pPr>
        <w:spacing w:after="0" w:line="240" w:lineRule="auto"/>
        <w:jc w:val="both"/>
        <w:rPr>
          <w:rFonts w:ascii="Times New Roman" w:hAnsi="Times New Roman" w:cs="Times New Roman"/>
          <w:lang w:val="pl-PL"/>
        </w:rPr>
      </w:pPr>
      <w:r w:rsidRPr="003D7CA4">
        <w:rPr>
          <w:rFonts w:ascii="Times New Roman" w:hAnsi="Times New Roman" w:cs="Times New Roman"/>
          <w:b/>
          <w:bCs/>
          <w:lang w:val="pl-PL"/>
        </w:rPr>
        <w:t>4.6 Wpływ na płodność, ciążę i laktację</w:t>
      </w:r>
    </w:p>
    <w:p w14:paraId="40C133DB" w14:textId="77777777" w:rsidR="004C6530" w:rsidRPr="003D7CA4" w:rsidRDefault="004C6530" w:rsidP="00D20465">
      <w:pPr>
        <w:autoSpaceDE w:val="0"/>
        <w:autoSpaceDN w:val="0"/>
        <w:adjustRightInd w:val="0"/>
        <w:spacing w:after="0" w:line="240" w:lineRule="auto"/>
        <w:jc w:val="both"/>
        <w:rPr>
          <w:rFonts w:ascii="Times New Roman" w:eastAsia="TimesNewRoman" w:hAnsi="Times New Roman" w:cs="Times New Roman"/>
          <w:lang w:val="pl-PL"/>
        </w:rPr>
      </w:pPr>
    </w:p>
    <w:p w14:paraId="0364B96C" w14:textId="77777777" w:rsidR="00941454" w:rsidRPr="003D7CA4" w:rsidRDefault="00941454" w:rsidP="00D20465">
      <w:pPr>
        <w:autoSpaceDE w:val="0"/>
        <w:autoSpaceDN w:val="0"/>
        <w:adjustRightInd w:val="0"/>
        <w:spacing w:after="0" w:line="240" w:lineRule="auto"/>
        <w:jc w:val="both"/>
        <w:rPr>
          <w:rFonts w:ascii="Times New Roman" w:eastAsia="TimesNewRoman" w:hAnsi="Times New Roman" w:cs="Times New Roman"/>
          <w:b/>
          <w:lang w:val="pl-PL"/>
        </w:rPr>
      </w:pPr>
      <w:r w:rsidRPr="003D7CA4">
        <w:rPr>
          <w:rFonts w:ascii="Times New Roman" w:eastAsia="TimesNewRoman" w:hAnsi="Times New Roman" w:cs="Times New Roman"/>
          <w:b/>
          <w:bCs/>
          <w:lang w:val="pl-PL"/>
        </w:rPr>
        <w:t xml:space="preserve">Ciąża </w:t>
      </w:r>
    </w:p>
    <w:p w14:paraId="4A2A0AAC" w14:textId="6FEF2CE6" w:rsidR="00941454" w:rsidRPr="003D7CA4" w:rsidRDefault="00BA29AF"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lastRenderedPageBreak/>
        <w:t>Doświadczenie dotyczące stosowania metamizolu w okresie ciąży jest ograniczone.</w:t>
      </w:r>
    </w:p>
    <w:p w14:paraId="51417580" w14:textId="77777777" w:rsidR="00BA29AF" w:rsidRPr="003D7CA4" w:rsidRDefault="00BA29AF" w:rsidP="00D20465">
      <w:pPr>
        <w:autoSpaceDE w:val="0"/>
        <w:autoSpaceDN w:val="0"/>
        <w:adjustRightInd w:val="0"/>
        <w:spacing w:after="0" w:line="240" w:lineRule="auto"/>
        <w:jc w:val="both"/>
        <w:rPr>
          <w:rFonts w:ascii="Times New Roman" w:eastAsia="TimesNewRoman" w:hAnsi="Times New Roman" w:cs="Times New Roman"/>
          <w:lang w:val="pl-PL"/>
        </w:rPr>
      </w:pPr>
    </w:p>
    <w:p w14:paraId="49E8494B" w14:textId="3C72D5A7" w:rsidR="00941454" w:rsidRPr="003D7CA4" w:rsidRDefault="00941454"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Na podstawie opublikowanych danych dotyczących kobiet w ciąży narażonych na metamizol w pierwszym trymestrze (n = 568) nie stwierdzono dowodów na działanie teratogenne ani </w:t>
      </w:r>
      <w:proofErr w:type="spellStart"/>
      <w:r w:rsidRPr="003D7CA4">
        <w:rPr>
          <w:rFonts w:ascii="Times New Roman" w:eastAsia="TimesNewRoman" w:hAnsi="Times New Roman" w:cs="Times New Roman"/>
          <w:lang w:val="pl-PL"/>
        </w:rPr>
        <w:t>embriotoksyczne</w:t>
      </w:r>
      <w:proofErr w:type="spellEnd"/>
      <w:r w:rsidRPr="003D7CA4">
        <w:rPr>
          <w:rFonts w:ascii="Times New Roman" w:eastAsia="TimesNewRoman" w:hAnsi="Times New Roman" w:cs="Times New Roman"/>
          <w:lang w:val="pl-PL"/>
        </w:rPr>
        <w:t xml:space="preserve">. W wybranych przypadkach pojedyncze dawki metamizolu podawane w pierwszym i drugim trymestrze ciąży mogą być dopuszczalne, jeśli nie istnieją inne możliwości leczenia. Jednak zasadniczo nie zaleca się stosowania metamizolu podczas pierwszego i drugiego trymestru ciąży. Stosowanie w trzecim trymestrze ciąży jest związane z działaniem toksycznym na płód (zaburzenia czynności nerek i zwężenie przewodu tętniczego), dlatego stosowanie metamizolu jest przeciwwskazane w trzecim trymestrze ciąży (patrz punkt 4.3). W przypadku niezamierzonego zastosowania metamizolu w trzecim trymestrze ciąży należy przeprowadzić ocenę płynu owodniowego oraz przewodu tętniczego z wykorzystaniem badania ultrasonograficznego i echokardiograficznego. </w:t>
      </w:r>
    </w:p>
    <w:p w14:paraId="1C7B3A9E" w14:textId="77777777" w:rsidR="00745D12" w:rsidRPr="003D7CA4" w:rsidRDefault="00745D12" w:rsidP="00D20465">
      <w:pPr>
        <w:autoSpaceDE w:val="0"/>
        <w:autoSpaceDN w:val="0"/>
        <w:adjustRightInd w:val="0"/>
        <w:spacing w:after="0" w:line="240" w:lineRule="auto"/>
        <w:jc w:val="both"/>
        <w:rPr>
          <w:rFonts w:ascii="Times New Roman" w:eastAsia="TimesNewRoman" w:hAnsi="Times New Roman" w:cs="Times New Roman"/>
          <w:lang w:val="pl-PL"/>
        </w:rPr>
      </w:pPr>
    </w:p>
    <w:p w14:paraId="6F508FCB" w14:textId="27AA73AE" w:rsidR="00941454" w:rsidRPr="003D7CA4" w:rsidRDefault="00941454"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Metamizol przenika przez barierę łożyskową. </w:t>
      </w:r>
    </w:p>
    <w:p w14:paraId="40C133DD" w14:textId="1B2D0324" w:rsidR="000B30ED" w:rsidRPr="003D7CA4" w:rsidRDefault="00941454"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U zwierząt metamizol wykazywał toksyczny wpływ na reprodukcję, jednak nie miał działania teratogennego (patrz punkt 5.3).</w:t>
      </w:r>
    </w:p>
    <w:p w14:paraId="2E416CF1" w14:textId="77777777" w:rsidR="00AA5F15" w:rsidRPr="003D7CA4" w:rsidRDefault="00AA5F15" w:rsidP="00D20465">
      <w:pPr>
        <w:autoSpaceDE w:val="0"/>
        <w:autoSpaceDN w:val="0"/>
        <w:adjustRightInd w:val="0"/>
        <w:spacing w:after="0" w:line="240" w:lineRule="auto"/>
        <w:jc w:val="both"/>
        <w:rPr>
          <w:rFonts w:ascii="Times New Roman" w:hAnsi="Times New Roman" w:cs="Times New Roman"/>
          <w:b/>
          <w:bCs/>
          <w:lang w:val="pl-PL"/>
        </w:rPr>
      </w:pPr>
    </w:p>
    <w:p w14:paraId="40C133DF"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Karmienie piersią</w:t>
      </w:r>
    </w:p>
    <w:p w14:paraId="164B993F" w14:textId="11AAF21A" w:rsidR="00BD21CE" w:rsidRPr="003D7CA4" w:rsidRDefault="0066541C"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Metabolity metamizolu przenikają do mleka ludzkiego w znacznych ilościach i nie można wykluczyć zagrożenia dla niemowlęcia karmionego piersią. Dlatego też należy unikać w szczególności wielokrotnego stosowania metamizolu w okresie karmienia piersią. W przypadku podania pojedynczej dawki metamizolu zaleca się, aby matki odciągały mleko z piersi i je usuwały przez 48 godzin po przyjęciu dawki.</w:t>
      </w:r>
    </w:p>
    <w:p w14:paraId="40C133E1" w14:textId="77777777" w:rsidR="004C6530" w:rsidRPr="003D7CA4" w:rsidRDefault="004C6530" w:rsidP="00D20465">
      <w:pPr>
        <w:autoSpaceDE w:val="0"/>
        <w:autoSpaceDN w:val="0"/>
        <w:adjustRightInd w:val="0"/>
        <w:spacing w:after="0" w:line="240" w:lineRule="auto"/>
        <w:jc w:val="both"/>
        <w:rPr>
          <w:rFonts w:ascii="Times New Roman" w:hAnsi="Times New Roman" w:cs="Times New Roman"/>
          <w:b/>
          <w:bCs/>
          <w:lang w:val="pl-PL"/>
        </w:rPr>
      </w:pPr>
    </w:p>
    <w:p w14:paraId="40C133E3" w14:textId="4A97879F" w:rsidR="004C6530"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b/>
          <w:bCs/>
          <w:lang w:val="pl-PL"/>
        </w:rPr>
        <w:t>4.7 Wpływ na zdolność prowadzenia pojazdów i obsługiwania maszyn</w:t>
      </w:r>
    </w:p>
    <w:p w14:paraId="33A0BC9E" w14:textId="0C0EAE2D" w:rsidR="00BD21CE" w:rsidRPr="003D7CA4" w:rsidRDefault="00AA6F95"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W zalecanym zakresie dawkowania produkt leczniczy nie wpływa na zdolność prowadzenia pojazdów i obsługiwania maszyn. Stosowanie dawek większych niż zalecane, a w szczególności przy równoczesnym spożywaniu alkoholu, zaburza zdolność reakcji i koncentracji. </w:t>
      </w:r>
    </w:p>
    <w:p w14:paraId="40C133E9" w14:textId="77777777" w:rsidR="004C6530" w:rsidRPr="003D7CA4" w:rsidRDefault="004C6530" w:rsidP="00D20465">
      <w:pPr>
        <w:autoSpaceDE w:val="0"/>
        <w:autoSpaceDN w:val="0"/>
        <w:adjustRightInd w:val="0"/>
        <w:spacing w:after="0" w:line="240" w:lineRule="auto"/>
        <w:jc w:val="both"/>
        <w:rPr>
          <w:rFonts w:ascii="Times New Roman" w:eastAsia="TimesNewRoman" w:hAnsi="Times New Roman" w:cs="Times New Roman"/>
          <w:lang w:val="pl-PL"/>
        </w:rPr>
      </w:pPr>
    </w:p>
    <w:p w14:paraId="40C133EB" w14:textId="66167B20" w:rsidR="004C6530"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4.8 Działania niepożądane</w:t>
      </w:r>
    </w:p>
    <w:p w14:paraId="40C133EC" w14:textId="77777777"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Przedstawiona poniżej częstość występowania została określona zgodnie z następującą konwencją:</w:t>
      </w:r>
    </w:p>
    <w:p w14:paraId="40C133ED" w14:textId="77777777"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bardzo często (≥ 1/10); często (≥ 1/100 do &lt; 1/10); niezbyt często (≥ 1/1000 do &lt; 1/100); rzadko (≥ 1/10 000 do &lt; 1/1000); bardzo rzadko (&lt; 1/10 000); częstość nieznana (częstość nie może być określona na podstawie dostępnych danych).</w:t>
      </w:r>
    </w:p>
    <w:p w14:paraId="40C133EE" w14:textId="77777777" w:rsidR="004C6530" w:rsidRPr="003D7CA4" w:rsidRDefault="004C6530" w:rsidP="00D20465">
      <w:pPr>
        <w:autoSpaceDE w:val="0"/>
        <w:autoSpaceDN w:val="0"/>
        <w:adjustRightInd w:val="0"/>
        <w:spacing w:after="0" w:line="240" w:lineRule="auto"/>
        <w:jc w:val="both"/>
        <w:rPr>
          <w:rFonts w:ascii="Times New Roman" w:hAnsi="Times New Roman" w:cs="Times New Roman"/>
          <w:b/>
          <w:bCs/>
          <w:lang w:val="pl-PL"/>
        </w:rPr>
      </w:pPr>
    </w:p>
    <w:p w14:paraId="40C133EF"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Zaburzenia krwi i układu chłonnego</w:t>
      </w:r>
    </w:p>
    <w:p w14:paraId="2DE44BE0" w14:textId="2D116B98" w:rsidR="00BD21CE" w:rsidRPr="003D7CA4" w:rsidRDefault="000B30ED" w:rsidP="00D20465">
      <w:pPr>
        <w:spacing w:line="240" w:lineRule="auto"/>
        <w:jc w:val="both"/>
        <w:rPr>
          <w:rFonts w:ascii="Times New Roman" w:hAnsi="Times New Roman" w:cs="Times New Roman"/>
          <w:lang w:val="pl-PL"/>
        </w:rPr>
      </w:pPr>
      <w:r w:rsidRPr="003D7CA4">
        <w:rPr>
          <w:rFonts w:ascii="Times New Roman" w:hAnsi="Times New Roman" w:cs="Times New Roman"/>
          <w:i/>
          <w:iCs/>
          <w:lang w:val="pl-PL"/>
        </w:rPr>
        <w:t>Rzadko:</w:t>
      </w:r>
      <w:r w:rsidRPr="003D7CA4">
        <w:rPr>
          <w:rFonts w:ascii="Times New Roman" w:hAnsi="Times New Roman" w:cs="Times New Roman"/>
          <w:lang w:val="pl-PL"/>
        </w:rPr>
        <w:t xml:space="preserve"> niedokrwistość </w:t>
      </w:r>
      <w:proofErr w:type="spellStart"/>
      <w:r w:rsidRPr="003D7CA4">
        <w:rPr>
          <w:rFonts w:ascii="Times New Roman" w:hAnsi="Times New Roman" w:cs="Times New Roman"/>
          <w:lang w:val="pl-PL"/>
        </w:rPr>
        <w:t>aplastyczna</w:t>
      </w:r>
      <w:proofErr w:type="spellEnd"/>
      <w:r w:rsidRPr="003D7CA4">
        <w:rPr>
          <w:rFonts w:ascii="Times New Roman" w:hAnsi="Times New Roman" w:cs="Times New Roman"/>
          <w:lang w:val="pl-PL"/>
        </w:rPr>
        <w:t>, agranulocytoza i pancytopenia, w tym leukopenia i małopłytkowość prowadzące do zgonu. Uważa się, że są to reakcje o podłożu immunologicznym. Mogą one wystąpić, nawet jeśli produkt leczniczy był wcześniej przyjmowany wielokrotnie bez powikłań.</w:t>
      </w:r>
    </w:p>
    <w:p w14:paraId="52429900" w14:textId="541CB66C" w:rsidR="00BD21CE" w:rsidRPr="003D7CA4" w:rsidRDefault="000B30ED" w:rsidP="00D20465">
      <w:pPr>
        <w:spacing w:line="240" w:lineRule="auto"/>
        <w:jc w:val="both"/>
        <w:rPr>
          <w:rFonts w:ascii="Times New Roman" w:hAnsi="Times New Roman" w:cs="Times New Roman"/>
          <w:lang w:val="pl-PL"/>
        </w:rPr>
      </w:pPr>
      <w:r w:rsidRPr="003D7CA4">
        <w:rPr>
          <w:rFonts w:ascii="Times New Roman" w:hAnsi="Times New Roman" w:cs="Times New Roman"/>
          <w:i/>
          <w:iCs/>
          <w:lang w:val="pl-PL"/>
        </w:rPr>
        <w:t>Bardzo rzadko:</w:t>
      </w:r>
      <w:r w:rsidRPr="003D7CA4">
        <w:rPr>
          <w:rFonts w:ascii="Times New Roman" w:hAnsi="Times New Roman" w:cs="Times New Roman"/>
          <w:lang w:val="pl-PL"/>
        </w:rPr>
        <w:t xml:space="preserve"> typowe objawy</w:t>
      </w:r>
      <w:r w:rsidRPr="003D7CA4">
        <w:rPr>
          <w:rFonts w:ascii="Times New Roman" w:hAnsi="Times New Roman" w:cs="Times New Roman"/>
          <w:i/>
          <w:iCs/>
          <w:lang w:val="pl-PL"/>
        </w:rPr>
        <w:t xml:space="preserve"> </w:t>
      </w:r>
      <w:r w:rsidRPr="003D7CA4">
        <w:rPr>
          <w:rFonts w:ascii="Times New Roman" w:hAnsi="Times New Roman" w:cs="Times New Roman"/>
          <w:lang w:val="pl-PL"/>
        </w:rPr>
        <w:t xml:space="preserve">agranulocytozy obejmują zmiany zapalne w obrębie błony śluzowej (np. jamy ustnej i gardła, odbytu, narządów płciowych), ból gardła, gorączkę (która się utrzymuje lub nawraca). </w:t>
      </w:r>
    </w:p>
    <w:p w14:paraId="2D287940" w14:textId="3DFAE421" w:rsidR="00F34DD5" w:rsidRPr="003D7CA4" w:rsidRDefault="00F34DD5" w:rsidP="00D20465">
      <w:pPr>
        <w:autoSpaceDE w:val="0"/>
        <w:autoSpaceDN w:val="0"/>
        <w:adjustRightInd w:val="0"/>
        <w:spacing w:after="0" w:line="240" w:lineRule="auto"/>
        <w:jc w:val="both"/>
        <w:rPr>
          <w:rFonts w:ascii="Times New Roman" w:hAnsi="Times New Roman" w:cs="Times New Roman"/>
          <w:lang w:val="pl-PL"/>
        </w:rPr>
      </w:pPr>
      <w:r w:rsidRPr="003D7CA4">
        <w:rPr>
          <w:rFonts w:ascii="Times New Roman" w:hAnsi="Times New Roman" w:cs="Times New Roman"/>
          <w:lang w:val="pl-PL"/>
        </w:rPr>
        <w:t xml:space="preserve">U pacjentów przyjmujących antybiotyki typowe objawy agranulocytozy mogą mieć minimalne nasilenie. </w:t>
      </w:r>
    </w:p>
    <w:p w14:paraId="665BEE96" w14:textId="1F2D6FD8" w:rsidR="00671DA2" w:rsidRPr="003D7CA4" w:rsidRDefault="00F34DD5" w:rsidP="00D20465">
      <w:pPr>
        <w:autoSpaceDE w:val="0"/>
        <w:autoSpaceDN w:val="0"/>
        <w:adjustRightInd w:val="0"/>
        <w:spacing w:after="0" w:line="240" w:lineRule="auto"/>
        <w:jc w:val="both"/>
        <w:rPr>
          <w:rFonts w:ascii="Times New Roman" w:hAnsi="Times New Roman" w:cs="Times New Roman"/>
          <w:i/>
          <w:iCs/>
          <w:lang w:val="pl-PL"/>
        </w:rPr>
      </w:pPr>
      <w:r w:rsidRPr="003D7CA4">
        <w:rPr>
          <w:rFonts w:ascii="Times New Roman" w:hAnsi="Times New Roman" w:cs="Times New Roman"/>
          <w:lang w:val="pl-PL"/>
        </w:rPr>
        <w:t>Dochodzi do znacznego wzrostu odczynu Biernackiego, podczas gdy powiększenie węzłów chłonnych jest umiarkowane lub nieobecne.</w:t>
      </w:r>
    </w:p>
    <w:p w14:paraId="40C133F3" w14:textId="2F73612D" w:rsidR="000B30ED" w:rsidRPr="003D7CA4" w:rsidRDefault="00671DA2"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Typowe objawy małopłytkowości to</w:t>
      </w:r>
      <w:r w:rsidRPr="003D7CA4">
        <w:rPr>
          <w:rFonts w:ascii="Times New Roman" w:hAnsi="Times New Roman" w:cs="Times New Roman"/>
          <w:i/>
          <w:iCs/>
          <w:lang w:val="pl-PL"/>
        </w:rPr>
        <w:t xml:space="preserve"> </w:t>
      </w:r>
      <w:r w:rsidRPr="003D7CA4">
        <w:rPr>
          <w:rFonts w:ascii="Times New Roman" w:hAnsi="Times New Roman" w:cs="Times New Roman"/>
          <w:lang w:val="pl-PL"/>
        </w:rPr>
        <w:t>zwiększona skłonność do krwawień oraz obecność wybroczyny na skórze i błonach śluzowych.</w:t>
      </w:r>
    </w:p>
    <w:p w14:paraId="22F9361D" w14:textId="5DF728B7" w:rsidR="00BD21CE" w:rsidRPr="003D7CA4" w:rsidRDefault="00BD21CE" w:rsidP="00D20465">
      <w:pPr>
        <w:autoSpaceDE w:val="0"/>
        <w:autoSpaceDN w:val="0"/>
        <w:adjustRightInd w:val="0"/>
        <w:spacing w:after="0" w:line="240" w:lineRule="auto"/>
        <w:jc w:val="both"/>
        <w:rPr>
          <w:rFonts w:ascii="Times New Roman" w:eastAsia="TimesNewRoman" w:hAnsi="Times New Roman" w:cs="Times New Roman"/>
          <w:lang w:val="pl-PL"/>
        </w:rPr>
      </w:pPr>
    </w:p>
    <w:p w14:paraId="5C4758EE" w14:textId="77777777" w:rsidR="005441F4" w:rsidRPr="003D7CA4" w:rsidRDefault="005441F4" w:rsidP="00D20465">
      <w:pPr>
        <w:spacing w:after="0" w:line="240" w:lineRule="auto"/>
        <w:jc w:val="both"/>
        <w:rPr>
          <w:rFonts w:ascii="Times New Roman" w:hAnsi="Times New Roman" w:cs="Times New Roman"/>
          <w:lang w:val="pl-PL"/>
        </w:rPr>
      </w:pPr>
      <w:r w:rsidRPr="003D7CA4">
        <w:rPr>
          <w:rFonts w:ascii="Times New Roman" w:hAnsi="Times New Roman" w:cs="Times New Roman"/>
          <w:b/>
          <w:bCs/>
          <w:lang w:val="pl-PL"/>
        </w:rPr>
        <w:t>Zaburzenia układu immunologicznego</w:t>
      </w:r>
    </w:p>
    <w:p w14:paraId="382B7B67" w14:textId="56E72F8B" w:rsidR="005441F4" w:rsidRPr="003D7CA4" w:rsidRDefault="005441F4" w:rsidP="00D20465">
      <w:pPr>
        <w:spacing w:line="240" w:lineRule="auto"/>
        <w:jc w:val="both"/>
        <w:rPr>
          <w:rFonts w:ascii="Times New Roman" w:hAnsi="Times New Roman" w:cs="Times New Roman"/>
          <w:lang w:val="pl-PL"/>
        </w:rPr>
      </w:pPr>
      <w:r w:rsidRPr="003D7CA4">
        <w:rPr>
          <w:rFonts w:ascii="Times New Roman" w:hAnsi="Times New Roman" w:cs="Times New Roman"/>
          <w:i/>
          <w:iCs/>
          <w:lang w:val="pl-PL"/>
        </w:rPr>
        <w:lastRenderedPageBreak/>
        <w:t>Rzadko</w:t>
      </w:r>
      <w:r w:rsidRPr="003D7CA4">
        <w:rPr>
          <w:rFonts w:ascii="Times New Roman" w:hAnsi="Times New Roman" w:cs="Times New Roman"/>
          <w:lang w:val="pl-PL"/>
        </w:rPr>
        <w:t>: metamizol może powodować wstrząs anafilaktyczny, reakcje anafilaktyczne</w:t>
      </w:r>
      <w:r w:rsidR="00B55060">
        <w:rPr>
          <w:rFonts w:ascii="Times New Roman" w:hAnsi="Times New Roman" w:cs="Times New Roman"/>
          <w:lang w:val="pl-PL"/>
        </w:rPr>
        <w:t xml:space="preserve"> i</w:t>
      </w:r>
      <w:r w:rsidR="00754B5C">
        <w:rPr>
          <w:rFonts w:ascii="Times New Roman" w:hAnsi="Times New Roman" w:cs="Times New Roman"/>
          <w:lang w:val="pl-PL"/>
        </w:rPr>
        <w:t xml:space="preserve"> </w:t>
      </w:r>
      <w:r w:rsidR="00B55060">
        <w:rPr>
          <w:rFonts w:ascii="Times New Roman" w:hAnsi="Times New Roman" w:cs="Times New Roman"/>
          <w:lang w:val="pl-PL"/>
        </w:rPr>
        <w:t xml:space="preserve">(lub) </w:t>
      </w:r>
      <w:proofErr w:type="spellStart"/>
      <w:r w:rsidRPr="003D7CA4">
        <w:rPr>
          <w:rFonts w:ascii="Times New Roman" w:hAnsi="Times New Roman" w:cs="Times New Roman"/>
          <w:lang w:val="pl-PL"/>
        </w:rPr>
        <w:t>anafilaktoidalne</w:t>
      </w:r>
      <w:proofErr w:type="spellEnd"/>
      <w:r w:rsidRPr="003D7CA4">
        <w:rPr>
          <w:rFonts w:ascii="Times New Roman" w:hAnsi="Times New Roman" w:cs="Times New Roman"/>
          <w:lang w:val="pl-PL"/>
        </w:rPr>
        <w:t xml:space="preserve">, które mogą </w:t>
      </w:r>
      <w:r w:rsidR="00DF40FF" w:rsidRPr="003D7CA4">
        <w:rPr>
          <w:rFonts w:ascii="Times New Roman" w:hAnsi="Times New Roman" w:cs="Times New Roman"/>
          <w:lang w:val="pl-PL"/>
        </w:rPr>
        <w:t>być</w:t>
      </w:r>
      <w:r w:rsidRPr="003D7CA4">
        <w:rPr>
          <w:rFonts w:ascii="Times New Roman" w:hAnsi="Times New Roman" w:cs="Times New Roman"/>
          <w:lang w:val="pl-PL"/>
        </w:rPr>
        <w:t xml:space="preserve"> ciężkie i </w:t>
      </w:r>
      <w:r w:rsidR="00DF40FF" w:rsidRPr="003D7CA4">
        <w:rPr>
          <w:rFonts w:ascii="Times New Roman" w:hAnsi="Times New Roman" w:cs="Times New Roman"/>
          <w:lang w:val="pl-PL"/>
        </w:rPr>
        <w:t xml:space="preserve"> </w:t>
      </w:r>
      <w:r w:rsidRPr="003D7CA4">
        <w:rPr>
          <w:rFonts w:ascii="Times New Roman" w:hAnsi="Times New Roman" w:cs="Times New Roman"/>
          <w:lang w:val="pl-PL"/>
        </w:rPr>
        <w:t>zagraża</w:t>
      </w:r>
      <w:r w:rsidR="00DF40FF" w:rsidRPr="003D7CA4">
        <w:rPr>
          <w:rFonts w:ascii="Times New Roman" w:hAnsi="Times New Roman" w:cs="Times New Roman"/>
          <w:lang w:val="pl-PL"/>
        </w:rPr>
        <w:t>jące</w:t>
      </w:r>
      <w:r w:rsidRPr="003D7CA4">
        <w:rPr>
          <w:rFonts w:ascii="Times New Roman" w:hAnsi="Times New Roman" w:cs="Times New Roman"/>
          <w:lang w:val="pl-PL"/>
        </w:rPr>
        <w:t xml:space="preserve"> życiu, a czasem prowadzić do zgonu. Mogą one wystąpić, nawet jeśli metamizol był wcześniej przyjmowany wielokrotnie bez powikłań.</w:t>
      </w:r>
    </w:p>
    <w:p w14:paraId="13708C02" w14:textId="7E17D689" w:rsidR="005441F4" w:rsidRPr="003D7CA4" w:rsidRDefault="00A82042"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Reakcje anafilaktyczne</w:t>
      </w:r>
      <w:r w:rsidR="0079596C">
        <w:rPr>
          <w:rFonts w:ascii="Times New Roman" w:hAnsi="Times New Roman" w:cs="Times New Roman"/>
          <w:lang w:val="pl-PL"/>
        </w:rPr>
        <w:t xml:space="preserve"> </w:t>
      </w:r>
      <w:r w:rsidR="0079596C" w:rsidRPr="0079596C">
        <w:rPr>
          <w:rFonts w:ascii="Times New Roman" w:hAnsi="Times New Roman" w:cs="Times New Roman"/>
          <w:lang w:val="pl-PL"/>
        </w:rPr>
        <w:t>i</w:t>
      </w:r>
      <w:r w:rsidR="00754B5C">
        <w:rPr>
          <w:rFonts w:ascii="Times New Roman" w:hAnsi="Times New Roman" w:cs="Times New Roman"/>
          <w:lang w:val="pl-PL"/>
        </w:rPr>
        <w:t xml:space="preserve"> </w:t>
      </w:r>
      <w:r w:rsidR="0079596C" w:rsidRPr="0079596C">
        <w:rPr>
          <w:rFonts w:ascii="Times New Roman" w:hAnsi="Times New Roman" w:cs="Times New Roman"/>
          <w:lang w:val="pl-PL"/>
        </w:rPr>
        <w:t xml:space="preserve">(lub) </w:t>
      </w:r>
      <w:proofErr w:type="spellStart"/>
      <w:r w:rsidRPr="003D7CA4">
        <w:rPr>
          <w:rFonts w:ascii="Times New Roman" w:hAnsi="Times New Roman" w:cs="Times New Roman"/>
          <w:lang w:val="pl-PL"/>
        </w:rPr>
        <w:t>anafilaktoidalne</w:t>
      </w:r>
      <w:proofErr w:type="spellEnd"/>
      <w:r w:rsidRPr="003D7CA4">
        <w:rPr>
          <w:rFonts w:ascii="Times New Roman" w:hAnsi="Times New Roman" w:cs="Times New Roman"/>
          <w:lang w:val="pl-PL"/>
        </w:rPr>
        <w:t xml:space="preserve"> mogą wystąpić w trakcie wstrzyknięcia lub kilka godzin po jego wykonaniu, jednak zwykle pojawiają się w ciągu pierwszej godziny po podaniu.</w:t>
      </w:r>
    </w:p>
    <w:p w14:paraId="79BCC79E" w14:textId="738E4D50" w:rsidR="005441F4" w:rsidRPr="003D7CA4" w:rsidRDefault="005441F4"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Umiarkowane reakcje anafilaktyczne</w:t>
      </w:r>
      <w:r w:rsidR="0079596C" w:rsidRPr="00E71AE2">
        <w:rPr>
          <w:lang w:val="pl-PL"/>
        </w:rPr>
        <w:t xml:space="preserve"> </w:t>
      </w:r>
      <w:r w:rsidR="0079596C" w:rsidRPr="0079596C">
        <w:rPr>
          <w:rFonts w:ascii="Times New Roman" w:hAnsi="Times New Roman" w:cs="Times New Roman"/>
          <w:lang w:val="pl-PL"/>
        </w:rPr>
        <w:t>i</w:t>
      </w:r>
      <w:r w:rsidR="00754B5C">
        <w:rPr>
          <w:rFonts w:ascii="Times New Roman" w:hAnsi="Times New Roman" w:cs="Times New Roman"/>
          <w:lang w:val="pl-PL"/>
        </w:rPr>
        <w:t xml:space="preserve"> </w:t>
      </w:r>
      <w:r w:rsidR="0079596C" w:rsidRPr="0079596C">
        <w:rPr>
          <w:rFonts w:ascii="Times New Roman" w:hAnsi="Times New Roman" w:cs="Times New Roman"/>
          <w:lang w:val="pl-PL"/>
        </w:rPr>
        <w:t>(lub)</w:t>
      </w:r>
      <w:r w:rsidR="0079596C">
        <w:rPr>
          <w:rFonts w:ascii="Times New Roman" w:hAnsi="Times New Roman" w:cs="Times New Roman"/>
          <w:lang w:val="pl-PL"/>
        </w:rPr>
        <w:t xml:space="preserve"> </w:t>
      </w:r>
      <w:proofErr w:type="spellStart"/>
      <w:r w:rsidRPr="003D7CA4">
        <w:rPr>
          <w:rFonts w:ascii="Times New Roman" w:hAnsi="Times New Roman" w:cs="Times New Roman"/>
          <w:lang w:val="pl-PL"/>
        </w:rPr>
        <w:t>anafilaktoidalne</w:t>
      </w:r>
      <w:proofErr w:type="spellEnd"/>
      <w:r w:rsidRPr="003D7CA4">
        <w:rPr>
          <w:rFonts w:ascii="Times New Roman" w:hAnsi="Times New Roman" w:cs="Times New Roman"/>
          <w:lang w:val="pl-PL"/>
        </w:rPr>
        <w:t xml:space="preserve"> dają objawy ze strony skóry i błon śluzowych (takie jak swędzenie, pieczenie, zaczerwienienie, pokrzywka i obrzęk), w postaci problemów z oddychaniem lub rzadko w postaci dolegliwości żołądkowo-jelitowych.</w:t>
      </w:r>
    </w:p>
    <w:p w14:paraId="5A42EE69" w14:textId="77777777" w:rsidR="005441F4" w:rsidRPr="003D7CA4" w:rsidRDefault="005441F4"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Reakcje umiarkowane mogą ulec progresji do postaci ciężkiej, przebiegającej z pokrzywką uogólnioną, ciężkim obrzękiem naczynioruchowym (obejmującym również krtań), ciężkim skurczem oskrzeli, zaburzeniami rytmu serca, niedociśnieniem (czasami także z występującym wcześniej wzrostem ciśnienia krwi), wstrząsem krążeniowym.</w:t>
      </w:r>
    </w:p>
    <w:p w14:paraId="54C10F48" w14:textId="77777777" w:rsidR="005441F4" w:rsidRPr="003D7CA4" w:rsidRDefault="005441F4"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U pacjentów z zespołem astmy analgetycznej reakcje nietolerancji zwykle przyjmują postać napadów astmy.</w:t>
      </w:r>
    </w:p>
    <w:p w14:paraId="40C133FA" w14:textId="3B7B5E25" w:rsidR="00867A26" w:rsidRPr="003D7CA4" w:rsidRDefault="005441F4"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i/>
          <w:iCs/>
          <w:lang w:val="pl-PL"/>
        </w:rPr>
        <w:t>Częstość nieznana</w:t>
      </w:r>
      <w:r w:rsidRPr="003D7CA4">
        <w:rPr>
          <w:rFonts w:ascii="Times New Roman" w:hAnsi="Times New Roman" w:cs="Times New Roman"/>
          <w:lang w:val="pl-PL"/>
        </w:rPr>
        <w:t xml:space="preserve">: zespół </w:t>
      </w:r>
      <w:proofErr w:type="spellStart"/>
      <w:r w:rsidRPr="003D7CA4">
        <w:rPr>
          <w:rFonts w:ascii="Times New Roman" w:hAnsi="Times New Roman" w:cs="Times New Roman"/>
          <w:lang w:val="pl-PL"/>
        </w:rPr>
        <w:t>Kounisa</w:t>
      </w:r>
      <w:proofErr w:type="spellEnd"/>
      <w:r w:rsidRPr="003D7CA4">
        <w:rPr>
          <w:rFonts w:ascii="Times New Roman" w:hAnsi="Times New Roman" w:cs="Times New Roman"/>
          <w:lang w:val="pl-PL"/>
        </w:rPr>
        <w:t xml:space="preserve"> (choroba serca spowodowana reakcją alergiczną).</w:t>
      </w:r>
    </w:p>
    <w:p w14:paraId="72FF911E" w14:textId="77777777" w:rsidR="00AA5F15" w:rsidRPr="003D7CA4" w:rsidRDefault="00AA5F15" w:rsidP="00D20465">
      <w:pPr>
        <w:autoSpaceDE w:val="0"/>
        <w:autoSpaceDN w:val="0"/>
        <w:adjustRightInd w:val="0"/>
        <w:spacing w:after="0" w:line="240" w:lineRule="auto"/>
        <w:jc w:val="both"/>
        <w:rPr>
          <w:rFonts w:ascii="Times New Roman" w:hAnsi="Times New Roman" w:cs="Times New Roman"/>
          <w:b/>
          <w:bCs/>
          <w:lang w:val="pl-PL"/>
        </w:rPr>
      </w:pPr>
    </w:p>
    <w:p w14:paraId="40C133FB" w14:textId="3A1CB770"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Zaburzenia nerek i dróg moczowych</w:t>
      </w:r>
    </w:p>
    <w:p w14:paraId="6DAE2A86" w14:textId="3C906EA6" w:rsidR="005441F4" w:rsidRPr="003D7CA4" w:rsidRDefault="002212BC" w:rsidP="00D20465">
      <w:pPr>
        <w:spacing w:line="240" w:lineRule="auto"/>
        <w:jc w:val="both"/>
        <w:rPr>
          <w:rFonts w:ascii="Times New Roman" w:hAnsi="Times New Roman" w:cs="Times New Roman"/>
          <w:lang w:val="pl-PL"/>
        </w:rPr>
      </w:pPr>
      <w:r w:rsidRPr="003D7CA4">
        <w:rPr>
          <w:rFonts w:ascii="Times New Roman" w:hAnsi="Times New Roman" w:cs="Times New Roman"/>
          <w:i/>
          <w:iCs/>
          <w:lang w:val="pl-PL"/>
        </w:rPr>
        <w:t>Bardzo rzadko</w:t>
      </w:r>
      <w:r w:rsidRPr="003D7CA4">
        <w:rPr>
          <w:rFonts w:ascii="Times New Roman" w:hAnsi="Times New Roman" w:cs="Times New Roman"/>
          <w:lang w:val="pl-PL"/>
        </w:rPr>
        <w:t xml:space="preserve">: </w:t>
      </w:r>
      <w:r w:rsidR="005A1726">
        <w:rPr>
          <w:rFonts w:ascii="Times New Roman" w:hAnsi="Times New Roman" w:cs="Times New Roman"/>
          <w:lang w:val="pl-PL"/>
        </w:rPr>
        <w:t>pogorszenie</w:t>
      </w:r>
      <w:r w:rsidR="005A1726" w:rsidRPr="003D7CA4">
        <w:rPr>
          <w:rFonts w:ascii="Times New Roman" w:hAnsi="Times New Roman" w:cs="Times New Roman"/>
          <w:lang w:val="pl-PL"/>
        </w:rPr>
        <w:t xml:space="preserve"> </w:t>
      </w:r>
      <w:r w:rsidRPr="003D7CA4">
        <w:rPr>
          <w:rFonts w:ascii="Times New Roman" w:hAnsi="Times New Roman" w:cs="Times New Roman"/>
          <w:lang w:val="pl-PL"/>
        </w:rPr>
        <w:t xml:space="preserve">czynności nerek. </w:t>
      </w:r>
    </w:p>
    <w:p w14:paraId="40C133FD" w14:textId="5B5E10FA" w:rsidR="000B30ED" w:rsidRPr="003D7CA4" w:rsidRDefault="000B30ED" w:rsidP="00D20465">
      <w:pPr>
        <w:spacing w:line="240" w:lineRule="auto"/>
        <w:jc w:val="both"/>
        <w:rPr>
          <w:rFonts w:ascii="Times New Roman" w:eastAsia="TimesNewRoman" w:hAnsi="Times New Roman" w:cs="Times New Roman"/>
          <w:lang w:val="pl-PL"/>
        </w:rPr>
      </w:pPr>
      <w:r w:rsidRPr="003D7CA4">
        <w:rPr>
          <w:rFonts w:ascii="Times New Roman" w:hAnsi="Times New Roman" w:cs="Times New Roman"/>
          <w:i/>
          <w:iCs/>
          <w:lang w:val="pl-PL"/>
        </w:rPr>
        <w:t xml:space="preserve">Częstość nieznana: </w:t>
      </w:r>
      <w:r w:rsidRPr="003D7CA4">
        <w:rPr>
          <w:rFonts w:ascii="Times New Roman" w:hAnsi="Times New Roman" w:cs="Times New Roman"/>
          <w:lang w:val="pl-PL"/>
        </w:rPr>
        <w:t xml:space="preserve">śródmiąższowe zapalenie nerek. </w:t>
      </w:r>
    </w:p>
    <w:p w14:paraId="38B9E008" w14:textId="202A0E07" w:rsidR="002212BC" w:rsidRPr="003D7CA4" w:rsidRDefault="002212BC" w:rsidP="00D20465">
      <w:pPr>
        <w:spacing w:after="0" w:line="240" w:lineRule="auto"/>
        <w:jc w:val="both"/>
        <w:rPr>
          <w:rFonts w:ascii="Times New Roman" w:hAnsi="Times New Roman" w:cs="Times New Roman"/>
          <w:lang w:val="pl-PL"/>
        </w:rPr>
      </w:pPr>
      <w:r w:rsidRPr="003D7CA4">
        <w:rPr>
          <w:rFonts w:ascii="Times New Roman" w:hAnsi="Times New Roman" w:cs="Times New Roman"/>
          <w:lang w:val="pl-PL"/>
        </w:rPr>
        <w:t xml:space="preserve">W bardzo rzadkich przypadkach, zwłaszcza u pacjentów z chorobą nerek w wywiadzie, może wystąpić ostre </w:t>
      </w:r>
      <w:r w:rsidR="005A1726">
        <w:rPr>
          <w:rFonts w:ascii="Times New Roman" w:hAnsi="Times New Roman" w:cs="Times New Roman"/>
          <w:lang w:val="pl-PL"/>
        </w:rPr>
        <w:t>pogorszenie</w:t>
      </w:r>
      <w:r w:rsidR="005A1726" w:rsidRPr="003D7CA4">
        <w:rPr>
          <w:rFonts w:ascii="Times New Roman" w:hAnsi="Times New Roman" w:cs="Times New Roman"/>
          <w:lang w:val="pl-PL"/>
        </w:rPr>
        <w:t xml:space="preserve"> </w:t>
      </w:r>
      <w:r w:rsidRPr="003D7CA4">
        <w:rPr>
          <w:rFonts w:ascii="Times New Roman" w:hAnsi="Times New Roman" w:cs="Times New Roman"/>
          <w:lang w:val="pl-PL"/>
        </w:rPr>
        <w:t>czynności nerek (ostra niewydolność nerek), przebiegając</w:t>
      </w:r>
      <w:r w:rsidR="00DF40FF" w:rsidRPr="003D7CA4">
        <w:rPr>
          <w:rFonts w:ascii="Times New Roman" w:hAnsi="Times New Roman" w:cs="Times New Roman"/>
          <w:lang w:val="pl-PL"/>
        </w:rPr>
        <w:t>e</w:t>
      </w:r>
      <w:r w:rsidRPr="003D7CA4">
        <w:rPr>
          <w:rFonts w:ascii="Times New Roman" w:hAnsi="Times New Roman" w:cs="Times New Roman"/>
          <w:lang w:val="pl-PL"/>
        </w:rPr>
        <w:t xml:space="preserve"> w niektórych przypadkach ze skąpomoczem, bezmoczem lub białkomoczem. W rzadkich przypadkach może wystąpić ostre śródmiąższowe zapalenie nerek.</w:t>
      </w:r>
    </w:p>
    <w:p w14:paraId="69FD9459" w14:textId="77777777" w:rsidR="005441F4" w:rsidRPr="003D7CA4" w:rsidRDefault="005441F4" w:rsidP="00D20465">
      <w:pPr>
        <w:autoSpaceDE w:val="0"/>
        <w:autoSpaceDN w:val="0"/>
        <w:adjustRightInd w:val="0"/>
        <w:spacing w:after="0" w:line="240" w:lineRule="auto"/>
        <w:jc w:val="both"/>
        <w:rPr>
          <w:rFonts w:ascii="Times New Roman" w:eastAsia="TimesNewRoman" w:hAnsi="Times New Roman" w:cs="Times New Roman"/>
          <w:lang w:val="pl-PL"/>
        </w:rPr>
      </w:pPr>
    </w:p>
    <w:p w14:paraId="40C13400"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Zaburzenia skóry i tkanki podskórnej</w:t>
      </w:r>
    </w:p>
    <w:p w14:paraId="40C13401" w14:textId="1481935A"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i/>
          <w:iCs/>
          <w:lang w:val="pl-PL"/>
        </w:rPr>
        <w:t xml:space="preserve">Rzadko: </w:t>
      </w:r>
      <w:r w:rsidRPr="003D7CA4">
        <w:rPr>
          <w:rFonts w:ascii="Times New Roman" w:hAnsi="Times New Roman" w:cs="Times New Roman"/>
          <w:lang w:val="pl-PL"/>
        </w:rPr>
        <w:t>wysypki.</w:t>
      </w:r>
    </w:p>
    <w:p w14:paraId="2A980FAE" w14:textId="332D29CA" w:rsidR="002212BC" w:rsidRPr="003D7CA4" w:rsidRDefault="000B30ED" w:rsidP="00D20465">
      <w:pPr>
        <w:autoSpaceDE w:val="0"/>
        <w:autoSpaceDN w:val="0"/>
        <w:adjustRightInd w:val="0"/>
        <w:spacing w:after="0" w:line="240" w:lineRule="auto"/>
        <w:jc w:val="both"/>
        <w:rPr>
          <w:rFonts w:ascii="Times New Roman" w:hAnsi="Times New Roman" w:cs="Times New Roman"/>
          <w:lang w:val="pl-PL"/>
        </w:rPr>
      </w:pPr>
      <w:r w:rsidRPr="003D7CA4">
        <w:rPr>
          <w:rFonts w:ascii="Times New Roman" w:hAnsi="Times New Roman" w:cs="Times New Roman"/>
          <w:i/>
          <w:iCs/>
          <w:lang w:val="pl-PL"/>
        </w:rPr>
        <w:t xml:space="preserve">Częstość nieznana: </w:t>
      </w:r>
      <w:r w:rsidRPr="003D7CA4">
        <w:rPr>
          <w:rFonts w:ascii="Times New Roman" w:hAnsi="Times New Roman" w:cs="Times New Roman"/>
          <w:lang w:val="pl-PL"/>
        </w:rPr>
        <w:t xml:space="preserve">polekowy wykwit trwały, zespół Stevensa-Johnsona lub zespół </w:t>
      </w:r>
      <w:proofErr w:type="spellStart"/>
      <w:r w:rsidRPr="003D7CA4">
        <w:rPr>
          <w:rFonts w:ascii="Times New Roman" w:hAnsi="Times New Roman" w:cs="Times New Roman"/>
          <w:lang w:val="pl-PL"/>
        </w:rPr>
        <w:t>Lyella</w:t>
      </w:r>
      <w:proofErr w:type="spellEnd"/>
      <w:r w:rsidRPr="003D7CA4">
        <w:rPr>
          <w:rFonts w:ascii="Times New Roman" w:hAnsi="Times New Roman" w:cs="Times New Roman"/>
          <w:lang w:val="pl-PL"/>
        </w:rPr>
        <w:t xml:space="preserve"> (toksyczne martwicze oddzielanie się naskórka (TEN)), reakcja polekowa z eozynofilią i objawami ogólnoustrojowymi (DRESS) (patrz punkt 4.4).</w:t>
      </w:r>
    </w:p>
    <w:p w14:paraId="5139EC31" w14:textId="2C18B72C" w:rsidR="00191536" w:rsidRPr="003D7CA4" w:rsidRDefault="00191536"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W związku z leczeniem metamizolem opisywano ciężkie skórne działania niepożądane, w tym zespół Stevensa-Johnsona (SJS), toksyczne martwicze oddzielanie się naskórka (TEN) oraz reakcje polekowe z eozynofilią i objawami układowymi (DRESS) (patrz punkt 4.4).</w:t>
      </w:r>
    </w:p>
    <w:p w14:paraId="5637C473" w14:textId="77777777" w:rsidR="009365CB" w:rsidRPr="003D7CA4" w:rsidRDefault="009365CB" w:rsidP="00D20465">
      <w:pPr>
        <w:autoSpaceDE w:val="0"/>
        <w:autoSpaceDN w:val="0"/>
        <w:adjustRightInd w:val="0"/>
        <w:spacing w:after="0" w:line="240" w:lineRule="auto"/>
        <w:jc w:val="both"/>
        <w:rPr>
          <w:rFonts w:ascii="Times New Roman" w:eastAsia="TimesNewRoman" w:hAnsi="Times New Roman" w:cs="Times New Roman"/>
          <w:lang w:val="pl-PL"/>
        </w:rPr>
      </w:pPr>
    </w:p>
    <w:p w14:paraId="40C13404"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Zaburzenia naczyniowe</w:t>
      </w:r>
    </w:p>
    <w:p w14:paraId="4F50D8F1" w14:textId="6A643938" w:rsidR="00A82042"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i/>
          <w:iCs/>
          <w:lang w:val="pl-PL"/>
        </w:rPr>
        <w:t xml:space="preserve">Częstość nieznana: </w:t>
      </w:r>
      <w:r w:rsidRPr="003D7CA4">
        <w:rPr>
          <w:rFonts w:ascii="Times New Roman" w:hAnsi="Times New Roman" w:cs="Times New Roman"/>
          <w:lang w:val="pl-PL"/>
        </w:rPr>
        <w:t>izolowane niedociśnienie.</w:t>
      </w:r>
    </w:p>
    <w:p w14:paraId="40C13406" w14:textId="3538E688" w:rsidR="000B30ED" w:rsidRPr="003D7CA4" w:rsidRDefault="00A82042"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Po zastosowaniu produktu leczniczego może wystąpić izolowane, przemijające niedociśnienie (prawdopodobnie indukowane farmakologicznie bez towarzyszących objawów reakcji anafilaktycznej</w:t>
      </w:r>
      <w:r w:rsidR="0079596C">
        <w:rPr>
          <w:rFonts w:ascii="Times New Roman" w:hAnsi="Times New Roman" w:cs="Times New Roman"/>
          <w:lang w:val="pl-PL"/>
        </w:rPr>
        <w:t xml:space="preserve"> </w:t>
      </w:r>
      <w:r w:rsidR="0079596C" w:rsidRPr="0079596C">
        <w:rPr>
          <w:rFonts w:ascii="Times New Roman" w:hAnsi="Times New Roman" w:cs="Times New Roman"/>
          <w:lang w:val="pl-PL"/>
        </w:rPr>
        <w:t>i</w:t>
      </w:r>
      <w:r w:rsidR="00754B5C">
        <w:rPr>
          <w:rFonts w:ascii="Times New Roman" w:hAnsi="Times New Roman" w:cs="Times New Roman"/>
          <w:lang w:val="pl-PL"/>
        </w:rPr>
        <w:t xml:space="preserve"> </w:t>
      </w:r>
      <w:r w:rsidR="0079596C" w:rsidRPr="0079596C">
        <w:rPr>
          <w:rFonts w:ascii="Times New Roman" w:hAnsi="Times New Roman" w:cs="Times New Roman"/>
          <w:lang w:val="pl-PL"/>
        </w:rPr>
        <w:t xml:space="preserve">(lub) </w:t>
      </w:r>
      <w:proofErr w:type="spellStart"/>
      <w:r w:rsidRPr="003D7CA4">
        <w:rPr>
          <w:rFonts w:ascii="Times New Roman" w:hAnsi="Times New Roman" w:cs="Times New Roman"/>
          <w:lang w:val="pl-PL"/>
        </w:rPr>
        <w:t>anafilaktoidalnej</w:t>
      </w:r>
      <w:proofErr w:type="spellEnd"/>
      <w:r w:rsidRPr="003D7CA4">
        <w:rPr>
          <w:rFonts w:ascii="Times New Roman" w:hAnsi="Times New Roman" w:cs="Times New Roman"/>
          <w:lang w:val="pl-PL"/>
        </w:rPr>
        <w:t xml:space="preserve">); w rzadkich przypadkach reakcja ta ma postać krytycznego spadku ciśnienia krwi. Ryzyko wystąpienia takiego niedociśnienia może zwiększać szybkie wykonanie wstrzyknięcia dożylnego. </w:t>
      </w:r>
    </w:p>
    <w:p w14:paraId="7C17A2F1" w14:textId="77777777" w:rsidR="002212BC" w:rsidRPr="003D7CA4" w:rsidRDefault="002212BC" w:rsidP="00D20465">
      <w:pPr>
        <w:spacing w:after="0" w:line="240" w:lineRule="auto"/>
        <w:jc w:val="both"/>
        <w:rPr>
          <w:rFonts w:ascii="Times New Roman" w:hAnsi="Times New Roman" w:cs="Times New Roman"/>
          <w:b/>
          <w:bCs/>
          <w:lang w:val="pl-PL"/>
        </w:rPr>
      </w:pPr>
    </w:p>
    <w:p w14:paraId="31A36115" w14:textId="282A5BFC" w:rsidR="002212BC" w:rsidRPr="003D7CA4" w:rsidRDefault="002212BC" w:rsidP="00D20465">
      <w:pPr>
        <w:spacing w:after="0" w:line="240" w:lineRule="auto"/>
        <w:jc w:val="both"/>
        <w:rPr>
          <w:rFonts w:ascii="Times New Roman" w:hAnsi="Times New Roman" w:cs="Times New Roman"/>
          <w:lang w:val="pl-PL"/>
        </w:rPr>
      </w:pPr>
      <w:r w:rsidRPr="003D7CA4">
        <w:rPr>
          <w:rFonts w:ascii="Times New Roman" w:hAnsi="Times New Roman" w:cs="Times New Roman"/>
          <w:b/>
          <w:bCs/>
          <w:lang w:val="pl-PL"/>
        </w:rPr>
        <w:t>Zaburzenia ogólne i stany w miejscu podania</w:t>
      </w:r>
    </w:p>
    <w:p w14:paraId="63D02B9B" w14:textId="77777777" w:rsidR="002212BC" w:rsidRPr="003D7CA4" w:rsidRDefault="002212BC" w:rsidP="00D20465">
      <w:pPr>
        <w:spacing w:line="240" w:lineRule="auto"/>
        <w:jc w:val="both"/>
        <w:rPr>
          <w:rFonts w:ascii="Times New Roman" w:hAnsi="Times New Roman" w:cs="Times New Roman"/>
          <w:lang w:val="pl-PL"/>
        </w:rPr>
      </w:pPr>
      <w:r w:rsidRPr="003D7CA4">
        <w:rPr>
          <w:rFonts w:ascii="Times New Roman" w:hAnsi="Times New Roman" w:cs="Times New Roman"/>
          <w:i/>
          <w:iCs/>
          <w:lang w:val="pl-PL"/>
        </w:rPr>
        <w:t>Częstość nieznana</w:t>
      </w:r>
      <w:r w:rsidRPr="003D7CA4">
        <w:rPr>
          <w:rFonts w:ascii="Times New Roman" w:hAnsi="Times New Roman" w:cs="Times New Roman"/>
          <w:lang w:val="pl-PL"/>
        </w:rPr>
        <w:t>: reakcja w miejscu podania.</w:t>
      </w:r>
    </w:p>
    <w:p w14:paraId="4425D65D" w14:textId="77777777" w:rsidR="002212BC" w:rsidRPr="003D7CA4" w:rsidRDefault="002212BC"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W miejscu wstrzyknięcia mogą wystąpić ból i reakcje miejscowe. Mogą one czasami obejmować zapalenie żył.</w:t>
      </w:r>
    </w:p>
    <w:p w14:paraId="06D168C7" w14:textId="77777777" w:rsidR="008C067C" w:rsidRPr="003D7CA4" w:rsidRDefault="008C067C" w:rsidP="00D20465">
      <w:pPr>
        <w:tabs>
          <w:tab w:val="left" w:pos="567"/>
        </w:tabs>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lastRenderedPageBreak/>
        <w:t>Zaburzenia wątroby i dróg żółciowych</w:t>
      </w:r>
    </w:p>
    <w:p w14:paraId="4A40ADA2" w14:textId="38533BD8" w:rsidR="003833A9" w:rsidRPr="003D7CA4" w:rsidRDefault="008C067C" w:rsidP="00D20465">
      <w:pPr>
        <w:tabs>
          <w:tab w:val="left" w:pos="567"/>
        </w:tabs>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i/>
          <w:iCs/>
          <w:lang w:val="pl-PL"/>
        </w:rPr>
        <w:t>Częstość nieznana</w:t>
      </w:r>
      <w:r w:rsidRPr="003D7CA4">
        <w:rPr>
          <w:rFonts w:ascii="Times New Roman" w:hAnsi="Times New Roman" w:cs="Times New Roman"/>
          <w:b/>
          <w:bCs/>
          <w:i/>
          <w:iCs/>
          <w:lang w:val="pl-PL"/>
        </w:rPr>
        <w:t xml:space="preserve">: </w:t>
      </w:r>
      <w:r w:rsidRPr="003D7CA4">
        <w:rPr>
          <w:rFonts w:ascii="Times New Roman" w:hAnsi="Times New Roman" w:cs="Times New Roman"/>
          <w:lang w:val="pl-PL"/>
        </w:rPr>
        <w:t>polekowe uszkodzenie wątroby, w tym ostre zapalenie wątroby, żółtaczka, zwiększenie aktywności enzymów wątrobowych (patrz punkt 4.4).</w:t>
      </w:r>
    </w:p>
    <w:p w14:paraId="1ABC6347" w14:textId="77777777" w:rsidR="003833A9" w:rsidRPr="003D7CA4" w:rsidRDefault="003833A9" w:rsidP="00D20465">
      <w:pPr>
        <w:tabs>
          <w:tab w:val="left" w:pos="567"/>
        </w:tabs>
        <w:autoSpaceDE w:val="0"/>
        <w:autoSpaceDN w:val="0"/>
        <w:adjustRightInd w:val="0"/>
        <w:spacing w:after="0" w:line="240" w:lineRule="auto"/>
        <w:jc w:val="both"/>
        <w:rPr>
          <w:rFonts w:ascii="Times New Roman" w:eastAsia="Times New Roman" w:hAnsi="Times New Roman" w:cs="Times New Roman"/>
          <w:b/>
          <w:i/>
          <w:lang w:val="pl-PL"/>
        </w:rPr>
      </w:pPr>
    </w:p>
    <w:p w14:paraId="40C13413" w14:textId="77777777" w:rsidR="009A16FB" w:rsidRPr="003D7CA4" w:rsidRDefault="009A16FB" w:rsidP="00D20465">
      <w:pPr>
        <w:tabs>
          <w:tab w:val="left" w:pos="567"/>
        </w:tabs>
        <w:autoSpaceDE w:val="0"/>
        <w:autoSpaceDN w:val="0"/>
        <w:adjustRightInd w:val="0"/>
        <w:spacing w:after="0" w:line="240" w:lineRule="auto"/>
        <w:jc w:val="both"/>
        <w:rPr>
          <w:rFonts w:ascii="Times New Roman" w:eastAsia="Times New Roman" w:hAnsi="Times New Roman" w:cs="Times New Roman"/>
          <w:u w:val="single"/>
          <w:lang w:val="pl-PL"/>
        </w:rPr>
      </w:pPr>
      <w:r w:rsidRPr="003D7CA4">
        <w:rPr>
          <w:rFonts w:ascii="Times New Roman" w:eastAsia="Times New Roman" w:hAnsi="Times New Roman" w:cs="Times New Roman"/>
          <w:u w:val="single"/>
          <w:lang w:val="pl-PL"/>
        </w:rPr>
        <w:t>Zgłaszanie podejrzewanych działań niepożądanych</w:t>
      </w:r>
    </w:p>
    <w:p w14:paraId="3580B738" w14:textId="5F8A3636" w:rsidR="001359A7" w:rsidRPr="003D7CA4" w:rsidRDefault="009A16FB" w:rsidP="00D20465">
      <w:pPr>
        <w:tabs>
          <w:tab w:val="left" w:pos="567"/>
        </w:tabs>
        <w:autoSpaceDE w:val="0"/>
        <w:autoSpaceDN w:val="0"/>
        <w:adjustRightInd w:val="0"/>
        <w:spacing w:after="0" w:line="240" w:lineRule="auto"/>
        <w:jc w:val="both"/>
        <w:rPr>
          <w:rFonts w:ascii="Times New Roman" w:eastAsia="Times New Roman" w:hAnsi="Times New Roman" w:cs="Times New Roman"/>
          <w:lang w:val="pl-PL"/>
        </w:rPr>
      </w:pPr>
      <w:r w:rsidRPr="003D7CA4">
        <w:rPr>
          <w:rFonts w:ascii="Times New Roman" w:eastAsia="Times New Roman" w:hAnsi="Times New Roman" w:cs="Times New Roman"/>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001359A7" w:rsidRPr="003D7CA4">
        <w:rPr>
          <w:rFonts w:ascii="Times New Roman" w:eastAsia="Times New Roman" w:hAnsi="Times New Roman" w:cs="Times New Roman"/>
          <w:lang w:val="pl-PL"/>
        </w:rPr>
        <w:t xml:space="preserve">Departamentu Monitorowania Niepożądanych Działań Produktów Leczniczych Urzędu Rejestracji Produktów Leczniczych, Wyrobów Medycznych i Produktów Biobójczych: </w:t>
      </w:r>
    </w:p>
    <w:p w14:paraId="2601B763" w14:textId="77777777" w:rsidR="001359A7" w:rsidRPr="003D7CA4" w:rsidRDefault="001359A7" w:rsidP="00D20465">
      <w:pPr>
        <w:tabs>
          <w:tab w:val="left" w:pos="567"/>
        </w:tabs>
        <w:autoSpaceDE w:val="0"/>
        <w:autoSpaceDN w:val="0"/>
        <w:adjustRightInd w:val="0"/>
        <w:spacing w:after="0" w:line="240" w:lineRule="auto"/>
        <w:jc w:val="both"/>
        <w:rPr>
          <w:rFonts w:ascii="Times New Roman" w:eastAsia="Times New Roman" w:hAnsi="Times New Roman" w:cs="Times New Roman"/>
          <w:lang w:val="pl-PL"/>
        </w:rPr>
      </w:pPr>
      <w:r w:rsidRPr="003D7CA4">
        <w:rPr>
          <w:rFonts w:ascii="Times New Roman" w:eastAsia="Times New Roman" w:hAnsi="Times New Roman" w:cs="Times New Roman"/>
          <w:lang w:val="pl-PL"/>
        </w:rPr>
        <w:t xml:space="preserve">Al. Jerozolimskie 181C, 02-222 Warszawa </w:t>
      </w:r>
    </w:p>
    <w:p w14:paraId="2AE514DA" w14:textId="77777777" w:rsidR="001359A7" w:rsidRPr="003D7CA4" w:rsidRDefault="001359A7" w:rsidP="00D20465">
      <w:pPr>
        <w:tabs>
          <w:tab w:val="left" w:pos="567"/>
        </w:tabs>
        <w:autoSpaceDE w:val="0"/>
        <w:autoSpaceDN w:val="0"/>
        <w:adjustRightInd w:val="0"/>
        <w:spacing w:after="0" w:line="240" w:lineRule="auto"/>
        <w:jc w:val="both"/>
        <w:rPr>
          <w:rFonts w:ascii="Times New Roman" w:eastAsia="Times New Roman" w:hAnsi="Times New Roman" w:cs="Times New Roman"/>
          <w:lang w:val="pl-PL"/>
        </w:rPr>
      </w:pPr>
      <w:r w:rsidRPr="003D7CA4">
        <w:rPr>
          <w:rFonts w:ascii="Times New Roman" w:eastAsia="Times New Roman" w:hAnsi="Times New Roman" w:cs="Times New Roman"/>
          <w:lang w:val="pl-PL"/>
        </w:rPr>
        <w:t xml:space="preserve">tel.: + 48 22 49-21-301, fax: +48 22 49-21-309 </w:t>
      </w:r>
    </w:p>
    <w:p w14:paraId="1BE2B90D" w14:textId="77777777" w:rsidR="00D750A3" w:rsidRPr="003D7CA4" w:rsidRDefault="00D750A3" w:rsidP="00D20465">
      <w:pPr>
        <w:tabs>
          <w:tab w:val="left" w:pos="567"/>
        </w:tabs>
        <w:autoSpaceDE w:val="0"/>
        <w:autoSpaceDN w:val="0"/>
        <w:adjustRightInd w:val="0"/>
        <w:spacing w:after="0" w:line="240" w:lineRule="auto"/>
        <w:jc w:val="both"/>
        <w:rPr>
          <w:rFonts w:ascii="Times New Roman" w:eastAsia="Times New Roman" w:hAnsi="Times New Roman" w:cs="Times New Roman"/>
          <w:lang w:val="pl-PL"/>
        </w:rPr>
      </w:pPr>
      <w:r w:rsidRPr="003D7CA4">
        <w:rPr>
          <w:rFonts w:ascii="Times New Roman" w:eastAsia="Times New Roman" w:hAnsi="Times New Roman" w:cs="Times New Roman"/>
          <w:lang w:val="pl-PL"/>
        </w:rPr>
        <w:t>Strona internetowa: https://smz.ezdrowie.gov.pl</w:t>
      </w:r>
    </w:p>
    <w:p w14:paraId="40C13415" w14:textId="5629C7CC" w:rsidR="00867A26" w:rsidRPr="003D7CA4" w:rsidRDefault="001359A7" w:rsidP="00D20465">
      <w:pPr>
        <w:tabs>
          <w:tab w:val="left" w:pos="567"/>
        </w:tabs>
        <w:autoSpaceDE w:val="0"/>
        <w:autoSpaceDN w:val="0"/>
        <w:adjustRightInd w:val="0"/>
        <w:spacing w:after="0" w:line="240" w:lineRule="auto"/>
        <w:jc w:val="both"/>
        <w:rPr>
          <w:rFonts w:ascii="Times New Roman" w:eastAsia="Times New Roman" w:hAnsi="Times New Roman" w:cs="Times New Roman"/>
          <w:lang w:val="pl-PL"/>
        </w:rPr>
      </w:pPr>
      <w:r w:rsidRPr="003D7CA4">
        <w:rPr>
          <w:rFonts w:ascii="Times New Roman" w:eastAsia="Times New Roman" w:hAnsi="Times New Roman" w:cs="Times New Roman"/>
          <w:lang w:val="pl-PL"/>
        </w:rPr>
        <w:t>Działania niepożądane można zgłaszać również podmiotowi odpowiedzialnemu.</w:t>
      </w:r>
    </w:p>
    <w:p w14:paraId="67F029FF" w14:textId="77777777" w:rsidR="001359A7" w:rsidRPr="003D7CA4" w:rsidRDefault="001359A7" w:rsidP="00D20465">
      <w:pPr>
        <w:tabs>
          <w:tab w:val="left" w:pos="567"/>
        </w:tabs>
        <w:autoSpaceDE w:val="0"/>
        <w:autoSpaceDN w:val="0"/>
        <w:adjustRightInd w:val="0"/>
        <w:spacing w:after="0" w:line="240" w:lineRule="auto"/>
        <w:jc w:val="both"/>
        <w:rPr>
          <w:rFonts w:ascii="Times New Roman" w:eastAsia="TimesNewRoman" w:hAnsi="Times New Roman" w:cs="Times New Roman"/>
          <w:lang w:val="pl-PL"/>
        </w:rPr>
      </w:pPr>
    </w:p>
    <w:p w14:paraId="40C13416"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4.9 Przedawkowanie</w:t>
      </w:r>
    </w:p>
    <w:p w14:paraId="40C13417"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53DCC3F3" w14:textId="62F0BB9B" w:rsidR="004E1767" w:rsidRPr="003D7CA4" w:rsidRDefault="00BA07EF" w:rsidP="00D20465">
      <w:pPr>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W przypadku ostrego przedawkowania obserwowano nudności, wymioty, bóle w jamie brzusznej, zaburzenia czynności nerek</w:t>
      </w:r>
      <w:r w:rsidR="005C6303" w:rsidRPr="00E71AE2">
        <w:rPr>
          <w:lang w:val="pl-PL"/>
        </w:rPr>
        <w:t xml:space="preserve"> </w:t>
      </w:r>
      <w:r w:rsidR="005C6303" w:rsidRPr="005C6303">
        <w:rPr>
          <w:rFonts w:ascii="Times New Roman" w:hAnsi="Times New Roman" w:cs="Times New Roman"/>
          <w:lang w:val="pl-PL"/>
        </w:rPr>
        <w:t>i</w:t>
      </w:r>
      <w:r w:rsidR="00754B5C">
        <w:rPr>
          <w:rFonts w:ascii="Times New Roman" w:hAnsi="Times New Roman" w:cs="Times New Roman"/>
          <w:lang w:val="pl-PL"/>
        </w:rPr>
        <w:t xml:space="preserve"> </w:t>
      </w:r>
      <w:r w:rsidR="005C6303" w:rsidRPr="005C6303">
        <w:rPr>
          <w:rFonts w:ascii="Times New Roman" w:hAnsi="Times New Roman" w:cs="Times New Roman"/>
          <w:lang w:val="pl-PL"/>
        </w:rPr>
        <w:t>(lub)</w:t>
      </w:r>
      <w:r w:rsidR="005C6303">
        <w:rPr>
          <w:rFonts w:ascii="Times New Roman" w:hAnsi="Times New Roman" w:cs="Times New Roman"/>
          <w:lang w:val="pl-PL"/>
        </w:rPr>
        <w:t xml:space="preserve"> </w:t>
      </w:r>
      <w:r w:rsidRPr="003D7CA4">
        <w:rPr>
          <w:rFonts w:ascii="Times New Roman" w:hAnsi="Times New Roman" w:cs="Times New Roman"/>
          <w:lang w:val="pl-PL"/>
        </w:rPr>
        <w:t xml:space="preserve">ostrą niewydolność nerek (np. w postaci śródmiąższowego zapalenia nerek) i rzadziej objawy ze strony ośrodkowego układu nerwowego (zawroty głowy, senność, śpiączkę, napady drgawkowe) oraz niedociśnienie, a nawet wstrząs i częstoskurcz. Po bardzo wysokich dawkach wydalanie kwasu </w:t>
      </w:r>
      <w:proofErr w:type="spellStart"/>
      <w:r w:rsidRPr="003D7CA4">
        <w:rPr>
          <w:rFonts w:ascii="Times New Roman" w:hAnsi="Times New Roman" w:cs="Times New Roman"/>
          <w:lang w:val="pl-PL"/>
        </w:rPr>
        <w:t>rubazonowego</w:t>
      </w:r>
      <w:proofErr w:type="spellEnd"/>
      <w:r w:rsidRPr="003D7CA4">
        <w:rPr>
          <w:rFonts w:ascii="Times New Roman" w:hAnsi="Times New Roman" w:cs="Times New Roman"/>
          <w:lang w:val="pl-PL"/>
        </w:rPr>
        <w:t xml:space="preserve"> może spowodować czerwone zabarwienie moczu.</w:t>
      </w:r>
    </w:p>
    <w:p w14:paraId="40C13419" w14:textId="6F2FE6DF"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p>
    <w:p w14:paraId="6675D538" w14:textId="77777777" w:rsidR="00BA07EF" w:rsidRPr="003D7CA4" w:rsidRDefault="00BA07EF" w:rsidP="00D20465">
      <w:pPr>
        <w:spacing w:line="240" w:lineRule="auto"/>
        <w:jc w:val="both"/>
        <w:rPr>
          <w:rFonts w:ascii="Times New Roman" w:hAnsi="Times New Roman" w:cs="Times New Roman"/>
          <w:lang w:val="pl-PL"/>
        </w:rPr>
      </w:pPr>
      <w:r w:rsidRPr="003D7CA4">
        <w:rPr>
          <w:rFonts w:ascii="Times New Roman" w:hAnsi="Times New Roman" w:cs="Times New Roman"/>
          <w:b/>
          <w:bCs/>
          <w:lang w:val="pl-PL"/>
        </w:rPr>
        <w:t>Postępowanie terapeutyczne w przypadku przedawkowania</w:t>
      </w:r>
    </w:p>
    <w:p w14:paraId="40C1341D" w14:textId="79A9F7B1" w:rsidR="000B30ED" w:rsidRPr="003D7CA4" w:rsidRDefault="0088626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Nie jest znane swoiste antidotum dla metamizolu. Jeśli metamizol został przyjęty niedawno, można podjąć próbę ograniczenia wchłaniania w organizmie w drodze pierwotnej detoksykacji (np. płukania żołądka) lub zastosowania środków zmniejszających wchłanianie (np. węgla aktywnego).</w:t>
      </w:r>
    </w:p>
    <w:p w14:paraId="42ECE1E4" w14:textId="77777777" w:rsidR="0088626D" w:rsidRPr="003D7CA4" w:rsidRDefault="0088626D" w:rsidP="00D20465">
      <w:pPr>
        <w:autoSpaceDE w:val="0"/>
        <w:autoSpaceDN w:val="0"/>
        <w:adjustRightInd w:val="0"/>
        <w:spacing w:after="0" w:line="240" w:lineRule="auto"/>
        <w:jc w:val="both"/>
        <w:rPr>
          <w:rFonts w:ascii="Times New Roman" w:eastAsia="TimesNewRoman" w:hAnsi="Times New Roman" w:cs="Times New Roman"/>
          <w:lang w:val="pl-PL"/>
        </w:rPr>
      </w:pPr>
    </w:p>
    <w:p w14:paraId="40C1341E" w14:textId="254B4091"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Główny metabolit, 4-N-metylo-amino-antypiryna, może być eliminowany w drodze dializy, </w:t>
      </w:r>
      <w:proofErr w:type="spellStart"/>
      <w:r w:rsidRPr="003D7CA4">
        <w:rPr>
          <w:rFonts w:ascii="Times New Roman" w:eastAsia="TimesNewRoman" w:hAnsi="Times New Roman" w:cs="Times New Roman"/>
          <w:lang w:val="pl-PL"/>
        </w:rPr>
        <w:t>hemofiltracji</w:t>
      </w:r>
      <w:proofErr w:type="spellEnd"/>
      <w:r w:rsidRPr="003D7CA4">
        <w:rPr>
          <w:rFonts w:ascii="Times New Roman" w:eastAsia="TimesNewRoman" w:hAnsi="Times New Roman" w:cs="Times New Roman"/>
          <w:lang w:val="pl-PL"/>
        </w:rPr>
        <w:t>, hemoperfuzji lub filtracji osocza.</w:t>
      </w:r>
    </w:p>
    <w:p w14:paraId="40C1341F" w14:textId="77777777" w:rsidR="00867A26" w:rsidRPr="003D7CA4" w:rsidRDefault="00867A26" w:rsidP="00D20465">
      <w:pPr>
        <w:autoSpaceDE w:val="0"/>
        <w:autoSpaceDN w:val="0"/>
        <w:adjustRightInd w:val="0"/>
        <w:spacing w:after="0" w:line="240" w:lineRule="auto"/>
        <w:jc w:val="both"/>
        <w:rPr>
          <w:rFonts w:ascii="Times New Roman" w:hAnsi="Times New Roman" w:cs="Times New Roman"/>
          <w:b/>
          <w:bCs/>
          <w:lang w:val="pl-PL"/>
        </w:rPr>
      </w:pPr>
    </w:p>
    <w:p w14:paraId="164DA80A" w14:textId="77777777" w:rsidR="001359A7" w:rsidRPr="003D7CA4" w:rsidRDefault="001359A7" w:rsidP="00D20465">
      <w:pPr>
        <w:autoSpaceDE w:val="0"/>
        <w:autoSpaceDN w:val="0"/>
        <w:adjustRightInd w:val="0"/>
        <w:spacing w:after="0" w:line="240" w:lineRule="auto"/>
        <w:jc w:val="both"/>
        <w:rPr>
          <w:rFonts w:ascii="Times New Roman" w:hAnsi="Times New Roman" w:cs="Times New Roman"/>
          <w:b/>
          <w:bCs/>
          <w:lang w:val="pl-PL"/>
        </w:rPr>
      </w:pPr>
    </w:p>
    <w:p w14:paraId="40C13421"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5. WŁAŚCIWOŚCI FARMAKOLOGICZNE</w:t>
      </w:r>
    </w:p>
    <w:p w14:paraId="40C13422" w14:textId="77777777" w:rsidR="00867A26" w:rsidRPr="003D7CA4" w:rsidRDefault="00867A26" w:rsidP="00D20465">
      <w:pPr>
        <w:autoSpaceDE w:val="0"/>
        <w:autoSpaceDN w:val="0"/>
        <w:adjustRightInd w:val="0"/>
        <w:spacing w:after="0" w:line="240" w:lineRule="auto"/>
        <w:jc w:val="both"/>
        <w:rPr>
          <w:rFonts w:ascii="Times New Roman" w:hAnsi="Times New Roman" w:cs="Times New Roman"/>
          <w:b/>
          <w:bCs/>
          <w:lang w:val="pl-PL"/>
        </w:rPr>
      </w:pPr>
    </w:p>
    <w:p w14:paraId="40C13423"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5.1 Właściwości farmakodynamiczne</w:t>
      </w:r>
    </w:p>
    <w:p w14:paraId="40C13424"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46BE34D8" w14:textId="3D213AE1" w:rsidR="00666114" w:rsidRPr="003D7CA4" w:rsidRDefault="000B30ED" w:rsidP="00D20465">
      <w:pPr>
        <w:spacing w:line="240" w:lineRule="auto"/>
        <w:jc w:val="both"/>
        <w:rPr>
          <w:rFonts w:ascii="Times New Roman" w:hAnsi="Times New Roman" w:cs="Times New Roman"/>
          <w:lang w:val="pl-PL"/>
        </w:rPr>
      </w:pPr>
      <w:r w:rsidRPr="003D7CA4">
        <w:rPr>
          <w:rFonts w:ascii="Times New Roman" w:hAnsi="Times New Roman" w:cs="Times New Roman"/>
          <w:lang w:val="pl-PL"/>
        </w:rPr>
        <w:t xml:space="preserve">Grupa farmakoterapeutyczna: </w:t>
      </w:r>
      <w:proofErr w:type="spellStart"/>
      <w:r w:rsidRPr="003D7CA4">
        <w:rPr>
          <w:rFonts w:ascii="Times New Roman" w:hAnsi="Times New Roman" w:cs="Times New Roman"/>
          <w:lang w:val="pl-PL"/>
        </w:rPr>
        <w:t>pirazolony</w:t>
      </w:r>
      <w:proofErr w:type="spellEnd"/>
      <w:r w:rsidRPr="003D7CA4">
        <w:rPr>
          <w:rFonts w:ascii="Times New Roman" w:hAnsi="Times New Roman" w:cs="Times New Roman"/>
          <w:lang w:val="pl-PL"/>
        </w:rPr>
        <w:t>, sól sodowa metamizolu, kod ATC: N02BB02</w:t>
      </w:r>
    </w:p>
    <w:p w14:paraId="40C13427" w14:textId="49BA0701" w:rsidR="000B30ED" w:rsidRPr="003D7CA4" w:rsidRDefault="00666114"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Metamizol jest niewywołującym uzależnienia lekiem przeciwbólowym, wykazującym działanie przeciwbólowe, przeciwgorączkowe i spazmolityczne.</w:t>
      </w:r>
    </w:p>
    <w:p w14:paraId="40C13428" w14:textId="070F0737" w:rsidR="000B30ED" w:rsidRPr="003D7CA4" w:rsidRDefault="00666114" w:rsidP="00D20465">
      <w:pPr>
        <w:autoSpaceDE w:val="0"/>
        <w:autoSpaceDN w:val="0"/>
        <w:adjustRightInd w:val="0"/>
        <w:spacing w:after="0" w:line="240" w:lineRule="auto"/>
        <w:jc w:val="both"/>
        <w:rPr>
          <w:rFonts w:ascii="Times New Roman" w:hAnsi="Times New Roman" w:cs="Times New Roman"/>
          <w:lang w:val="pl-PL"/>
        </w:rPr>
      </w:pPr>
      <w:r w:rsidRPr="003D7CA4">
        <w:rPr>
          <w:rFonts w:ascii="Times New Roman" w:hAnsi="Times New Roman" w:cs="Times New Roman"/>
          <w:lang w:val="pl-PL"/>
        </w:rPr>
        <w:t>Mechanizm działania nie został jeszcze w pełni wyjaśniony. Niektóre dane sugerują, że metamizol i jego główny metabolit (4-N-metylo-amino-antypiryna) działają prawdopodobnie zarówno poprzez ośrodkowy, jak i obwodowy układ nerwowy.</w:t>
      </w:r>
    </w:p>
    <w:p w14:paraId="40C13429"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40C1342A"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5.2 Właściwości farmakokinetyczne</w:t>
      </w:r>
    </w:p>
    <w:p w14:paraId="40C1342B"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2508E19C" w14:textId="089033DF" w:rsidR="009C37B9"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Farmakokinetyka metamizolu i jego pochodnych nie została w pełni zbadana; dostępne są jedynie następujące informacje: po podaniu doustnym metamizol ulega całkowitej hydrolizie w jelicie do substancji czynnej 4-metylo-amino-antypiryny (MAA).</w:t>
      </w:r>
    </w:p>
    <w:p w14:paraId="037678AB" w14:textId="3FC108D6" w:rsidR="00BD1D07"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lastRenderedPageBreak/>
        <w:t xml:space="preserve"> Dostępność biologiczna MAA wynosi około 90% i jest nieco większa po podaniu doustnym niż po podaniu dożylnym. Farmakokinetyka MAA nie ulega istotnej zmianie w przypadku przyjmowania metamizolu z posiłkiem.</w:t>
      </w:r>
    </w:p>
    <w:p w14:paraId="40C1342F" w14:textId="5D963ADF" w:rsidR="000B30ED" w:rsidRPr="003D7CA4" w:rsidRDefault="00BD1D07"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Za wpływ kliniczny odpowiada głównie MAA, ale w pewnym stopniu również 4-amino-antypiryna (AA).</w:t>
      </w:r>
    </w:p>
    <w:p w14:paraId="40C13430" w14:textId="4C92D75F"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Wartości AUC dla AA to około 25% AUC w przypadku MAA. Wydaje się, że metabolity 4-N-acetylo-amino-antypiryna (AAA) i 4-N-formylo-amino-antypiryna (FAA) nie wykazują wpływu klinicznego.</w:t>
      </w:r>
    </w:p>
    <w:p w14:paraId="4ADADD6B" w14:textId="45A5FA12" w:rsidR="004E1767" w:rsidRPr="003D7CA4" w:rsidRDefault="00BD1D07" w:rsidP="00D20465">
      <w:pPr>
        <w:autoSpaceDE w:val="0"/>
        <w:autoSpaceDN w:val="0"/>
        <w:adjustRightInd w:val="0"/>
        <w:spacing w:after="0" w:line="240" w:lineRule="auto"/>
        <w:jc w:val="both"/>
        <w:rPr>
          <w:rFonts w:ascii="Times New Roman" w:hAnsi="Times New Roman" w:cs="Times New Roman"/>
          <w:lang w:val="pl-PL"/>
        </w:rPr>
      </w:pPr>
      <w:r w:rsidRPr="003D7CA4">
        <w:rPr>
          <w:rFonts w:ascii="Times New Roman" w:hAnsi="Times New Roman" w:cs="Times New Roman"/>
          <w:lang w:val="pl-PL"/>
        </w:rPr>
        <w:t>Należy zauważyć, że wszystkie metabolity mają nieliniową farmakokinetykę. Konieczne jest przeprowadzenie dalszych badań. Podczas leczenia krótkoterminowego kumulacja metabolitów jest nieistotna.</w:t>
      </w:r>
    </w:p>
    <w:p w14:paraId="40C13432" w14:textId="77777777"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p>
    <w:p w14:paraId="40C13433" w14:textId="7EB71209" w:rsidR="000B30ED" w:rsidRPr="003D7CA4" w:rsidRDefault="00F34FCA"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Wiązanie z białkami osocza wynosiło 58%, 48%, 18% i 14% odpowiednio w przypadku MAA, AA, FAA i AAA.</w:t>
      </w:r>
    </w:p>
    <w:p w14:paraId="61B521F0" w14:textId="77777777" w:rsidR="006F02E0" w:rsidRPr="003D7CA4" w:rsidRDefault="006F02E0" w:rsidP="00D20465">
      <w:pPr>
        <w:autoSpaceDE w:val="0"/>
        <w:autoSpaceDN w:val="0"/>
        <w:adjustRightInd w:val="0"/>
        <w:spacing w:after="0" w:line="240" w:lineRule="auto"/>
        <w:jc w:val="both"/>
        <w:rPr>
          <w:rFonts w:ascii="Times New Roman" w:eastAsia="TimesNewRoman" w:hAnsi="Times New Roman" w:cs="Times New Roman"/>
          <w:lang w:val="pl-PL"/>
        </w:rPr>
      </w:pPr>
    </w:p>
    <w:p w14:paraId="7DAF7D85" w14:textId="5BD80F54" w:rsidR="00DF7B2F" w:rsidRPr="003D7CA4" w:rsidRDefault="00DF7B2F"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Po podaniu dożylnym okres półtrwania metamizolu w osoczu wynosi około 14 minut. Po podaniu dożylnym około 96% dawki znakowanej izotopem promieniotwórczym jest wykrywane w moczu, a około 6% — w kale. Stwierdzono, że po podaniu pojedynczej dawki doustnej 85% metabolitów jest eliminowanych z moczem.</w:t>
      </w:r>
    </w:p>
    <w:p w14:paraId="58F94C72" w14:textId="77777777" w:rsidR="00DF7B2F" w:rsidRPr="003D7CA4" w:rsidRDefault="00DF7B2F" w:rsidP="00D20465">
      <w:pPr>
        <w:autoSpaceDE w:val="0"/>
        <w:autoSpaceDN w:val="0"/>
        <w:adjustRightInd w:val="0"/>
        <w:spacing w:after="0" w:line="240" w:lineRule="auto"/>
        <w:jc w:val="both"/>
        <w:rPr>
          <w:rFonts w:ascii="Times New Roman" w:eastAsia="TimesNewRoman" w:hAnsi="Times New Roman" w:cs="Times New Roman"/>
          <w:lang w:val="pl-PL"/>
        </w:rPr>
      </w:pPr>
    </w:p>
    <w:p w14:paraId="2EB84AA1" w14:textId="5383B01B" w:rsidR="000D4A47" w:rsidRPr="003D7CA4" w:rsidRDefault="00DF7B2F"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Spośród nich MAA stanowił 3% ± 1%, AA 6% ±3 %, AAA 26% ± 8%, natomiast FAA — 23% ± 4%. </w:t>
      </w:r>
      <w:proofErr w:type="spellStart"/>
      <w:r w:rsidRPr="003D7CA4">
        <w:rPr>
          <w:rFonts w:ascii="Times New Roman" w:hAnsi="Times New Roman" w:cs="Times New Roman"/>
          <w:lang w:val="pl-PL"/>
        </w:rPr>
        <w:t>Klirens</w:t>
      </w:r>
      <w:proofErr w:type="spellEnd"/>
      <w:r w:rsidRPr="003D7CA4">
        <w:rPr>
          <w:rFonts w:ascii="Times New Roman" w:hAnsi="Times New Roman" w:cs="Times New Roman"/>
          <w:lang w:val="pl-PL"/>
        </w:rPr>
        <w:t xml:space="preserve"> nerkowy po podaniu pojedynczej dawki doustnej 1 g metamizolu wynosił 5 ml ± 2 ml/min, 38 ml ± 13 ml/min, 61 ml ± 8 ml/min i 49 ml ± 5 ml/min odpowiednio w przypadku MAA, AA, AAA i FAA. </w:t>
      </w:r>
    </w:p>
    <w:p w14:paraId="40C13435" w14:textId="4B23C024" w:rsidR="000B30ED" w:rsidRPr="003D7CA4" w:rsidRDefault="000D4A47"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Powiązany okres półtrwania w osoczu wynosił 2,7 ± 0,5 godz., 3,7 ± 1,3 godz., 9,5 ± 1,5 godz. i 11,2 ± 1,5 godz. odpowiednio w przypadku MAA, AA, AAA i FAA. W przypadku leczenia pacjentów w podeszłym wieku pole pod krzywą (AUC) ulega od 2- do 3-krotnemu zwiększeniu. Po podaniu doustnym pojedynczej dawki okres półtrwania MAA i FAA u pacjentów z marskością wątroby uległ około 3-krotnemu wydłużeniu (10 godzin), podczas gdy okres półtrwania AA i AAA nie uległ wydłużeniu w tym samym stopniu.</w:t>
      </w:r>
    </w:p>
    <w:p w14:paraId="53BF5283" w14:textId="77777777" w:rsidR="004C370F" w:rsidRPr="003D7CA4" w:rsidRDefault="004C370F" w:rsidP="00D20465">
      <w:pPr>
        <w:autoSpaceDE w:val="0"/>
        <w:autoSpaceDN w:val="0"/>
        <w:adjustRightInd w:val="0"/>
        <w:spacing w:after="0" w:line="240" w:lineRule="auto"/>
        <w:jc w:val="both"/>
        <w:rPr>
          <w:rFonts w:ascii="Times New Roman" w:eastAsia="TimesNewRoman" w:hAnsi="Times New Roman" w:cs="Times New Roman"/>
          <w:lang w:val="pl-PL"/>
        </w:rPr>
      </w:pPr>
    </w:p>
    <w:p w14:paraId="40C13438" w14:textId="607C52BC" w:rsidR="00867A26"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Pacjenci z zaburzeniami czynności nerek nie zostali szczegółowo przebadani. Dostępne dane wskazują na zmniejszone tempo eliminacji niektórych metabolitów (AAA i FAA).</w:t>
      </w:r>
    </w:p>
    <w:p w14:paraId="3ACEC817" w14:textId="29DEDE04" w:rsidR="001359A7" w:rsidRPr="003D7CA4" w:rsidRDefault="001359A7" w:rsidP="00D20465">
      <w:pPr>
        <w:autoSpaceDE w:val="0"/>
        <w:autoSpaceDN w:val="0"/>
        <w:adjustRightInd w:val="0"/>
        <w:spacing w:after="0" w:line="240" w:lineRule="auto"/>
        <w:jc w:val="both"/>
        <w:rPr>
          <w:rFonts w:ascii="Times New Roman" w:hAnsi="Times New Roman" w:cs="Times New Roman"/>
          <w:b/>
          <w:bCs/>
          <w:lang w:val="pl-PL"/>
        </w:rPr>
      </w:pPr>
    </w:p>
    <w:p w14:paraId="65F81A1D" w14:textId="77777777" w:rsidR="001359A7" w:rsidRPr="003D7CA4" w:rsidRDefault="001359A7" w:rsidP="00D20465">
      <w:pPr>
        <w:autoSpaceDE w:val="0"/>
        <w:autoSpaceDN w:val="0"/>
        <w:adjustRightInd w:val="0"/>
        <w:spacing w:after="0" w:line="240" w:lineRule="auto"/>
        <w:jc w:val="both"/>
        <w:rPr>
          <w:rFonts w:ascii="Times New Roman" w:hAnsi="Times New Roman" w:cs="Times New Roman"/>
          <w:b/>
          <w:bCs/>
          <w:lang w:val="pl-PL"/>
        </w:rPr>
      </w:pPr>
    </w:p>
    <w:p w14:paraId="40C13439" w14:textId="193AD60B"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5.3 Przedkliniczne dane o bezpieczeństwie</w:t>
      </w:r>
    </w:p>
    <w:p w14:paraId="40C1343A" w14:textId="77777777" w:rsidR="00867A26" w:rsidRPr="003D7CA4" w:rsidRDefault="00867A26" w:rsidP="00D20465">
      <w:pPr>
        <w:autoSpaceDE w:val="0"/>
        <w:autoSpaceDN w:val="0"/>
        <w:adjustRightInd w:val="0"/>
        <w:spacing w:after="0" w:line="240" w:lineRule="auto"/>
        <w:jc w:val="both"/>
        <w:rPr>
          <w:rFonts w:ascii="Times New Roman" w:hAnsi="Times New Roman" w:cs="Times New Roman"/>
          <w:b/>
          <w:bCs/>
          <w:lang w:val="pl-PL"/>
        </w:rPr>
      </w:pPr>
    </w:p>
    <w:p w14:paraId="40C1343B"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Toksyczność ostra</w:t>
      </w:r>
    </w:p>
    <w:p w14:paraId="40C1343C" w14:textId="77777777"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Minimalna wartość LD metamizolu u myszy i szczurów: około 4000 mg/kg mc. w przypadku dawki doustnej; około 2300 mg metamizolu na kg masy ciała lub 400 mg MAA na kg masy ciała w przypadku podania dożylnego.</w:t>
      </w:r>
    </w:p>
    <w:p w14:paraId="15B667B3" w14:textId="7A0EC27E" w:rsidR="00F34FCA" w:rsidRPr="003D7CA4" w:rsidRDefault="00F34FCA"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Do objawów zatrucia należały: przyspieszenie oddechu, sedacja oraz drgawki przedśmiertne.</w:t>
      </w:r>
    </w:p>
    <w:p w14:paraId="0CC46462" w14:textId="77777777" w:rsidR="000C68B1" w:rsidRPr="003D7CA4" w:rsidRDefault="000C68B1" w:rsidP="00D20465">
      <w:pPr>
        <w:autoSpaceDE w:val="0"/>
        <w:autoSpaceDN w:val="0"/>
        <w:adjustRightInd w:val="0"/>
        <w:spacing w:after="0" w:line="240" w:lineRule="auto"/>
        <w:jc w:val="both"/>
        <w:rPr>
          <w:rFonts w:ascii="Times New Roman" w:eastAsia="TimesNewRoman" w:hAnsi="Times New Roman" w:cs="Times New Roman"/>
          <w:lang w:val="pl-PL"/>
        </w:rPr>
      </w:pPr>
    </w:p>
    <w:p w14:paraId="40C1343F"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Toksyczność przewlekła</w:t>
      </w:r>
    </w:p>
    <w:p w14:paraId="40C13440" w14:textId="77777777"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Dożylne wstrzyknięcia u szczurów (150 mg/kg mc. na dobę) i psów (50 mg/kg mc. na dobę) były tolerowane przez 4 tygodnie.</w:t>
      </w:r>
    </w:p>
    <w:p w14:paraId="07942DBB" w14:textId="358EF879" w:rsidR="00F34FCA" w:rsidRPr="003D7CA4" w:rsidRDefault="00F34FCA"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Badania dotyczące toksyczności przewlekłej po podaniu doustnym prowadzono u szczurów i psów przez okres 6 miesięcy. Dobowe dawki do 300 mg/kg mc. u szczurów i 100 mg/kg mc. u psów nie powodowały żadnych objawów zatrucia. Większe dawki u obu gatunków powodowały zmiany parametrów biochemicznych w surowicy i hemosyderozę w wątrobie i śledzionie. Obserwowano również objawy niedokrwistości i działania toksyczne w odniesieniu do szpiku kostnego.</w:t>
      </w:r>
    </w:p>
    <w:p w14:paraId="6DA0D253" w14:textId="77777777" w:rsidR="00F34FCA" w:rsidRDefault="00F34FCA" w:rsidP="00D20465">
      <w:pPr>
        <w:autoSpaceDE w:val="0"/>
        <w:autoSpaceDN w:val="0"/>
        <w:adjustRightInd w:val="0"/>
        <w:spacing w:after="0" w:line="240" w:lineRule="auto"/>
        <w:jc w:val="both"/>
        <w:rPr>
          <w:rFonts w:ascii="Times New Roman" w:eastAsia="TimesNewRoman" w:hAnsi="Times New Roman" w:cs="Times New Roman"/>
          <w:lang w:val="pl-PL"/>
        </w:rPr>
      </w:pPr>
    </w:p>
    <w:p w14:paraId="6C18252C" w14:textId="77777777" w:rsidR="005B5104" w:rsidRDefault="005B5104" w:rsidP="00D20465">
      <w:pPr>
        <w:autoSpaceDE w:val="0"/>
        <w:autoSpaceDN w:val="0"/>
        <w:adjustRightInd w:val="0"/>
        <w:spacing w:after="0" w:line="240" w:lineRule="auto"/>
        <w:jc w:val="both"/>
        <w:rPr>
          <w:rFonts w:ascii="Times New Roman" w:eastAsia="TimesNewRoman" w:hAnsi="Times New Roman" w:cs="Times New Roman"/>
          <w:lang w:val="pl-PL"/>
        </w:rPr>
      </w:pPr>
    </w:p>
    <w:p w14:paraId="26A3ACA3" w14:textId="77777777" w:rsidR="005B5104" w:rsidRDefault="005B5104" w:rsidP="00D20465">
      <w:pPr>
        <w:autoSpaceDE w:val="0"/>
        <w:autoSpaceDN w:val="0"/>
        <w:adjustRightInd w:val="0"/>
        <w:spacing w:after="0" w:line="240" w:lineRule="auto"/>
        <w:jc w:val="both"/>
        <w:rPr>
          <w:rFonts w:ascii="Times New Roman" w:eastAsia="TimesNewRoman" w:hAnsi="Times New Roman" w:cs="Times New Roman"/>
          <w:lang w:val="pl-PL"/>
        </w:rPr>
      </w:pPr>
    </w:p>
    <w:p w14:paraId="7F31D24F" w14:textId="77777777" w:rsidR="005B5104" w:rsidRPr="003D7CA4" w:rsidRDefault="005B5104" w:rsidP="00D20465">
      <w:pPr>
        <w:autoSpaceDE w:val="0"/>
        <w:autoSpaceDN w:val="0"/>
        <w:adjustRightInd w:val="0"/>
        <w:spacing w:after="0" w:line="240" w:lineRule="auto"/>
        <w:jc w:val="both"/>
        <w:rPr>
          <w:rFonts w:ascii="Times New Roman" w:eastAsia="TimesNewRoman" w:hAnsi="Times New Roman" w:cs="Times New Roman"/>
          <w:lang w:val="pl-PL"/>
        </w:rPr>
      </w:pPr>
    </w:p>
    <w:p w14:paraId="40C13443"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lastRenderedPageBreak/>
        <w:t>Mutagenność</w:t>
      </w:r>
    </w:p>
    <w:p w14:paraId="40C13444" w14:textId="6EF7BE1E"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W piśmiennictwie opisano zarówno wyniki dodatnie, jak i ujemne. Jednakże badania w warunkach </w:t>
      </w:r>
      <w:r w:rsidRPr="003D7CA4">
        <w:rPr>
          <w:rFonts w:ascii="Times New Roman" w:hAnsi="Times New Roman" w:cs="Times New Roman"/>
          <w:i/>
          <w:iCs/>
          <w:lang w:val="pl-PL"/>
        </w:rPr>
        <w:t>in vitro</w:t>
      </w:r>
      <w:r w:rsidRPr="003D7CA4">
        <w:rPr>
          <w:rFonts w:ascii="Times New Roman" w:hAnsi="Times New Roman" w:cs="Times New Roman"/>
          <w:lang w:val="pl-PL"/>
        </w:rPr>
        <w:t xml:space="preserve"> i </w:t>
      </w:r>
      <w:r w:rsidRPr="003D7CA4">
        <w:rPr>
          <w:rFonts w:ascii="Times New Roman" w:hAnsi="Times New Roman" w:cs="Times New Roman"/>
          <w:i/>
          <w:iCs/>
          <w:lang w:val="pl-PL"/>
        </w:rPr>
        <w:t>in vivo</w:t>
      </w:r>
      <w:r w:rsidRPr="003D7CA4">
        <w:rPr>
          <w:rFonts w:ascii="Times New Roman" w:hAnsi="Times New Roman" w:cs="Times New Roman"/>
          <w:lang w:val="pl-PL"/>
        </w:rPr>
        <w:t xml:space="preserve"> z wykorzystaniem określonego materiału sortowanego z wykorzystaniem barwników </w:t>
      </w:r>
      <w:proofErr w:type="spellStart"/>
      <w:r w:rsidRPr="003D7CA4">
        <w:rPr>
          <w:rFonts w:ascii="Times New Roman" w:hAnsi="Times New Roman" w:cs="Times New Roman"/>
          <w:lang w:val="pl-PL"/>
        </w:rPr>
        <w:t>Hoechst</w:t>
      </w:r>
      <w:proofErr w:type="spellEnd"/>
      <w:r w:rsidRPr="003D7CA4">
        <w:rPr>
          <w:rFonts w:ascii="Times New Roman" w:hAnsi="Times New Roman" w:cs="Times New Roman"/>
          <w:lang w:val="pl-PL"/>
        </w:rPr>
        <w:t xml:space="preserve"> nie dostarczyły żadnych dowodów na działanie mutagenne.</w:t>
      </w:r>
    </w:p>
    <w:p w14:paraId="40C13445" w14:textId="77777777" w:rsidR="00867A26" w:rsidRPr="003D7CA4" w:rsidRDefault="00867A26" w:rsidP="00D20465">
      <w:pPr>
        <w:autoSpaceDE w:val="0"/>
        <w:autoSpaceDN w:val="0"/>
        <w:adjustRightInd w:val="0"/>
        <w:spacing w:after="0" w:line="240" w:lineRule="auto"/>
        <w:jc w:val="both"/>
        <w:rPr>
          <w:rFonts w:ascii="Times New Roman" w:hAnsi="Times New Roman" w:cs="Times New Roman"/>
          <w:b/>
          <w:bCs/>
          <w:lang w:val="pl-PL"/>
        </w:rPr>
      </w:pPr>
    </w:p>
    <w:p w14:paraId="40C13446"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Kancerogenność</w:t>
      </w:r>
    </w:p>
    <w:p w14:paraId="40C13447" w14:textId="48DF1A2A"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W badaniach trwających przez całe życie szczurów oraz badaniach NMRI szczurów nie stwierdzono działania rakotwórczego metamizolu. </w:t>
      </w:r>
    </w:p>
    <w:p w14:paraId="40C13448" w14:textId="77777777" w:rsidR="00867A26" w:rsidRPr="003D7CA4" w:rsidRDefault="00867A26" w:rsidP="00D20465">
      <w:pPr>
        <w:autoSpaceDE w:val="0"/>
        <w:autoSpaceDN w:val="0"/>
        <w:adjustRightInd w:val="0"/>
        <w:spacing w:after="0" w:line="240" w:lineRule="auto"/>
        <w:jc w:val="both"/>
        <w:rPr>
          <w:rFonts w:ascii="Times New Roman" w:hAnsi="Times New Roman" w:cs="Times New Roman"/>
          <w:b/>
          <w:bCs/>
          <w:lang w:val="pl-PL"/>
        </w:rPr>
      </w:pPr>
    </w:p>
    <w:p w14:paraId="40C13449"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Toksyczny wpływ na reprodukcję</w:t>
      </w:r>
    </w:p>
    <w:p w14:paraId="53CCC173" w14:textId="73E2B011" w:rsidR="004E1767" w:rsidRPr="003D7CA4" w:rsidRDefault="004E1767"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W badaniach przeprowadzonych u szczurów i królików nie wykazano potencjału teratogennego.</w:t>
      </w:r>
    </w:p>
    <w:p w14:paraId="409B8500" w14:textId="61256541" w:rsidR="005A338F" w:rsidRPr="003D7CA4" w:rsidRDefault="005A338F" w:rsidP="00D20465">
      <w:pPr>
        <w:autoSpaceDE w:val="0"/>
        <w:autoSpaceDN w:val="0"/>
        <w:adjustRightInd w:val="0"/>
        <w:spacing w:after="0" w:line="240" w:lineRule="auto"/>
        <w:jc w:val="both"/>
        <w:rPr>
          <w:rFonts w:ascii="Times New Roman" w:hAnsi="Times New Roman" w:cs="Times New Roman"/>
          <w:lang w:val="pl-PL"/>
        </w:rPr>
      </w:pPr>
    </w:p>
    <w:p w14:paraId="40C1344C"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40C1344D"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6. DANE FARMACEUTYCZNE</w:t>
      </w:r>
    </w:p>
    <w:p w14:paraId="40C1344E" w14:textId="77777777" w:rsidR="00867A26" w:rsidRPr="003D7CA4" w:rsidRDefault="00867A26" w:rsidP="00D20465">
      <w:pPr>
        <w:autoSpaceDE w:val="0"/>
        <w:autoSpaceDN w:val="0"/>
        <w:adjustRightInd w:val="0"/>
        <w:spacing w:after="0" w:line="240" w:lineRule="auto"/>
        <w:jc w:val="both"/>
        <w:rPr>
          <w:rFonts w:ascii="Times New Roman" w:hAnsi="Times New Roman" w:cs="Times New Roman"/>
          <w:b/>
          <w:bCs/>
          <w:lang w:val="pl-PL"/>
        </w:rPr>
      </w:pPr>
    </w:p>
    <w:p w14:paraId="40C1344F"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6.1 Wykaz substancji pomocniczych</w:t>
      </w:r>
    </w:p>
    <w:p w14:paraId="40C13450"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40C13451" w14:textId="77777777"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Woda do </w:t>
      </w:r>
      <w:proofErr w:type="spellStart"/>
      <w:r w:rsidRPr="003D7CA4">
        <w:rPr>
          <w:rFonts w:ascii="Times New Roman" w:eastAsia="TimesNewRoman" w:hAnsi="Times New Roman" w:cs="Times New Roman"/>
          <w:lang w:val="pl-PL"/>
        </w:rPr>
        <w:t>wstrzykiwań</w:t>
      </w:r>
      <w:proofErr w:type="spellEnd"/>
      <w:r w:rsidRPr="003D7CA4">
        <w:rPr>
          <w:rFonts w:ascii="Times New Roman" w:eastAsia="TimesNewRoman" w:hAnsi="Times New Roman" w:cs="Times New Roman"/>
          <w:lang w:val="pl-PL"/>
        </w:rPr>
        <w:t>.</w:t>
      </w:r>
    </w:p>
    <w:p w14:paraId="40C13452" w14:textId="77777777" w:rsidR="00867A26" w:rsidRPr="003D7CA4" w:rsidRDefault="00867A26" w:rsidP="00D20465">
      <w:pPr>
        <w:autoSpaceDE w:val="0"/>
        <w:autoSpaceDN w:val="0"/>
        <w:adjustRightInd w:val="0"/>
        <w:spacing w:after="0" w:line="240" w:lineRule="auto"/>
        <w:jc w:val="both"/>
        <w:rPr>
          <w:rFonts w:ascii="Times New Roman" w:hAnsi="Times New Roman" w:cs="Times New Roman"/>
          <w:b/>
          <w:bCs/>
          <w:lang w:val="pl-PL"/>
        </w:rPr>
      </w:pPr>
    </w:p>
    <w:p w14:paraId="40C13453"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6.2 Niezgodności farmaceutyczne</w:t>
      </w:r>
    </w:p>
    <w:p w14:paraId="40C13454"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305C09B3" w14:textId="77777777" w:rsidR="006A6113"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Roztwór do </w:t>
      </w:r>
      <w:proofErr w:type="spellStart"/>
      <w:r w:rsidRPr="003D7CA4">
        <w:rPr>
          <w:rFonts w:ascii="Times New Roman" w:eastAsia="TimesNewRoman" w:hAnsi="Times New Roman" w:cs="Times New Roman"/>
          <w:lang w:val="pl-PL"/>
        </w:rPr>
        <w:t>wstrzykiwań</w:t>
      </w:r>
      <w:proofErr w:type="spellEnd"/>
      <w:r w:rsidRPr="003D7CA4">
        <w:rPr>
          <w:rFonts w:ascii="Times New Roman" w:eastAsia="TimesNewRoman" w:hAnsi="Times New Roman" w:cs="Times New Roman"/>
          <w:lang w:val="pl-PL"/>
        </w:rPr>
        <w:t xml:space="preserve"> można rozcieńczyć 5% roztworem glukozy, 0,9% roztworem NaCl lub roztworem </w:t>
      </w:r>
      <w:proofErr w:type="spellStart"/>
      <w:r w:rsidRPr="003D7CA4">
        <w:rPr>
          <w:rFonts w:ascii="Times New Roman" w:eastAsia="TimesNewRoman" w:hAnsi="Times New Roman" w:cs="Times New Roman"/>
          <w:lang w:val="pl-PL"/>
        </w:rPr>
        <w:t>Ringera</w:t>
      </w:r>
      <w:proofErr w:type="spellEnd"/>
      <w:r w:rsidRPr="003D7CA4">
        <w:rPr>
          <w:rFonts w:ascii="Times New Roman" w:eastAsia="TimesNewRoman" w:hAnsi="Times New Roman" w:cs="Times New Roman"/>
          <w:lang w:val="pl-PL"/>
        </w:rPr>
        <w:t>.</w:t>
      </w:r>
      <w:r w:rsidR="006A6113" w:rsidRPr="003D7CA4">
        <w:rPr>
          <w:rFonts w:ascii="Times New Roman" w:eastAsia="TimesNewRoman" w:hAnsi="Times New Roman" w:cs="Times New Roman"/>
          <w:lang w:val="pl-PL"/>
        </w:rPr>
        <w:t xml:space="preserve"> Jednak po rozcieńczeniu, ze względu na ograniczoną stabilność, roztwory te powinny zostać natychmiast podane. </w:t>
      </w:r>
    </w:p>
    <w:p w14:paraId="40C13458" w14:textId="38136136"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Ze względu na </w:t>
      </w:r>
      <w:r w:rsidR="006A6113" w:rsidRPr="003D7CA4">
        <w:rPr>
          <w:rFonts w:ascii="Times New Roman" w:eastAsia="TimesNewRoman" w:hAnsi="Times New Roman" w:cs="Times New Roman"/>
          <w:lang w:val="pl-PL"/>
        </w:rPr>
        <w:t>możliwość wystąpienia</w:t>
      </w:r>
      <w:r w:rsidRPr="003D7CA4">
        <w:rPr>
          <w:rFonts w:ascii="Times New Roman" w:eastAsia="TimesNewRoman" w:hAnsi="Times New Roman" w:cs="Times New Roman"/>
          <w:lang w:val="pl-PL"/>
        </w:rPr>
        <w:t xml:space="preserve"> niezgodności</w:t>
      </w:r>
      <w:r w:rsidR="006A6113" w:rsidRPr="003D7CA4">
        <w:rPr>
          <w:rFonts w:ascii="Times New Roman" w:eastAsia="TimesNewRoman" w:hAnsi="Times New Roman" w:cs="Times New Roman"/>
          <w:lang w:val="pl-PL"/>
        </w:rPr>
        <w:t>,</w:t>
      </w:r>
      <w:r w:rsidRPr="003D7CA4">
        <w:rPr>
          <w:rFonts w:ascii="Times New Roman" w:eastAsia="TimesNewRoman" w:hAnsi="Times New Roman" w:cs="Times New Roman"/>
          <w:lang w:val="pl-PL"/>
        </w:rPr>
        <w:t xml:space="preserve"> </w:t>
      </w:r>
      <w:r w:rsidR="006A6113" w:rsidRPr="003D7CA4">
        <w:rPr>
          <w:rFonts w:ascii="Times New Roman" w:eastAsia="TimesNewRoman" w:hAnsi="Times New Roman" w:cs="Times New Roman"/>
          <w:lang w:val="pl-PL"/>
        </w:rPr>
        <w:t>nie zaleca się jednoczesnego podawania roztworu metamizolu z innymi produktami leczniczymi w postaci iniekcji.</w:t>
      </w:r>
      <w:r w:rsidRPr="003D7CA4">
        <w:rPr>
          <w:rFonts w:ascii="Times New Roman" w:eastAsia="TimesNewRoman" w:hAnsi="Times New Roman" w:cs="Times New Roman"/>
          <w:lang w:val="pl-PL"/>
        </w:rPr>
        <w:t>.</w:t>
      </w:r>
    </w:p>
    <w:p w14:paraId="40C13459" w14:textId="77777777" w:rsidR="00867A26" w:rsidRPr="003D7CA4" w:rsidRDefault="00867A26" w:rsidP="00D20465">
      <w:pPr>
        <w:autoSpaceDE w:val="0"/>
        <w:autoSpaceDN w:val="0"/>
        <w:adjustRightInd w:val="0"/>
        <w:spacing w:after="0" w:line="240" w:lineRule="auto"/>
        <w:jc w:val="both"/>
        <w:rPr>
          <w:rFonts w:ascii="Times New Roman" w:hAnsi="Times New Roman" w:cs="Times New Roman"/>
          <w:b/>
          <w:bCs/>
          <w:lang w:val="pl-PL"/>
        </w:rPr>
      </w:pPr>
    </w:p>
    <w:p w14:paraId="40C1345A"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6.3 Okres ważności</w:t>
      </w:r>
    </w:p>
    <w:p w14:paraId="40C1345B"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40C1345C" w14:textId="2348548F"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3 lata</w:t>
      </w:r>
    </w:p>
    <w:p w14:paraId="40C1345D" w14:textId="77777777" w:rsidR="00867A26" w:rsidRPr="003D7CA4" w:rsidRDefault="00867A26" w:rsidP="00D20465">
      <w:pPr>
        <w:autoSpaceDE w:val="0"/>
        <w:autoSpaceDN w:val="0"/>
        <w:adjustRightInd w:val="0"/>
        <w:spacing w:after="0" w:line="240" w:lineRule="auto"/>
        <w:jc w:val="both"/>
        <w:rPr>
          <w:rFonts w:ascii="Times New Roman" w:hAnsi="Times New Roman" w:cs="Times New Roman"/>
          <w:b/>
          <w:bCs/>
          <w:lang w:val="pl-PL"/>
        </w:rPr>
      </w:pPr>
    </w:p>
    <w:p w14:paraId="40C1345E"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6.4 Specjalne środki ostrożności podczas przechowywania</w:t>
      </w:r>
    </w:p>
    <w:p w14:paraId="40C1345F"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40C13460" w14:textId="7AF88C11"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Nie przechowywać w temperaturze powyżej 25</w:t>
      </w:r>
      <w:r w:rsidR="002B580D" w:rsidRPr="003D7CA4">
        <w:rPr>
          <w:rFonts w:ascii="Times New Roman" w:eastAsia="TimesNewRoman" w:hAnsi="Times New Roman" w:cs="Times New Roman"/>
          <w:lang w:val="pl-PL"/>
        </w:rPr>
        <w:t>°</w:t>
      </w:r>
      <w:r w:rsidRPr="003D7CA4">
        <w:rPr>
          <w:rFonts w:ascii="Times New Roman" w:eastAsia="TimesNewRoman" w:hAnsi="Times New Roman" w:cs="Times New Roman"/>
          <w:lang w:val="pl-PL"/>
        </w:rPr>
        <w:t>C.</w:t>
      </w:r>
    </w:p>
    <w:p w14:paraId="40C13461" w14:textId="77777777"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Przechowywać w oryginalnym opakowaniu w celu ochrony przed światłem.</w:t>
      </w:r>
    </w:p>
    <w:p w14:paraId="3BBC39AB" w14:textId="77777777" w:rsidR="00AA5F15" w:rsidRPr="003D7CA4" w:rsidRDefault="00AA5F15" w:rsidP="00D20465">
      <w:pPr>
        <w:autoSpaceDE w:val="0"/>
        <w:autoSpaceDN w:val="0"/>
        <w:adjustRightInd w:val="0"/>
        <w:spacing w:after="0" w:line="240" w:lineRule="auto"/>
        <w:jc w:val="both"/>
        <w:rPr>
          <w:rFonts w:ascii="Times New Roman" w:hAnsi="Times New Roman" w:cs="Times New Roman"/>
          <w:b/>
          <w:bCs/>
          <w:lang w:val="pl-PL"/>
        </w:rPr>
      </w:pPr>
    </w:p>
    <w:p w14:paraId="40C13463"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6.5 Rodzaj i zawartość opakowania</w:t>
      </w:r>
    </w:p>
    <w:p w14:paraId="40C13464"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40C13465" w14:textId="3BCA1FE0" w:rsidR="000B30ED" w:rsidRPr="003D7CA4" w:rsidRDefault="00A67DA3"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hAnsi="Times New Roman" w:cs="Times New Roman"/>
          <w:lang w:val="pl-PL"/>
        </w:rPr>
        <w:t xml:space="preserve">Ampułki z </w:t>
      </w:r>
      <w:r w:rsidR="00C77BCC" w:rsidRPr="003D7CA4">
        <w:rPr>
          <w:rFonts w:ascii="Times New Roman" w:hAnsi="Times New Roman" w:cs="Times New Roman"/>
          <w:lang w:val="pl-PL"/>
        </w:rPr>
        <w:t xml:space="preserve">oranżowego </w:t>
      </w:r>
      <w:r w:rsidRPr="003D7CA4">
        <w:rPr>
          <w:rFonts w:ascii="Times New Roman" w:hAnsi="Times New Roman" w:cs="Times New Roman"/>
          <w:lang w:val="pl-PL"/>
        </w:rPr>
        <w:t xml:space="preserve">szkła typu I o pojemności 2 ml i 5 ml, </w:t>
      </w:r>
      <w:r w:rsidR="00B3715E" w:rsidRPr="003D7CA4">
        <w:rPr>
          <w:rFonts w:ascii="Times New Roman" w:hAnsi="Times New Roman" w:cs="Times New Roman"/>
          <w:lang w:val="pl-PL"/>
        </w:rPr>
        <w:t xml:space="preserve">z </w:t>
      </w:r>
      <w:r w:rsidR="001B4515" w:rsidRPr="003D7CA4">
        <w:rPr>
          <w:rFonts w:ascii="Times New Roman" w:hAnsi="Times New Roman" w:cs="Times New Roman"/>
          <w:lang w:val="pl-PL"/>
        </w:rPr>
        <w:t xml:space="preserve">jednym punktem </w:t>
      </w:r>
      <w:r w:rsidR="00B3715E" w:rsidRPr="003D7CA4">
        <w:rPr>
          <w:rFonts w:ascii="Times New Roman" w:hAnsi="Times New Roman" w:cs="Times New Roman"/>
          <w:i/>
          <w:iCs/>
          <w:lang w:val="pl-PL"/>
        </w:rPr>
        <w:t xml:space="preserve">one point </w:t>
      </w:r>
      <w:proofErr w:type="spellStart"/>
      <w:r w:rsidR="00B3715E" w:rsidRPr="003D7CA4">
        <w:rPr>
          <w:rFonts w:ascii="Times New Roman" w:hAnsi="Times New Roman" w:cs="Times New Roman"/>
          <w:i/>
          <w:iCs/>
          <w:lang w:val="pl-PL"/>
        </w:rPr>
        <w:t>cut</w:t>
      </w:r>
      <w:proofErr w:type="spellEnd"/>
      <w:r w:rsidR="00B3715E" w:rsidRPr="003D7CA4">
        <w:rPr>
          <w:rFonts w:ascii="Times New Roman" w:hAnsi="Times New Roman" w:cs="Times New Roman"/>
          <w:lang w:val="pl-PL"/>
        </w:rPr>
        <w:t xml:space="preserve"> (OPC)</w:t>
      </w:r>
      <w:r w:rsidR="001B4515" w:rsidRPr="003D7CA4">
        <w:rPr>
          <w:rFonts w:ascii="Times New Roman" w:hAnsi="Times New Roman" w:cs="Times New Roman"/>
          <w:lang w:val="pl-PL"/>
        </w:rPr>
        <w:t xml:space="preserve">, </w:t>
      </w:r>
      <w:r w:rsidRPr="003D7CA4">
        <w:rPr>
          <w:rFonts w:ascii="Times New Roman" w:hAnsi="Times New Roman" w:cs="Times New Roman"/>
          <w:lang w:val="pl-PL"/>
        </w:rPr>
        <w:t>umieszczone w formie z PVC</w:t>
      </w:r>
      <w:r w:rsidR="004B3417" w:rsidRPr="003D7CA4">
        <w:rPr>
          <w:rFonts w:ascii="Times New Roman" w:hAnsi="Times New Roman" w:cs="Times New Roman"/>
          <w:lang w:val="pl-PL"/>
        </w:rPr>
        <w:t>,</w:t>
      </w:r>
      <w:r w:rsidRPr="003D7CA4">
        <w:rPr>
          <w:rFonts w:ascii="Times New Roman" w:hAnsi="Times New Roman" w:cs="Times New Roman"/>
          <w:lang w:val="pl-PL"/>
        </w:rPr>
        <w:t xml:space="preserve"> w tekturow</w:t>
      </w:r>
      <w:r w:rsidR="006A6113" w:rsidRPr="003D7CA4">
        <w:rPr>
          <w:rFonts w:ascii="Times New Roman" w:hAnsi="Times New Roman" w:cs="Times New Roman"/>
          <w:lang w:val="pl-PL"/>
        </w:rPr>
        <w:t>ym</w:t>
      </w:r>
      <w:r w:rsidRPr="003D7CA4">
        <w:rPr>
          <w:rFonts w:ascii="Times New Roman" w:hAnsi="Times New Roman" w:cs="Times New Roman"/>
          <w:lang w:val="pl-PL"/>
        </w:rPr>
        <w:t xml:space="preserve"> pudeł</w:t>
      </w:r>
      <w:r w:rsidR="006A6113" w:rsidRPr="003D7CA4">
        <w:rPr>
          <w:rFonts w:ascii="Times New Roman" w:hAnsi="Times New Roman" w:cs="Times New Roman"/>
          <w:lang w:val="pl-PL"/>
        </w:rPr>
        <w:t>ku</w:t>
      </w:r>
      <w:r w:rsidRPr="003D7CA4">
        <w:rPr>
          <w:rFonts w:ascii="Times New Roman" w:hAnsi="Times New Roman" w:cs="Times New Roman"/>
          <w:lang w:val="pl-PL"/>
        </w:rPr>
        <w:t xml:space="preserve">. </w:t>
      </w:r>
    </w:p>
    <w:p w14:paraId="40C13466" w14:textId="4A251723"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 xml:space="preserve">Wielkości opakowań: 10 x 2 ml, </w:t>
      </w:r>
      <w:bookmarkStart w:id="3" w:name="_Hlk111711408"/>
      <w:r w:rsidRPr="003D7CA4">
        <w:rPr>
          <w:rFonts w:ascii="Times New Roman" w:eastAsia="TimesNewRoman" w:hAnsi="Times New Roman" w:cs="Times New Roman"/>
          <w:lang w:val="pl-PL"/>
        </w:rPr>
        <w:t>10 x 5 ml, 5 x 2 ml, 5 x 5 ml</w:t>
      </w:r>
      <w:bookmarkEnd w:id="3"/>
      <w:r w:rsidRPr="003D7CA4">
        <w:rPr>
          <w:rFonts w:ascii="Times New Roman" w:eastAsia="TimesNewRoman" w:hAnsi="Times New Roman" w:cs="Times New Roman"/>
          <w:lang w:val="pl-PL"/>
        </w:rPr>
        <w:t>.</w:t>
      </w:r>
    </w:p>
    <w:p w14:paraId="0BF56552" w14:textId="603CB8D4" w:rsidR="00B862A3" w:rsidRPr="003D7CA4" w:rsidRDefault="00B862A3" w:rsidP="00D20465">
      <w:pPr>
        <w:autoSpaceDE w:val="0"/>
        <w:autoSpaceDN w:val="0"/>
        <w:adjustRightInd w:val="0"/>
        <w:spacing w:after="0" w:line="240" w:lineRule="auto"/>
        <w:jc w:val="both"/>
        <w:rPr>
          <w:rFonts w:ascii="Times New Roman" w:eastAsia="TimesNewRoman" w:hAnsi="Times New Roman" w:cs="Times New Roman"/>
          <w:lang w:val="pl-PL"/>
        </w:rPr>
      </w:pPr>
    </w:p>
    <w:p w14:paraId="148B8625" w14:textId="6FA5A5F6" w:rsidR="00B862A3" w:rsidRPr="003D7CA4" w:rsidRDefault="00B862A3"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Nie wszystkie wielkości opakowań muszą znajdować się w obrocie.</w:t>
      </w:r>
    </w:p>
    <w:p w14:paraId="2A6E1B86" w14:textId="77777777" w:rsidR="00D20465" w:rsidRPr="003D7CA4" w:rsidRDefault="00D20465" w:rsidP="00D20465">
      <w:pPr>
        <w:autoSpaceDE w:val="0"/>
        <w:autoSpaceDN w:val="0"/>
        <w:adjustRightInd w:val="0"/>
        <w:spacing w:after="0" w:line="240" w:lineRule="auto"/>
        <w:jc w:val="both"/>
        <w:rPr>
          <w:rFonts w:ascii="Times New Roman" w:hAnsi="Times New Roman" w:cs="Times New Roman"/>
          <w:b/>
          <w:bCs/>
          <w:lang w:val="pl-PL"/>
        </w:rPr>
      </w:pPr>
    </w:p>
    <w:p w14:paraId="40C13468"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6.6 Specjalne środki ostrożności dotyczące usuwania i przygotowania produktu leczniczego do stosowania</w:t>
      </w:r>
    </w:p>
    <w:p w14:paraId="40C13469"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40C1346A" w14:textId="77777777" w:rsidR="000B30ED" w:rsidRPr="003D7CA4" w:rsidRDefault="000B30ED" w:rsidP="00D20465">
      <w:pPr>
        <w:autoSpaceDE w:val="0"/>
        <w:autoSpaceDN w:val="0"/>
        <w:adjustRightInd w:val="0"/>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Wszelkie niewykorzystane resztki produktu leczniczego lub jego odpady należy usunąć zgodnie z lokalnymi przepisami.</w:t>
      </w:r>
    </w:p>
    <w:p w14:paraId="40C1346B" w14:textId="77777777" w:rsidR="00867A26" w:rsidRPr="003D7CA4" w:rsidRDefault="00867A26" w:rsidP="00D20465">
      <w:pPr>
        <w:autoSpaceDE w:val="0"/>
        <w:autoSpaceDN w:val="0"/>
        <w:adjustRightInd w:val="0"/>
        <w:spacing w:after="0" w:line="240" w:lineRule="auto"/>
        <w:jc w:val="both"/>
        <w:rPr>
          <w:rFonts w:ascii="Times New Roman" w:hAnsi="Times New Roman" w:cs="Times New Roman"/>
          <w:b/>
          <w:bCs/>
          <w:lang w:val="pl-PL"/>
        </w:rPr>
      </w:pPr>
    </w:p>
    <w:p w14:paraId="40C1346C" w14:textId="77777777" w:rsidR="00867A26" w:rsidRPr="003D7CA4" w:rsidRDefault="00867A26" w:rsidP="00D20465">
      <w:pPr>
        <w:autoSpaceDE w:val="0"/>
        <w:autoSpaceDN w:val="0"/>
        <w:adjustRightInd w:val="0"/>
        <w:spacing w:after="0" w:line="240" w:lineRule="auto"/>
        <w:jc w:val="both"/>
        <w:rPr>
          <w:rFonts w:ascii="Times New Roman" w:hAnsi="Times New Roman" w:cs="Times New Roman"/>
          <w:b/>
          <w:bCs/>
          <w:lang w:val="pl-PL"/>
        </w:rPr>
      </w:pPr>
    </w:p>
    <w:p w14:paraId="40C1346D" w14:textId="77777777"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lastRenderedPageBreak/>
        <w:t>7. PODMIOT ODPOWIEDZIALNY POSIADAJĄCY POZWOLENIE NA DOPUSZCZENIE DO OBROTU</w:t>
      </w:r>
    </w:p>
    <w:p w14:paraId="40C1346F" w14:textId="77777777" w:rsidR="00867A26" w:rsidRPr="003D7CA4" w:rsidRDefault="00867A26" w:rsidP="00D20465">
      <w:pPr>
        <w:autoSpaceDE w:val="0"/>
        <w:autoSpaceDN w:val="0"/>
        <w:adjustRightInd w:val="0"/>
        <w:spacing w:after="0" w:line="240" w:lineRule="auto"/>
        <w:jc w:val="both"/>
        <w:rPr>
          <w:rFonts w:ascii="Times New Roman" w:eastAsia="TimesNewRoman" w:hAnsi="Times New Roman" w:cs="Times New Roman"/>
          <w:lang w:val="pl-PL"/>
        </w:rPr>
      </w:pPr>
    </w:p>
    <w:p w14:paraId="774596C3" w14:textId="77777777" w:rsidR="000C68B1" w:rsidRPr="00E71AE2" w:rsidRDefault="000C68B1" w:rsidP="00D20465">
      <w:pPr>
        <w:tabs>
          <w:tab w:val="left" w:pos="720"/>
        </w:tabs>
        <w:spacing w:after="0" w:line="240" w:lineRule="auto"/>
        <w:ind w:left="567" w:hanging="567"/>
        <w:rPr>
          <w:rFonts w:ascii="Times New Roman" w:eastAsia="Times New Roman" w:hAnsi="Times New Roman" w:cs="Times New Roman"/>
          <w:lang w:eastAsia="pl-PL"/>
        </w:rPr>
      </w:pPr>
      <w:r w:rsidRPr="00E71AE2">
        <w:rPr>
          <w:rFonts w:ascii="Times New Roman" w:eastAsia="Times New Roman" w:hAnsi="Times New Roman" w:cs="Times New Roman"/>
          <w:lang w:eastAsia="pl-PL"/>
        </w:rPr>
        <w:t xml:space="preserve">Bausch Health Ireland Limited </w:t>
      </w:r>
    </w:p>
    <w:p w14:paraId="43B5A25D" w14:textId="77777777" w:rsidR="000C68B1" w:rsidRPr="00E71AE2" w:rsidRDefault="000C68B1" w:rsidP="00D20465">
      <w:pPr>
        <w:tabs>
          <w:tab w:val="left" w:pos="720"/>
        </w:tabs>
        <w:spacing w:after="0" w:line="240" w:lineRule="auto"/>
        <w:ind w:left="567" w:hanging="567"/>
        <w:rPr>
          <w:rFonts w:ascii="Times New Roman" w:eastAsia="Times New Roman" w:hAnsi="Times New Roman" w:cs="Times New Roman"/>
          <w:lang w:eastAsia="pl-PL"/>
        </w:rPr>
      </w:pPr>
      <w:r w:rsidRPr="00E71AE2">
        <w:rPr>
          <w:rFonts w:ascii="Times New Roman" w:eastAsia="Times New Roman" w:hAnsi="Times New Roman" w:cs="Times New Roman"/>
          <w:lang w:eastAsia="pl-PL"/>
        </w:rPr>
        <w:t xml:space="preserve">3013 Lake Drive </w:t>
      </w:r>
    </w:p>
    <w:p w14:paraId="2A229670" w14:textId="77777777" w:rsidR="000C68B1" w:rsidRPr="00E71AE2" w:rsidRDefault="000C68B1" w:rsidP="00D20465">
      <w:pPr>
        <w:tabs>
          <w:tab w:val="left" w:pos="720"/>
        </w:tabs>
        <w:spacing w:after="0" w:line="240" w:lineRule="auto"/>
        <w:ind w:left="567" w:hanging="567"/>
        <w:rPr>
          <w:rFonts w:ascii="Times New Roman" w:eastAsia="Times New Roman" w:hAnsi="Times New Roman" w:cs="Times New Roman"/>
          <w:lang w:eastAsia="pl-PL"/>
        </w:rPr>
      </w:pPr>
      <w:r w:rsidRPr="00E71AE2">
        <w:rPr>
          <w:rFonts w:ascii="Times New Roman" w:eastAsia="Times New Roman" w:hAnsi="Times New Roman" w:cs="Times New Roman"/>
          <w:lang w:eastAsia="pl-PL"/>
        </w:rPr>
        <w:t>Citywest Business Campus</w:t>
      </w:r>
    </w:p>
    <w:p w14:paraId="0BF21990" w14:textId="77777777" w:rsidR="000C68B1" w:rsidRPr="00E71AE2" w:rsidRDefault="000C68B1" w:rsidP="00D20465">
      <w:pPr>
        <w:tabs>
          <w:tab w:val="left" w:pos="720"/>
        </w:tabs>
        <w:spacing w:after="0" w:line="240" w:lineRule="auto"/>
        <w:ind w:left="567" w:hanging="567"/>
        <w:rPr>
          <w:rFonts w:ascii="Times New Roman" w:eastAsia="Times New Roman" w:hAnsi="Times New Roman" w:cs="Times New Roman"/>
          <w:lang w:eastAsia="pl-PL"/>
        </w:rPr>
      </w:pPr>
      <w:r w:rsidRPr="00E71AE2">
        <w:rPr>
          <w:rFonts w:ascii="Times New Roman" w:eastAsia="Times New Roman" w:hAnsi="Times New Roman" w:cs="Times New Roman"/>
          <w:lang w:eastAsia="pl-PL"/>
        </w:rPr>
        <w:t xml:space="preserve">Dublin 24, D24PPT3 </w:t>
      </w:r>
    </w:p>
    <w:p w14:paraId="61CB58BE" w14:textId="77777777" w:rsidR="000C68B1" w:rsidRPr="00E71AE2" w:rsidRDefault="000C68B1" w:rsidP="00D20465">
      <w:pPr>
        <w:tabs>
          <w:tab w:val="left" w:pos="720"/>
        </w:tabs>
        <w:spacing w:after="0" w:line="240" w:lineRule="auto"/>
        <w:ind w:left="567" w:hanging="567"/>
        <w:rPr>
          <w:rFonts w:ascii="Times New Roman" w:eastAsia="Times New Roman" w:hAnsi="Times New Roman" w:cs="Times New Roman"/>
          <w:noProof/>
          <w:lang w:eastAsia="pl-PL"/>
        </w:rPr>
      </w:pPr>
      <w:r w:rsidRPr="00E71AE2">
        <w:rPr>
          <w:rFonts w:ascii="Times New Roman" w:eastAsia="Times New Roman" w:hAnsi="Times New Roman" w:cs="Times New Roman"/>
          <w:noProof/>
          <w:lang w:eastAsia="pl-PL"/>
        </w:rPr>
        <w:t>Irlandia</w:t>
      </w:r>
    </w:p>
    <w:p w14:paraId="40C13471" w14:textId="77777777" w:rsidR="00867A26" w:rsidRPr="00E71AE2" w:rsidRDefault="00867A26" w:rsidP="00D20465">
      <w:pPr>
        <w:autoSpaceDE w:val="0"/>
        <w:autoSpaceDN w:val="0"/>
        <w:adjustRightInd w:val="0"/>
        <w:spacing w:after="0" w:line="240" w:lineRule="auto"/>
        <w:jc w:val="both"/>
        <w:rPr>
          <w:rFonts w:ascii="Times New Roman" w:hAnsi="Times New Roman" w:cs="Times New Roman"/>
          <w:b/>
          <w:bCs/>
        </w:rPr>
      </w:pPr>
    </w:p>
    <w:p w14:paraId="40C13472" w14:textId="77777777" w:rsidR="00867A26" w:rsidRPr="00E71AE2" w:rsidRDefault="00867A26" w:rsidP="00D20465">
      <w:pPr>
        <w:autoSpaceDE w:val="0"/>
        <w:autoSpaceDN w:val="0"/>
        <w:adjustRightInd w:val="0"/>
        <w:spacing w:after="0" w:line="240" w:lineRule="auto"/>
        <w:jc w:val="both"/>
        <w:rPr>
          <w:rFonts w:ascii="Times New Roman" w:hAnsi="Times New Roman" w:cs="Times New Roman"/>
          <w:b/>
          <w:bCs/>
        </w:rPr>
      </w:pPr>
    </w:p>
    <w:p w14:paraId="40C13473" w14:textId="0C9CCF12"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8. NUMER POZWOLE</w:t>
      </w:r>
      <w:r w:rsidR="00C77BCC" w:rsidRPr="003D7CA4">
        <w:rPr>
          <w:rFonts w:ascii="Times New Roman" w:hAnsi="Times New Roman" w:cs="Times New Roman"/>
          <w:b/>
          <w:bCs/>
          <w:lang w:val="pl-PL"/>
        </w:rPr>
        <w:t>NIA</w:t>
      </w:r>
      <w:r w:rsidRPr="003D7CA4">
        <w:rPr>
          <w:rFonts w:ascii="Times New Roman" w:hAnsi="Times New Roman" w:cs="Times New Roman"/>
          <w:b/>
          <w:bCs/>
          <w:lang w:val="pl-PL"/>
        </w:rPr>
        <w:t xml:space="preserve"> NA DOPUSZCZENIE DO OBROTU</w:t>
      </w:r>
    </w:p>
    <w:p w14:paraId="40C13475" w14:textId="5D22A790" w:rsidR="00554BF5" w:rsidRPr="003D7CA4" w:rsidRDefault="00554BF5" w:rsidP="00D20465">
      <w:pPr>
        <w:autoSpaceDE w:val="0"/>
        <w:autoSpaceDN w:val="0"/>
        <w:adjustRightInd w:val="0"/>
        <w:spacing w:after="0" w:line="240" w:lineRule="auto"/>
        <w:jc w:val="both"/>
        <w:rPr>
          <w:rFonts w:ascii="Times New Roman" w:hAnsi="Times New Roman" w:cs="Times New Roman"/>
          <w:b/>
          <w:bCs/>
          <w:lang w:val="pl-PL"/>
        </w:rPr>
      </w:pPr>
    </w:p>
    <w:p w14:paraId="15832EE2" w14:textId="6D964284" w:rsidR="00D20465" w:rsidRPr="001E5CDC" w:rsidRDefault="001E5CDC" w:rsidP="00D20465">
      <w:pPr>
        <w:autoSpaceDE w:val="0"/>
        <w:autoSpaceDN w:val="0"/>
        <w:adjustRightInd w:val="0"/>
        <w:spacing w:after="0" w:line="240" w:lineRule="auto"/>
        <w:jc w:val="both"/>
        <w:rPr>
          <w:rFonts w:ascii="Times New Roman" w:hAnsi="Times New Roman" w:cs="Times New Roman"/>
          <w:lang w:val="pl-PL"/>
        </w:rPr>
      </w:pPr>
      <w:r w:rsidRPr="001E5CDC">
        <w:rPr>
          <w:rFonts w:ascii="Times New Roman" w:hAnsi="Times New Roman" w:cs="Times New Roman"/>
          <w:lang w:val="pl-PL"/>
        </w:rPr>
        <w:t>28148</w:t>
      </w:r>
    </w:p>
    <w:p w14:paraId="3882C05C" w14:textId="77777777" w:rsidR="001E5CDC" w:rsidRPr="003D7CA4" w:rsidRDefault="001E5CDC" w:rsidP="00D20465">
      <w:pPr>
        <w:autoSpaceDE w:val="0"/>
        <w:autoSpaceDN w:val="0"/>
        <w:adjustRightInd w:val="0"/>
        <w:spacing w:after="0" w:line="240" w:lineRule="auto"/>
        <w:jc w:val="both"/>
        <w:rPr>
          <w:rFonts w:ascii="Times New Roman" w:hAnsi="Times New Roman" w:cs="Times New Roman"/>
          <w:b/>
          <w:bCs/>
          <w:lang w:val="pl-PL"/>
        </w:rPr>
      </w:pPr>
    </w:p>
    <w:p w14:paraId="40C13476" w14:textId="77777777" w:rsidR="00554BF5" w:rsidRPr="003D7CA4" w:rsidRDefault="00554BF5" w:rsidP="00D20465">
      <w:pPr>
        <w:autoSpaceDE w:val="0"/>
        <w:autoSpaceDN w:val="0"/>
        <w:adjustRightInd w:val="0"/>
        <w:spacing w:after="0" w:line="240" w:lineRule="auto"/>
        <w:jc w:val="both"/>
        <w:rPr>
          <w:rFonts w:ascii="Times New Roman" w:hAnsi="Times New Roman" w:cs="Times New Roman"/>
          <w:b/>
          <w:bCs/>
          <w:lang w:val="pl-PL"/>
        </w:rPr>
      </w:pPr>
    </w:p>
    <w:p w14:paraId="40C13477" w14:textId="2E33E6C5" w:rsidR="000B30ED" w:rsidRPr="003D7CA4" w:rsidRDefault="000B30ED" w:rsidP="00D20465">
      <w:pPr>
        <w:autoSpaceDE w:val="0"/>
        <w:autoSpaceDN w:val="0"/>
        <w:adjustRightInd w:val="0"/>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9. DATA WYDANIA PIERWSZEGO POZWOLENIA NA DOPUSZCZENIE DO OBROTU I DATA PRZEDŁUŻENIA POZWOLENIA</w:t>
      </w:r>
    </w:p>
    <w:p w14:paraId="1828E872" w14:textId="77777777" w:rsidR="001359A7" w:rsidRPr="003D7CA4" w:rsidRDefault="001359A7" w:rsidP="00D20465">
      <w:pPr>
        <w:autoSpaceDE w:val="0"/>
        <w:autoSpaceDN w:val="0"/>
        <w:adjustRightInd w:val="0"/>
        <w:spacing w:after="0" w:line="240" w:lineRule="auto"/>
        <w:jc w:val="both"/>
        <w:rPr>
          <w:rFonts w:ascii="Times New Roman" w:hAnsi="Times New Roman" w:cs="Times New Roman"/>
          <w:b/>
          <w:bCs/>
          <w:lang w:val="pl-PL"/>
        </w:rPr>
      </w:pPr>
    </w:p>
    <w:p w14:paraId="40C13479" w14:textId="52657CE9" w:rsidR="00554BF5" w:rsidRPr="003D7CA4" w:rsidRDefault="001359A7" w:rsidP="00D20465">
      <w:pPr>
        <w:spacing w:after="0" w:line="240" w:lineRule="auto"/>
        <w:jc w:val="both"/>
        <w:rPr>
          <w:rFonts w:ascii="Times New Roman" w:eastAsia="TimesNewRoman" w:hAnsi="Times New Roman" w:cs="Times New Roman"/>
          <w:lang w:val="pl-PL"/>
        </w:rPr>
      </w:pPr>
      <w:r w:rsidRPr="003D7CA4">
        <w:rPr>
          <w:rFonts w:ascii="Times New Roman" w:eastAsia="TimesNewRoman" w:hAnsi="Times New Roman" w:cs="Times New Roman"/>
          <w:lang w:val="pl-PL"/>
        </w:rPr>
        <w:t>Data wydania pierwszego pozwolenia na dopuszczenie do obrotu:</w:t>
      </w:r>
      <w:r w:rsidR="001E5CDC" w:rsidRPr="001E5CDC">
        <w:rPr>
          <w:lang w:val="pl-PL"/>
        </w:rPr>
        <w:t xml:space="preserve"> </w:t>
      </w:r>
      <w:r w:rsidR="001E5CDC" w:rsidRPr="001E5CDC">
        <w:rPr>
          <w:rFonts w:ascii="Times New Roman" w:eastAsia="TimesNewRoman" w:hAnsi="Times New Roman" w:cs="Times New Roman"/>
          <w:lang w:val="pl-PL"/>
        </w:rPr>
        <w:t>5 grudnia 2023</w:t>
      </w:r>
    </w:p>
    <w:p w14:paraId="229FA7F0" w14:textId="77777777" w:rsidR="00EE1168" w:rsidRPr="003D7CA4" w:rsidRDefault="00EE1168" w:rsidP="00D20465">
      <w:pPr>
        <w:spacing w:after="0" w:line="240" w:lineRule="auto"/>
        <w:jc w:val="both"/>
        <w:rPr>
          <w:rFonts w:ascii="Times New Roman" w:hAnsi="Times New Roman" w:cs="Times New Roman"/>
          <w:b/>
          <w:bCs/>
          <w:lang w:val="pl-PL"/>
        </w:rPr>
      </w:pPr>
    </w:p>
    <w:p w14:paraId="40C1347A" w14:textId="77777777" w:rsidR="00554BF5" w:rsidRPr="003D7CA4" w:rsidRDefault="00554BF5" w:rsidP="00D20465">
      <w:pPr>
        <w:spacing w:after="0" w:line="240" w:lineRule="auto"/>
        <w:jc w:val="both"/>
        <w:rPr>
          <w:rFonts w:ascii="Times New Roman" w:hAnsi="Times New Roman" w:cs="Times New Roman"/>
          <w:b/>
          <w:bCs/>
          <w:lang w:val="pl-PL"/>
        </w:rPr>
      </w:pPr>
    </w:p>
    <w:p w14:paraId="40C1347B" w14:textId="77777777" w:rsidR="00C52B65" w:rsidRDefault="000B30ED" w:rsidP="00D20465">
      <w:pPr>
        <w:spacing w:after="0" w:line="240" w:lineRule="auto"/>
        <w:jc w:val="both"/>
        <w:rPr>
          <w:rFonts w:ascii="Times New Roman" w:hAnsi="Times New Roman" w:cs="Times New Roman"/>
          <w:b/>
          <w:bCs/>
          <w:lang w:val="pl-PL"/>
        </w:rPr>
      </w:pPr>
      <w:r w:rsidRPr="003D7CA4">
        <w:rPr>
          <w:rFonts w:ascii="Times New Roman" w:hAnsi="Times New Roman" w:cs="Times New Roman"/>
          <w:b/>
          <w:bCs/>
          <w:lang w:val="pl-PL"/>
        </w:rPr>
        <w:t>10. DATA ZATWIERDZENIA LUB CZĘŚCIOWEJ ZMIANY TEKSTU CHARAKTERYSTYKI PRODUKTU LECZNICZEGO</w:t>
      </w:r>
    </w:p>
    <w:p w14:paraId="4FA6AF76" w14:textId="77777777" w:rsidR="00BA3F0D" w:rsidRDefault="00BA3F0D" w:rsidP="00D20465">
      <w:pPr>
        <w:spacing w:after="0" w:line="240" w:lineRule="auto"/>
        <w:jc w:val="both"/>
        <w:rPr>
          <w:rFonts w:ascii="Times New Roman" w:hAnsi="Times New Roman" w:cs="Times New Roman"/>
          <w:b/>
          <w:bCs/>
          <w:lang w:val="pl-PL"/>
        </w:rPr>
      </w:pPr>
    </w:p>
    <w:p w14:paraId="2A317854" w14:textId="77777777" w:rsidR="00BA3F0D" w:rsidRPr="004B2C67" w:rsidRDefault="00BA3F0D" w:rsidP="00BA3F0D">
      <w:pPr>
        <w:spacing w:after="0" w:line="240" w:lineRule="auto"/>
        <w:jc w:val="both"/>
        <w:rPr>
          <w:rFonts w:ascii="Times New Roman" w:hAnsi="Times New Roman" w:cs="Times New Roman"/>
          <w:lang w:val="pl-PL"/>
        </w:rPr>
      </w:pPr>
    </w:p>
    <w:p w14:paraId="46E1F566" w14:textId="3D4A013A" w:rsidR="00BA3F0D" w:rsidRPr="004B2C67" w:rsidRDefault="00BA3F0D" w:rsidP="00BA3F0D">
      <w:pPr>
        <w:spacing w:after="0" w:line="240" w:lineRule="auto"/>
        <w:jc w:val="both"/>
        <w:rPr>
          <w:rFonts w:asciiTheme="majorBidi" w:hAnsiTheme="majorBidi" w:cstheme="majorBidi"/>
          <w:lang w:val="pl-PL"/>
        </w:rPr>
      </w:pPr>
      <w:r>
        <w:rPr>
          <w:rFonts w:ascii="Times New Roman" w:hAnsi="Times New Roman" w:cs="Times New Roman"/>
          <w:lang w:val="pl-PL"/>
        </w:rPr>
        <w:t>12</w:t>
      </w:r>
      <w:r>
        <w:rPr>
          <w:rFonts w:ascii="Times New Roman" w:hAnsi="Times New Roman" w:cs="Times New Roman"/>
          <w:lang w:val="pl-PL"/>
        </w:rPr>
        <w:t>/</w:t>
      </w:r>
      <w:r>
        <w:rPr>
          <w:rFonts w:ascii="Times New Roman" w:hAnsi="Times New Roman" w:cs="Times New Roman"/>
          <w:lang w:val="pl-PL"/>
        </w:rPr>
        <w:t>02</w:t>
      </w:r>
      <w:r>
        <w:rPr>
          <w:rFonts w:ascii="Times New Roman" w:hAnsi="Times New Roman" w:cs="Times New Roman"/>
          <w:lang w:val="pl-PL"/>
        </w:rPr>
        <w:t>/202</w:t>
      </w:r>
      <w:r>
        <w:rPr>
          <w:rFonts w:ascii="Times New Roman" w:hAnsi="Times New Roman" w:cs="Times New Roman"/>
          <w:lang w:val="pl-PL"/>
        </w:rPr>
        <w:t>4</w:t>
      </w:r>
    </w:p>
    <w:p w14:paraId="26231035" w14:textId="77777777" w:rsidR="00BA3F0D" w:rsidRPr="003D7CA4" w:rsidRDefault="00BA3F0D" w:rsidP="00D20465">
      <w:pPr>
        <w:spacing w:after="0" w:line="240" w:lineRule="auto"/>
        <w:jc w:val="both"/>
        <w:rPr>
          <w:rFonts w:asciiTheme="majorBidi" w:hAnsiTheme="majorBidi" w:cstheme="majorBidi"/>
          <w:lang w:val="pl-PL"/>
        </w:rPr>
      </w:pPr>
    </w:p>
    <w:sectPr w:rsidR="00BA3F0D" w:rsidRPr="003D7CA4" w:rsidSect="000B30E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4369" w14:textId="77777777" w:rsidR="00FA7550" w:rsidRDefault="00FA7550" w:rsidP="004535F6">
      <w:pPr>
        <w:spacing w:after="0" w:line="240" w:lineRule="auto"/>
      </w:pPr>
      <w:r>
        <w:separator/>
      </w:r>
    </w:p>
  </w:endnote>
  <w:endnote w:type="continuationSeparator" w:id="0">
    <w:p w14:paraId="1C1A4F44" w14:textId="77777777" w:rsidR="00FA7550" w:rsidRDefault="00FA7550" w:rsidP="0045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529F" w14:textId="77777777" w:rsidR="00FA7550" w:rsidRDefault="00FA7550" w:rsidP="004535F6">
      <w:pPr>
        <w:spacing w:after="0" w:line="240" w:lineRule="auto"/>
      </w:pPr>
      <w:r>
        <w:separator/>
      </w:r>
    </w:p>
  </w:footnote>
  <w:footnote w:type="continuationSeparator" w:id="0">
    <w:p w14:paraId="65D60AE3" w14:textId="77777777" w:rsidR="00FA7550" w:rsidRDefault="00FA7550" w:rsidP="00453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3FB4"/>
    <w:multiLevelType w:val="hybridMultilevel"/>
    <w:tmpl w:val="E9DE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565DF"/>
    <w:multiLevelType w:val="hybridMultilevel"/>
    <w:tmpl w:val="F10A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22642"/>
    <w:multiLevelType w:val="hybridMultilevel"/>
    <w:tmpl w:val="D8D4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707D2"/>
    <w:multiLevelType w:val="hybridMultilevel"/>
    <w:tmpl w:val="31A03636"/>
    <w:lvl w:ilvl="0" w:tplc="0E705A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203884">
    <w:abstractNumId w:val="0"/>
  </w:num>
  <w:num w:numId="2" w16cid:durableId="832915247">
    <w:abstractNumId w:val="3"/>
  </w:num>
  <w:num w:numId="3" w16cid:durableId="216556173">
    <w:abstractNumId w:val="2"/>
  </w:num>
  <w:num w:numId="4" w16cid:durableId="105430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2MLI0MjAxNbMwsrBQ0lEKTi0uzszPAykwqQUAt7tiuiwAAAA="/>
  </w:docVars>
  <w:rsids>
    <w:rsidRoot w:val="008402A3"/>
    <w:rsid w:val="000022D7"/>
    <w:rsid w:val="00005733"/>
    <w:rsid w:val="0001117D"/>
    <w:rsid w:val="000123A0"/>
    <w:rsid w:val="00052EBF"/>
    <w:rsid w:val="00056278"/>
    <w:rsid w:val="00061934"/>
    <w:rsid w:val="000619AF"/>
    <w:rsid w:val="00064091"/>
    <w:rsid w:val="000703B4"/>
    <w:rsid w:val="000772BC"/>
    <w:rsid w:val="00091863"/>
    <w:rsid w:val="000933A3"/>
    <w:rsid w:val="00095388"/>
    <w:rsid w:val="000974FE"/>
    <w:rsid w:val="00097969"/>
    <w:rsid w:val="000B30ED"/>
    <w:rsid w:val="000B77EC"/>
    <w:rsid w:val="000C0849"/>
    <w:rsid w:val="000C68B1"/>
    <w:rsid w:val="000D25D3"/>
    <w:rsid w:val="000D4A47"/>
    <w:rsid w:val="000F6E93"/>
    <w:rsid w:val="000F761D"/>
    <w:rsid w:val="00103F7B"/>
    <w:rsid w:val="00105F2A"/>
    <w:rsid w:val="001135BB"/>
    <w:rsid w:val="0011420F"/>
    <w:rsid w:val="001174D1"/>
    <w:rsid w:val="00121EB5"/>
    <w:rsid w:val="001230F2"/>
    <w:rsid w:val="00131679"/>
    <w:rsid w:val="001359A7"/>
    <w:rsid w:val="00140B4B"/>
    <w:rsid w:val="00151799"/>
    <w:rsid w:val="00157203"/>
    <w:rsid w:val="00164010"/>
    <w:rsid w:val="00171DBC"/>
    <w:rsid w:val="00180C86"/>
    <w:rsid w:val="00181374"/>
    <w:rsid w:val="00191536"/>
    <w:rsid w:val="001B4515"/>
    <w:rsid w:val="001D1D56"/>
    <w:rsid w:val="001E115C"/>
    <w:rsid w:val="001E5CDC"/>
    <w:rsid w:val="002212BC"/>
    <w:rsid w:val="002543DB"/>
    <w:rsid w:val="00255918"/>
    <w:rsid w:val="002576F8"/>
    <w:rsid w:val="00265F7A"/>
    <w:rsid w:val="0028074D"/>
    <w:rsid w:val="002816E1"/>
    <w:rsid w:val="0028329A"/>
    <w:rsid w:val="002A0634"/>
    <w:rsid w:val="002A06F2"/>
    <w:rsid w:val="002B580D"/>
    <w:rsid w:val="002C59E7"/>
    <w:rsid w:val="002D4764"/>
    <w:rsid w:val="002D6E1C"/>
    <w:rsid w:val="002E5D9A"/>
    <w:rsid w:val="002F394B"/>
    <w:rsid w:val="0030402D"/>
    <w:rsid w:val="003064AF"/>
    <w:rsid w:val="00330A9F"/>
    <w:rsid w:val="00331D1A"/>
    <w:rsid w:val="00335108"/>
    <w:rsid w:val="003419BC"/>
    <w:rsid w:val="00345B56"/>
    <w:rsid w:val="00366FDA"/>
    <w:rsid w:val="003742C3"/>
    <w:rsid w:val="00377ED5"/>
    <w:rsid w:val="003828A1"/>
    <w:rsid w:val="003833A9"/>
    <w:rsid w:val="00386BDC"/>
    <w:rsid w:val="003872CE"/>
    <w:rsid w:val="00390C9A"/>
    <w:rsid w:val="003964A5"/>
    <w:rsid w:val="003B0D2A"/>
    <w:rsid w:val="003B709F"/>
    <w:rsid w:val="003D6EB9"/>
    <w:rsid w:val="003D72EE"/>
    <w:rsid w:val="003D7CA4"/>
    <w:rsid w:val="003F3C78"/>
    <w:rsid w:val="003F76BC"/>
    <w:rsid w:val="00404413"/>
    <w:rsid w:val="00406A66"/>
    <w:rsid w:val="00410B75"/>
    <w:rsid w:val="004225C6"/>
    <w:rsid w:val="00427280"/>
    <w:rsid w:val="0044671E"/>
    <w:rsid w:val="004535F6"/>
    <w:rsid w:val="00472001"/>
    <w:rsid w:val="00473BCE"/>
    <w:rsid w:val="00490B51"/>
    <w:rsid w:val="00494AEB"/>
    <w:rsid w:val="004A121C"/>
    <w:rsid w:val="004B2B32"/>
    <w:rsid w:val="004B3417"/>
    <w:rsid w:val="004B354B"/>
    <w:rsid w:val="004C370F"/>
    <w:rsid w:val="004C6530"/>
    <w:rsid w:val="004D3A67"/>
    <w:rsid w:val="004E1767"/>
    <w:rsid w:val="004E1A82"/>
    <w:rsid w:val="004E51D1"/>
    <w:rsid w:val="004F2B02"/>
    <w:rsid w:val="0053372F"/>
    <w:rsid w:val="00534451"/>
    <w:rsid w:val="005441F4"/>
    <w:rsid w:val="00545269"/>
    <w:rsid w:val="00554BF5"/>
    <w:rsid w:val="0057416E"/>
    <w:rsid w:val="00575FF4"/>
    <w:rsid w:val="0059353E"/>
    <w:rsid w:val="00595985"/>
    <w:rsid w:val="005A06F5"/>
    <w:rsid w:val="005A1726"/>
    <w:rsid w:val="005A18FC"/>
    <w:rsid w:val="005A338F"/>
    <w:rsid w:val="005B200B"/>
    <w:rsid w:val="005B5104"/>
    <w:rsid w:val="005C189A"/>
    <w:rsid w:val="005C6303"/>
    <w:rsid w:val="005D1D49"/>
    <w:rsid w:val="005D1FC1"/>
    <w:rsid w:val="005D485E"/>
    <w:rsid w:val="005F7056"/>
    <w:rsid w:val="006050F0"/>
    <w:rsid w:val="00613B57"/>
    <w:rsid w:val="00625A56"/>
    <w:rsid w:val="0063587A"/>
    <w:rsid w:val="00641941"/>
    <w:rsid w:val="006574E9"/>
    <w:rsid w:val="00657791"/>
    <w:rsid w:val="0066541C"/>
    <w:rsid w:val="00666114"/>
    <w:rsid w:val="00671DA2"/>
    <w:rsid w:val="00677A21"/>
    <w:rsid w:val="006A6113"/>
    <w:rsid w:val="006C0DE9"/>
    <w:rsid w:val="006C1C3D"/>
    <w:rsid w:val="006C38CA"/>
    <w:rsid w:val="006F02E0"/>
    <w:rsid w:val="006F3393"/>
    <w:rsid w:val="00745D12"/>
    <w:rsid w:val="00754B5C"/>
    <w:rsid w:val="007564F0"/>
    <w:rsid w:val="0076161E"/>
    <w:rsid w:val="0076230C"/>
    <w:rsid w:val="00771D9F"/>
    <w:rsid w:val="007755EB"/>
    <w:rsid w:val="00775CA5"/>
    <w:rsid w:val="00780DDC"/>
    <w:rsid w:val="00780EA8"/>
    <w:rsid w:val="00786DB0"/>
    <w:rsid w:val="0079596C"/>
    <w:rsid w:val="007A3B60"/>
    <w:rsid w:val="007B3579"/>
    <w:rsid w:val="007B5DA7"/>
    <w:rsid w:val="007C3AA5"/>
    <w:rsid w:val="007D663C"/>
    <w:rsid w:val="007F24F8"/>
    <w:rsid w:val="007F5D23"/>
    <w:rsid w:val="00814E1F"/>
    <w:rsid w:val="00835C2A"/>
    <w:rsid w:val="008402A3"/>
    <w:rsid w:val="00843FE0"/>
    <w:rsid w:val="00857049"/>
    <w:rsid w:val="00867A26"/>
    <w:rsid w:val="0087559E"/>
    <w:rsid w:val="00880755"/>
    <w:rsid w:val="0088626D"/>
    <w:rsid w:val="00896423"/>
    <w:rsid w:val="008A1500"/>
    <w:rsid w:val="008B00C6"/>
    <w:rsid w:val="008B2928"/>
    <w:rsid w:val="008C067C"/>
    <w:rsid w:val="00901EC7"/>
    <w:rsid w:val="00902476"/>
    <w:rsid w:val="00907CF9"/>
    <w:rsid w:val="00926372"/>
    <w:rsid w:val="009330F8"/>
    <w:rsid w:val="009365CB"/>
    <w:rsid w:val="00940B55"/>
    <w:rsid w:val="00941454"/>
    <w:rsid w:val="00945E8C"/>
    <w:rsid w:val="0095023F"/>
    <w:rsid w:val="00950BA3"/>
    <w:rsid w:val="009521F9"/>
    <w:rsid w:val="009700D6"/>
    <w:rsid w:val="00980A56"/>
    <w:rsid w:val="00985D99"/>
    <w:rsid w:val="009A16FB"/>
    <w:rsid w:val="009A6BD4"/>
    <w:rsid w:val="009B39BF"/>
    <w:rsid w:val="009B4398"/>
    <w:rsid w:val="009C37B9"/>
    <w:rsid w:val="009D4223"/>
    <w:rsid w:val="00A02E1F"/>
    <w:rsid w:val="00A05D4F"/>
    <w:rsid w:val="00A67D20"/>
    <w:rsid w:val="00A67DA3"/>
    <w:rsid w:val="00A82042"/>
    <w:rsid w:val="00AA2DF0"/>
    <w:rsid w:val="00AA5F15"/>
    <w:rsid w:val="00AA6F95"/>
    <w:rsid w:val="00AB2736"/>
    <w:rsid w:val="00AB4374"/>
    <w:rsid w:val="00AC4A24"/>
    <w:rsid w:val="00AD25C7"/>
    <w:rsid w:val="00AF2983"/>
    <w:rsid w:val="00B05FF6"/>
    <w:rsid w:val="00B12AF0"/>
    <w:rsid w:val="00B27D85"/>
    <w:rsid w:val="00B33010"/>
    <w:rsid w:val="00B3715E"/>
    <w:rsid w:val="00B465C5"/>
    <w:rsid w:val="00B52B49"/>
    <w:rsid w:val="00B530FB"/>
    <w:rsid w:val="00B55060"/>
    <w:rsid w:val="00B57798"/>
    <w:rsid w:val="00B60F84"/>
    <w:rsid w:val="00B640B9"/>
    <w:rsid w:val="00B7186A"/>
    <w:rsid w:val="00B82FF8"/>
    <w:rsid w:val="00B862A3"/>
    <w:rsid w:val="00B87F88"/>
    <w:rsid w:val="00B91752"/>
    <w:rsid w:val="00B9218B"/>
    <w:rsid w:val="00B95807"/>
    <w:rsid w:val="00BA07EF"/>
    <w:rsid w:val="00BA29AF"/>
    <w:rsid w:val="00BA3F0D"/>
    <w:rsid w:val="00BA6751"/>
    <w:rsid w:val="00BC35CF"/>
    <w:rsid w:val="00BC44C0"/>
    <w:rsid w:val="00BC49D7"/>
    <w:rsid w:val="00BC7517"/>
    <w:rsid w:val="00BD1D07"/>
    <w:rsid w:val="00BD21CE"/>
    <w:rsid w:val="00BD5B06"/>
    <w:rsid w:val="00BF374E"/>
    <w:rsid w:val="00BF6B0E"/>
    <w:rsid w:val="00C04E9F"/>
    <w:rsid w:val="00C1176A"/>
    <w:rsid w:val="00C165E7"/>
    <w:rsid w:val="00C1706B"/>
    <w:rsid w:val="00C360A9"/>
    <w:rsid w:val="00C52B65"/>
    <w:rsid w:val="00C657B1"/>
    <w:rsid w:val="00C67519"/>
    <w:rsid w:val="00C73A4D"/>
    <w:rsid w:val="00C76707"/>
    <w:rsid w:val="00C77BCC"/>
    <w:rsid w:val="00C87FCA"/>
    <w:rsid w:val="00C96300"/>
    <w:rsid w:val="00CA0BA3"/>
    <w:rsid w:val="00CC32AC"/>
    <w:rsid w:val="00CC790C"/>
    <w:rsid w:val="00CE0541"/>
    <w:rsid w:val="00CE73A5"/>
    <w:rsid w:val="00D20465"/>
    <w:rsid w:val="00D50883"/>
    <w:rsid w:val="00D50F0E"/>
    <w:rsid w:val="00D564AB"/>
    <w:rsid w:val="00D7451A"/>
    <w:rsid w:val="00D750A3"/>
    <w:rsid w:val="00D93C1C"/>
    <w:rsid w:val="00DA042D"/>
    <w:rsid w:val="00DA7FA9"/>
    <w:rsid w:val="00DB07A3"/>
    <w:rsid w:val="00DB47EF"/>
    <w:rsid w:val="00DD4076"/>
    <w:rsid w:val="00DE6767"/>
    <w:rsid w:val="00DF40FF"/>
    <w:rsid w:val="00DF7B2F"/>
    <w:rsid w:val="00E01857"/>
    <w:rsid w:val="00E078CD"/>
    <w:rsid w:val="00E17B38"/>
    <w:rsid w:val="00E270DA"/>
    <w:rsid w:val="00E37F72"/>
    <w:rsid w:val="00E57672"/>
    <w:rsid w:val="00E71AE2"/>
    <w:rsid w:val="00E9065A"/>
    <w:rsid w:val="00E9133C"/>
    <w:rsid w:val="00E9378A"/>
    <w:rsid w:val="00E95FF2"/>
    <w:rsid w:val="00EC3B6C"/>
    <w:rsid w:val="00EC688C"/>
    <w:rsid w:val="00EE1168"/>
    <w:rsid w:val="00EF0684"/>
    <w:rsid w:val="00EF1A5D"/>
    <w:rsid w:val="00F03FD3"/>
    <w:rsid w:val="00F34DD5"/>
    <w:rsid w:val="00F34FCA"/>
    <w:rsid w:val="00F472A5"/>
    <w:rsid w:val="00F47C22"/>
    <w:rsid w:val="00F612CB"/>
    <w:rsid w:val="00F706B9"/>
    <w:rsid w:val="00F92C5B"/>
    <w:rsid w:val="00FA7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36E"/>
  <w15:docId w15:val="{BBFDC51B-5611-4476-821B-A310FBE3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3BCE"/>
    <w:pPr>
      <w:ind w:left="720"/>
      <w:contextualSpacing/>
    </w:pPr>
  </w:style>
  <w:style w:type="paragraph" w:styleId="Tekstdymka">
    <w:name w:val="Balloon Text"/>
    <w:basedOn w:val="Normalny"/>
    <w:link w:val="TekstdymkaZnak"/>
    <w:uiPriority w:val="99"/>
    <w:semiHidden/>
    <w:unhideWhenUsed/>
    <w:rsid w:val="009A16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16FB"/>
    <w:rPr>
      <w:rFonts w:ascii="Tahoma" w:hAnsi="Tahoma" w:cs="Tahoma"/>
      <w:sz w:val="16"/>
      <w:szCs w:val="16"/>
    </w:rPr>
  </w:style>
  <w:style w:type="character" w:styleId="Odwoaniedokomentarza">
    <w:name w:val="annotation reference"/>
    <w:basedOn w:val="Domylnaczcionkaakapitu"/>
    <w:uiPriority w:val="99"/>
    <w:semiHidden/>
    <w:unhideWhenUsed/>
    <w:rsid w:val="008B2928"/>
    <w:rPr>
      <w:sz w:val="16"/>
      <w:szCs w:val="16"/>
    </w:rPr>
  </w:style>
  <w:style w:type="paragraph" w:styleId="Tekstkomentarza">
    <w:name w:val="annotation text"/>
    <w:basedOn w:val="Normalny"/>
    <w:link w:val="TekstkomentarzaZnak"/>
    <w:uiPriority w:val="99"/>
    <w:unhideWhenUsed/>
    <w:rsid w:val="008B2928"/>
    <w:pPr>
      <w:spacing w:line="240" w:lineRule="auto"/>
    </w:pPr>
    <w:rPr>
      <w:sz w:val="20"/>
      <w:szCs w:val="20"/>
    </w:rPr>
  </w:style>
  <w:style w:type="character" w:customStyle="1" w:styleId="TekstkomentarzaZnak">
    <w:name w:val="Tekst komentarza Znak"/>
    <w:basedOn w:val="Domylnaczcionkaakapitu"/>
    <w:link w:val="Tekstkomentarza"/>
    <w:uiPriority w:val="99"/>
    <w:rsid w:val="008B2928"/>
    <w:rPr>
      <w:sz w:val="20"/>
      <w:szCs w:val="20"/>
    </w:rPr>
  </w:style>
  <w:style w:type="paragraph" w:styleId="Tematkomentarza">
    <w:name w:val="annotation subject"/>
    <w:basedOn w:val="Tekstkomentarza"/>
    <w:next w:val="Tekstkomentarza"/>
    <w:link w:val="TematkomentarzaZnak"/>
    <w:uiPriority w:val="99"/>
    <w:semiHidden/>
    <w:unhideWhenUsed/>
    <w:rsid w:val="008B2928"/>
    <w:rPr>
      <w:b/>
      <w:bCs/>
    </w:rPr>
  </w:style>
  <w:style w:type="character" w:customStyle="1" w:styleId="TematkomentarzaZnak">
    <w:name w:val="Temat komentarza Znak"/>
    <w:basedOn w:val="TekstkomentarzaZnak"/>
    <w:link w:val="Tematkomentarza"/>
    <w:uiPriority w:val="99"/>
    <w:semiHidden/>
    <w:rsid w:val="008B2928"/>
    <w:rPr>
      <w:b/>
      <w:bCs/>
      <w:sz w:val="20"/>
      <w:szCs w:val="20"/>
    </w:rPr>
  </w:style>
  <w:style w:type="paragraph" w:styleId="Poprawka">
    <w:name w:val="Revision"/>
    <w:hidden/>
    <w:uiPriority w:val="99"/>
    <w:semiHidden/>
    <w:rsid w:val="008B2928"/>
    <w:pPr>
      <w:spacing w:after="0" w:line="240" w:lineRule="auto"/>
    </w:pPr>
  </w:style>
  <w:style w:type="paragraph" w:customStyle="1" w:styleId="BULLETS">
    <w:name w:val="_BULLETS"/>
    <w:basedOn w:val="Normalny"/>
    <w:qFormat/>
    <w:rsid w:val="00595985"/>
    <w:pPr>
      <w:tabs>
        <w:tab w:val="left" w:pos="284"/>
      </w:tabs>
      <w:spacing w:after="120" w:line="360" w:lineRule="auto"/>
      <w:ind w:left="284" w:hanging="284"/>
      <w:contextualSpacing/>
    </w:pPr>
    <w:rPr>
      <w:rFonts w:ascii="Arial" w:hAnsi="Arial"/>
      <w:lang w:val="pl-PL"/>
    </w:rPr>
  </w:style>
  <w:style w:type="paragraph" w:styleId="Nagwek">
    <w:name w:val="header"/>
    <w:basedOn w:val="Normalny"/>
    <w:link w:val="NagwekZnak"/>
    <w:uiPriority w:val="99"/>
    <w:unhideWhenUsed/>
    <w:rsid w:val="004535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35F6"/>
  </w:style>
  <w:style w:type="paragraph" w:styleId="Stopka">
    <w:name w:val="footer"/>
    <w:basedOn w:val="Normalny"/>
    <w:link w:val="StopkaZnak"/>
    <w:uiPriority w:val="99"/>
    <w:unhideWhenUsed/>
    <w:rsid w:val="004535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35F6"/>
  </w:style>
  <w:style w:type="paragraph" w:customStyle="1" w:styleId="TABLE">
    <w:name w:val="_TABLE"/>
    <w:basedOn w:val="Normalny"/>
    <w:qFormat/>
    <w:rsid w:val="00B82FF8"/>
    <w:pPr>
      <w:spacing w:after="0" w:line="240" w:lineRule="auto"/>
    </w:pPr>
    <w:rPr>
      <w:rFonts w:ascii="Arial" w:hAnsi="Arial"/>
      <w:sz w:val="18"/>
      <w:lang w:val="pl-PL"/>
    </w:rPr>
  </w:style>
  <w:style w:type="paragraph" w:customStyle="1" w:styleId="Default">
    <w:name w:val="Default"/>
    <w:rsid w:val="00B82FF8"/>
    <w:pPr>
      <w:autoSpaceDE w:val="0"/>
      <w:autoSpaceDN w:val="0"/>
      <w:adjustRightInd w:val="0"/>
      <w:spacing w:after="0" w:line="240" w:lineRule="auto"/>
    </w:pPr>
    <w:rPr>
      <w:rFonts w:ascii="Times New Roman" w:hAnsi="Times New Roman" w:cs="Times New Roman"/>
      <w:color w:val="000000"/>
      <w:sz w:val="24"/>
      <w:szCs w:val="24"/>
      <w:lang w:val="pl-PL"/>
    </w:rPr>
  </w:style>
  <w:style w:type="character" w:styleId="Hipercze">
    <w:name w:val="Hyperlink"/>
    <w:basedOn w:val="Domylnaczcionkaakapitu"/>
    <w:uiPriority w:val="99"/>
    <w:unhideWhenUsed/>
    <w:rsid w:val="00D750A3"/>
    <w:rPr>
      <w:color w:val="0000FF" w:themeColor="hyperlink"/>
      <w:u w:val="single"/>
    </w:rPr>
  </w:style>
  <w:style w:type="character" w:styleId="Nierozpoznanawzmianka">
    <w:name w:val="Unresolved Mention"/>
    <w:basedOn w:val="Domylnaczcionkaakapitu"/>
    <w:uiPriority w:val="99"/>
    <w:semiHidden/>
    <w:unhideWhenUsed/>
    <w:rsid w:val="00D75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72517">
      <w:bodyDiv w:val="1"/>
      <w:marLeft w:val="0"/>
      <w:marRight w:val="0"/>
      <w:marTop w:val="0"/>
      <w:marBottom w:val="0"/>
      <w:divBdr>
        <w:top w:val="none" w:sz="0" w:space="0" w:color="auto"/>
        <w:left w:val="none" w:sz="0" w:space="0" w:color="auto"/>
        <w:bottom w:val="none" w:sz="0" w:space="0" w:color="auto"/>
        <w:right w:val="none" w:sz="0" w:space="0" w:color="auto"/>
      </w:divBdr>
    </w:div>
    <w:div w:id="420951540">
      <w:bodyDiv w:val="1"/>
      <w:marLeft w:val="0"/>
      <w:marRight w:val="0"/>
      <w:marTop w:val="0"/>
      <w:marBottom w:val="0"/>
      <w:divBdr>
        <w:top w:val="none" w:sz="0" w:space="0" w:color="auto"/>
        <w:left w:val="none" w:sz="0" w:space="0" w:color="auto"/>
        <w:bottom w:val="none" w:sz="0" w:space="0" w:color="auto"/>
        <w:right w:val="none" w:sz="0" w:space="0" w:color="auto"/>
      </w:divBdr>
    </w:div>
    <w:div w:id="723018578">
      <w:bodyDiv w:val="1"/>
      <w:marLeft w:val="0"/>
      <w:marRight w:val="0"/>
      <w:marTop w:val="0"/>
      <w:marBottom w:val="0"/>
      <w:divBdr>
        <w:top w:val="none" w:sz="0" w:space="0" w:color="auto"/>
        <w:left w:val="none" w:sz="0" w:space="0" w:color="auto"/>
        <w:bottom w:val="none" w:sz="0" w:space="0" w:color="auto"/>
        <w:right w:val="none" w:sz="0" w:space="0" w:color="auto"/>
      </w:divBdr>
    </w:div>
    <w:div w:id="1406563882">
      <w:bodyDiv w:val="1"/>
      <w:marLeft w:val="0"/>
      <w:marRight w:val="0"/>
      <w:marTop w:val="0"/>
      <w:marBottom w:val="0"/>
      <w:divBdr>
        <w:top w:val="none" w:sz="0" w:space="0" w:color="auto"/>
        <w:left w:val="none" w:sz="0" w:space="0" w:color="auto"/>
        <w:bottom w:val="none" w:sz="0" w:space="0" w:color="auto"/>
        <w:right w:val="none" w:sz="0" w:space="0" w:color="auto"/>
      </w:divBdr>
    </w:div>
    <w:div w:id="1545094135">
      <w:bodyDiv w:val="1"/>
      <w:marLeft w:val="0"/>
      <w:marRight w:val="0"/>
      <w:marTop w:val="0"/>
      <w:marBottom w:val="0"/>
      <w:divBdr>
        <w:top w:val="none" w:sz="0" w:space="0" w:color="auto"/>
        <w:left w:val="none" w:sz="0" w:space="0" w:color="auto"/>
        <w:bottom w:val="none" w:sz="0" w:space="0" w:color="auto"/>
        <w:right w:val="none" w:sz="0" w:space="0" w:color="auto"/>
      </w:divBdr>
    </w:div>
    <w:div w:id="1849253055">
      <w:bodyDiv w:val="1"/>
      <w:marLeft w:val="0"/>
      <w:marRight w:val="0"/>
      <w:marTop w:val="0"/>
      <w:marBottom w:val="0"/>
      <w:divBdr>
        <w:top w:val="none" w:sz="0" w:space="0" w:color="auto"/>
        <w:left w:val="none" w:sz="0" w:space="0" w:color="auto"/>
        <w:bottom w:val="none" w:sz="0" w:space="0" w:color="auto"/>
        <w:right w:val="none" w:sz="0" w:space="0" w:color="auto"/>
      </w:divBdr>
    </w:div>
    <w:div w:id="1924992736">
      <w:bodyDiv w:val="1"/>
      <w:marLeft w:val="0"/>
      <w:marRight w:val="0"/>
      <w:marTop w:val="0"/>
      <w:marBottom w:val="0"/>
      <w:divBdr>
        <w:top w:val="none" w:sz="0" w:space="0" w:color="auto"/>
        <w:left w:val="none" w:sz="0" w:space="0" w:color="auto"/>
        <w:bottom w:val="none" w:sz="0" w:space="0" w:color="auto"/>
        <w:right w:val="none" w:sz="0" w:space="0" w:color="auto"/>
      </w:divBdr>
    </w:div>
    <w:div w:id="21224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BC022824D29B42BC563E4E24B7E97D" ma:contentTypeVersion="0" ma:contentTypeDescription="Create a new document." ma:contentTypeScope="" ma:versionID="d6e1ea635510181dc507512d78b27d3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A7CBC-F968-4095-9A6A-599E94A24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CFE47A-0DC7-498A-A513-A361F05FA791}">
  <ds:schemaRefs>
    <ds:schemaRef ds:uri="http://schemas.microsoft.com/sharepoint/v3/contenttype/forms"/>
  </ds:schemaRefs>
</ds:datastoreItem>
</file>

<file path=customXml/itemProps3.xml><?xml version="1.0" encoding="utf-8"?>
<ds:datastoreItem xmlns:ds="http://schemas.openxmlformats.org/officeDocument/2006/customXml" ds:itemID="{E4E3FE6B-E4E1-4650-8F1F-3EA6D03847F4}">
  <ds:schemaRefs>
    <ds:schemaRef ds:uri="http://schemas.openxmlformats.org/officeDocument/2006/bibliography"/>
  </ds:schemaRefs>
</ds:datastoreItem>
</file>

<file path=customXml/itemProps4.xml><?xml version="1.0" encoding="utf-8"?>
<ds:datastoreItem xmlns:ds="http://schemas.openxmlformats.org/officeDocument/2006/customXml" ds:itemID="{A8847280-57C3-49D8-B962-57ED37032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4039</Words>
  <Characters>24238</Characters>
  <Application>Microsoft Office Word</Application>
  <DocSecurity>0</DocSecurity>
  <Lines>201</Lines>
  <Paragraphs>56</Paragraphs>
  <ScaleCrop>false</ScaleCrop>
  <HeadingPairs>
    <vt:vector size="6" baseType="variant">
      <vt:variant>
        <vt:lpstr>Tytuł</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PharmaSwiss</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Nevrklova, Michaela</dc:creator>
  <cp:lastModifiedBy>Zmarzlik-Borowska, Joanna</cp:lastModifiedBy>
  <cp:revision>4</cp:revision>
  <dcterms:created xsi:type="dcterms:W3CDTF">2023-10-31T11:08:00Z</dcterms:created>
  <dcterms:modified xsi:type="dcterms:W3CDTF">2024-02-16T13:50:00Z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0x010100FDBC022824D29B42BC563E4E24B7E97D</vt:lpwstr>
  </property>
  <property fmtid="{D5CDD505-2E9C-101B-9397-08002B2CF9AE}" pid="3" name="MSIP_Label_c449097d-8494-49be-8a4b-4e936cf918e5_Enabled">
    <vt:lpwstr>true</vt:lpwstr>
  </property>
  <property fmtid="{D5CDD505-2E9C-101B-9397-08002B2CF9AE}" pid="4" name="MSIP_Label_c449097d-8494-49be-8a4b-4e936cf918e5_SetDate">
    <vt:lpwstr>2022-07-01T15:15:24Z</vt:lpwstr>
  </property>
  <property fmtid="{D5CDD505-2E9C-101B-9397-08002B2CF9AE}" pid="5" name="MSIP_Label_c449097d-8494-49be-8a4b-4e936cf918e5_Method">
    <vt:lpwstr>Standard</vt:lpwstr>
  </property>
  <property fmtid="{D5CDD505-2E9C-101B-9397-08002B2CF9AE}" pid="6" name="MSIP_Label_c449097d-8494-49be-8a4b-4e936cf918e5_Name">
    <vt:lpwstr>CORP SpinCo Information Label</vt:lpwstr>
  </property>
  <property fmtid="{D5CDD505-2E9C-101B-9397-08002B2CF9AE}" pid="7" name="MSIP_Label_c449097d-8494-49be-8a4b-4e936cf918e5_SiteId">
    <vt:lpwstr>a72dda32-ee80-4da8-a3ac-ec0e9e41a50a</vt:lpwstr>
  </property>
  <property fmtid="{D5CDD505-2E9C-101B-9397-08002B2CF9AE}" pid="8" name="MSIP_Label_c449097d-8494-49be-8a4b-4e936cf918e5_ActionId">
    <vt:lpwstr>b357cc2b-d26a-4e11-a38a-d7a3320081e7</vt:lpwstr>
  </property>
  <property fmtid="{D5CDD505-2E9C-101B-9397-08002B2CF9AE}" pid="9" name="MSIP_Label_c449097d-8494-49be-8a4b-4e936cf918e5_ContentBits">
    <vt:lpwstr>0</vt:lpwstr>
  </property>
</Properties>
</file>