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64E2" w14:textId="77777777" w:rsidR="00A65887" w:rsidRDefault="00A41E97" w:rsidP="00A41E97">
      <w:pPr>
        <w:ind w:left="0" w:firstLine="0"/>
        <w:jc w:val="center"/>
        <w:rPr>
          <w:b/>
          <w:bCs/>
        </w:rPr>
      </w:pPr>
      <w:r>
        <w:rPr>
          <w:b/>
          <w:bCs/>
        </w:rPr>
        <w:t>CHARAKTERYSTYKA PRODUKTU LECZNICZEGO</w:t>
      </w:r>
    </w:p>
    <w:p w14:paraId="7071E7D3" w14:textId="77777777" w:rsidR="00A41E97" w:rsidRPr="005C1EE7" w:rsidRDefault="00A41E97" w:rsidP="00A41E97">
      <w:pPr>
        <w:ind w:left="0" w:firstLine="0"/>
        <w:jc w:val="center"/>
      </w:pPr>
    </w:p>
    <w:p w14:paraId="5CD76C8E" w14:textId="77777777" w:rsidR="00A41E97" w:rsidRPr="005C1EE7" w:rsidRDefault="00A41E97" w:rsidP="00A41E97">
      <w:pPr>
        <w:ind w:left="0" w:firstLine="0"/>
        <w:jc w:val="center"/>
        <w:rPr>
          <w:i/>
          <w:sz w:val="20"/>
          <w:szCs w:val="20"/>
        </w:rPr>
      </w:pPr>
    </w:p>
    <w:p w14:paraId="4F6C7ACC" w14:textId="77777777" w:rsidR="00A65887" w:rsidRDefault="00A65887">
      <w:pPr>
        <w:ind w:left="0" w:firstLine="0"/>
        <w:rPr>
          <w:b/>
        </w:rPr>
      </w:pPr>
      <w:r>
        <w:rPr>
          <w:b/>
        </w:rPr>
        <w:t>1.</w:t>
      </w:r>
      <w:r>
        <w:rPr>
          <w:b/>
        </w:rPr>
        <w:tab/>
        <w:t>NAZWA PRODUKTU LECZNICZEGO</w:t>
      </w:r>
    </w:p>
    <w:p w14:paraId="0FAFBD94" w14:textId="77777777" w:rsidR="00451FE3" w:rsidRPr="005C1EE7" w:rsidRDefault="00451FE3">
      <w:pPr>
        <w:ind w:left="0" w:firstLine="0"/>
        <w:rPr>
          <w:szCs w:val="22"/>
        </w:rPr>
      </w:pPr>
    </w:p>
    <w:p w14:paraId="64088598" w14:textId="77777777" w:rsidR="002B5AC2" w:rsidRPr="00F859C0" w:rsidRDefault="002B5AC2">
      <w:pPr>
        <w:ind w:left="0" w:firstLine="0"/>
        <w:rPr>
          <w:szCs w:val="22"/>
        </w:rPr>
      </w:pPr>
      <w:r w:rsidRPr="00F859C0">
        <w:rPr>
          <w:szCs w:val="22"/>
        </w:rPr>
        <w:t>BEDICORT</w:t>
      </w:r>
      <w:r w:rsidR="004F089D" w:rsidRPr="00F859C0">
        <w:rPr>
          <w:szCs w:val="22"/>
        </w:rPr>
        <w:t xml:space="preserve"> </w:t>
      </w:r>
      <w:r w:rsidRPr="00F859C0">
        <w:rPr>
          <w:szCs w:val="22"/>
        </w:rPr>
        <w:t>G</w:t>
      </w:r>
      <w:r w:rsidR="00E3391E" w:rsidRPr="00F859C0">
        <w:rPr>
          <w:szCs w:val="22"/>
        </w:rPr>
        <w:t>, (0,5 mg + 1 mg)/g, maść</w:t>
      </w:r>
    </w:p>
    <w:p w14:paraId="35FA0637" w14:textId="7174B62F" w:rsidR="00A65887" w:rsidRPr="00F859C0" w:rsidRDefault="00A65887">
      <w:pPr>
        <w:ind w:left="0" w:firstLine="0"/>
      </w:pPr>
    </w:p>
    <w:p w14:paraId="257E11E7" w14:textId="77777777" w:rsidR="000D23EF" w:rsidRPr="00F859C0" w:rsidRDefault="000D23EF">
      <w:pPr>
        <w:ind w:left="0" w:firstLine="0"/>
      </w:pPr>
    </w:p>
    <w:p w14:paraId="53CD3855" w14:textId="58C2DFCD" w:rsidR="00A65887" w:rsidRDefault="00A65887">
      <w:pPr>
        <w:ind w:left="0" w:firstLine="0"/>
        <w:rPr>
          <w:b/>
        </w:rPr>
      </w:pPr>
      <w:r>
        <w:rPr>
          <w:b/>
        </w:rPr>
        <w:t>2.</w:t>
      </w:r>
      <w:r>
        <w:rPr>
          <w:b/>
        </w:rPr>
        <w:tab/>
        <w:t>SKŁAD JAKOŚCIOWY I ILOŚCIOWY</w:t>
      </w:r>
    </w:p>
    <w:p w14:paraId="02F6F23E" w14:textId="77777777" w:rsidR="00451FE3" w:rsidRDefault="00451FE3">
      <w:pPr>
        <w:ind w:left="0" w:firstLine="0"/>
        <w:rPr>
          <w:szCs w:val="22"/>
        </w:rPr>
      </w:pPr>
    </w:p>
    <w:p w14:paraId="56B7F470" w14:textId="4710B096" w:rsidR="002B5AC2" w:rsidRDefault="002B5AC2">
      <w:pPr>
        <w:ind w:left="0" w:firstLine="0"/>
        <w:rPr>
          <w:szCs w:val="22"/>
        </w:rPr>
      </w:pPr>
      <w:r w:rsidRPr="008145F6">
        <w:rPr>
          <w:szCs w:val="22"/>
        </w:rPr>
        <w:t xml:space="preserve">1 g </w:t>
      </w:r>
      <w:r w:rsidR="00FE169B">
        <w:rPr>
          <w:szCs w:val="22"/>
        </w:rPr>
        <w:t>maści</w:t>
      </w:r>
      <w:r w:rsidRPr="008145F6">
        <w:rPr>
          <w:szCs w:val="22"/>
        </w:rPr>
        <w:t xml:space="preserve"> zawiera 0,5 mg betametazonu </w:t>
      </w:r>
      <w:r w:rsidRPr="008145F6">
        <w:rPr>
          <w:i/>
          <w:szCs w:val="22"/>
        </w:rPr>
        <w:t>(Betamethasonum)</w:t>
      </w:r>
      <w:r w:rsidRPr="008145F6">
        <w:rPr>
          <w:szCs w:val="22"/>
        </w:rPr>
        <w:t xml:space="preserve"> w postaci betametazonu dipropionianu</w:t>
      </w:r>
      <w:r w:rsidRPr="008145F6">
        <w:rPr>
          <w:i/>
          <w:szCs w:val="22"/>
        </w:rPr>
        <w:t xml:space="preserve"> </w:t>
      </w:r>
      <w:r w:rsidR="00B634F0" w:rsidRPr="008145F6">
        <w:rPr>
          <w:szCs w:val="22"/>
        </w:rPr>
        <w:t>i</w:t>
      </w:r>
      <w:r w:rsidR="00B634F0">
        <w:rPr>
          <w:szCs w:val="22"/>
        </w:rPr>
        <w:t> </w:t>
      </w:r>
      <w:r w:rsidRPr="008145F6">
        <w:rPr>
          <w:szCs w:val="22"/>
        </w:rPr>
        <w:t>1</w:t>
      </w:r>
      <w:r w:rsidR="00FE169B">
        <w:rPr>
          <w:szCs w:val="22"/>
        </w:rPr>
        <w:t> </w:t>
      </w:r>
      <w:r w:rsidRPr="008145F6">
        <w:rPr>
          <w:szCs w:val="22"/>
        </w:rPr>
        <w:t>mg</w:t>
      </w:r>
      <w:r w:rsidRPr="008145F6">
        <w:rPr>
          <w:i/>
          <w:szCs w:val="22"/>
        </w:rPr>
        <w:t xml:space="preserve"> </w:t>
      </w:r>
      <w:r w:rsidRPr="008145F6">
        <w:rPr>
          <w:szCs w:val="22"/>
        </w:rPr>
        <w:t xml:space="preserve">gentamycyny </w:t>
      </w:r>
      <w:r w:rsidRPr="008145F6">
        <w:rPr>
          <w:i/>
          <w:szCs w:val="22"/>
        </w:rPr>
        <w:t>(Gentam</w:t>
      </w:r>
      <w:r w:rsidR="00B913CD">
        <w:rPr>
          <w:i/>
          <w:szCs w:val="22"/>
        </w:rPr>
        <w:t>i</w:t>
      </w:r>
      <w:r w:rsidRPr="008145F6">
        <w:rPr>
          <w:i/>
          <w:szCs w:val="22"/>
        </w:rPr>
        <w:t>cinum)</w:t>
      </w:r>
      <w:r w:rsidRPr="008145F6">
        <w:rPr>
          <w:szCs w:val="22"/>
        </w:rPr>
        <w:t xml:space="preserve"> w postaci gentamycyny siarczanu.</w:t>
      </w:r>
    </w:p>
    <w:p w14:paraId="6A294434" w14:textId="77777777" w:rsidR="00451FE3" w:rsidRDefault="00451FE3">
      <w:pPr>
        <w:ind w:left="0" w:firstLine="0"/>
        <w:rPr>
          <w:szCs w:val="22"/>
        </w:rPr>
      </w:pPr>
    </w:p>
    <w:p w14:paraId="13F33D8F" w14:textId="4C23A38E" w:rsidR="00451FE3" w:rsidRDefault="00E3391E">
      <w:pPr>
        <w:pStyle w:val="Tekstpodstawowy"/>
        <w:rPr>
          <w:szCs w:val="22"/>
        </w:rPr>
      </w:pPr>
      <w:r w:rsidRPr="00BE19F8">
        <w:rPr>
          <w:szCs w:val="22"/>
          <w:u w:val="single"/>
        </w:rPr>
        <w:t>Substancje pomocnicze o znanym działaniu</w:t>
      </w:r>
      <w:r>
        <w:rPr>
          <w:szCs w:val="22"/>
        </w:rPr>
        <w:t>: alkohol cetostearylowy, butylohydroksytoluen</w:t>
      </w:r>
      <w:r w:rsidR="00914D33">
        <w:rPr>
          <w:szCs w:val="22"/>
        </w:rPr>
        <w:t xml:space="preserve"> (E 321)</w:t>
      </w:r>
      <w:r>
        <w:rPr>
          <w:szCs w:val="22"/>
        </w:rPr>
        <w:t>, butylohydroksyanizol</w:t>
      </w:r>
      <w:r w:rsidR="00914D33">
        <w:rPr>
          <w:szCs w:val="22"/>
        </w:rPr>
        <w:t xml:space="preserve"> (E 320)</w:t>
      </w:r>
      <w:r>
        <w:rPr>
          <w:szCs w:val="22"/>
        </w:rPr>
        <w:t>.</w:t>
      </w:r>
    </w:p>
    <w:p w14:paraId="758D5A62" w14:textId="77777777" w:rsidR="002B5AC2" w:rsidRDefault="002B5AC2">
      <w:pPr>
        <w:pStyle w:val="Tekstpodstawowy"/>
        <w:rPr>
          <w:szCs w:val="22"/>
        </w:rPr>
      </w:pPr>
      <w:r w:rsidRPr="008145F6">
        <w:rPr>
          <w:szCs w:val="22"/>
        </w:rPr>
        <w:t>Pełny wykaz substancji pomocniczych, patrz punkt 6.1</w:t>
      </w:r>
    </w:p>
    <w:p w14:paraId="240E5A77" w14:textId="77777777" w:rsidR="000D23EF" w:rsidRDefault="000D23EF">
      <w:pPr>
        <w:ind w:left="0" w:firstLine="0"/>
      </w:pPr>
    </w:p>
    <w:p w14:paraId="7DCD8E67" w14:textId="77777777" w:rsidR="000D23EF" w:rsidRDefault="000D23EF">
      <w:pPr>
        <w:ind w:left="0" w:firstLine="0"/>
      </w:pPr>
    </w:p>
    <w:p w14:paraId="5A9F903E" w14:textId="5E0EEE01" w:rsidR="00A65887" w:rsidRDefault="00A65887">
      <w:pPr>
        <w:ind w:left="0" w:firstLine="0"/>
        <w:rPr>
          <w:b/>
        </w:rPr>
      </w:pPr>
      <w:r>
        <w:rPr>
          <w:b/>
        </w:rPr>
        <w:t>3.</w:t>
      </w:r>
      <w:r>
        <w:rPr>
          <w:b/>
        </w:rPr>
        <w:tab/>
        <w:t>POSTAĆ FARMACEUTYCZNA</w:t>
      </w:r>
    </w:p>
    <w:p w14:paraId="366D72CA" w14:textId="77777777" w:rsidR="00451FE3" w:rsidRDefault="00451FE3">
      <w:pPr>
        <w:ind w:left="0" w:firstLine="0"/>
        <w:rPr>
          <w:szCs w:val="22"/>
        </w:rPr>
      </w:pPr>
    </w:p>
    <w:p w14:paraId="1FD9882D" w14:textId="77777777" w:rsidR="002B5AC2" w:rsidRPr="008145F6" w:rsidRDefault="00FE169B">
      <w:pPr>
        <w:ind w:left="0" w:firstLine="0"/>
        <w:rPr>
          <w:szCs w:val="22"/>
        </w:rPr>
      </w:pPr>
      <w:r>
        <w:rPr>
          <w:szCs w:val="22"/>
        </w:rPr>
        <w:t>Maść</w:t>
      </w:r>
    </w:p>
    <w:p w14:paraId="7749E330" w14:textId="77777777" w:rsidR="002B5AC2" w:rsidRPr="008145F6" w:rsidRDefault="00FE169B">
      <w:pPr>
        <w:ind w:left="0" w:firstLine="0"/>
        <w:rPr>
          <w:szCs w:val="22"/>
        </w:rPr>
      </w:pPr>
      <w:r>
        <w:rPr>
          <w:szCs w:val="22"/>
        </w:rPr>
        <w:t>Biała lub prawie biała, półprzezroczysta maść</w:t>
      </w:r>
      <w:r w:rsidR="002B5AC2" w:rsidRPr="008145F6">
        <w:rPr>
          <w:szCs w:val="22"/>
        </w:rPr>
        <w:t>.</w:t>
      </w:r>
    </w:p>
    <w:p w14:paraId="689D9528" w14:textId="55B13BFB" w:rsidR="00A65887" w:rsidRDefault="00A65887">
      <w:pPr>
        <w:ind w:left="0" w:firstLine="0"/>
      </w:pPr>
    </w:p>
    <w:p w14:paraId="0B56E13B" w14:textId="77777777" w:rsidR="000D23EF" w:rsidRDefault="000D23EF">
      <w:pPr>
        <w:ind w:left="0" w:firstLine="0"/>
      </w:pPr>
    </w:p>
    <w:p w14:paraId="00700EF4" w14:textId="6C790FC5" w:rsidR="00A65887" w:rsidRDefault="00A65887">
      <w:pPr>
        <w:ind w:left="0" w:firstLine="0"/>
        <w:rPr>
          <w:b/>
        </w:rPr>
      </w:pPr>
      <w:r>
        <w:rPr>
          <w:b/>
        </w:rPr>
        <w:t>4.</w:t>
      </w:r>
      <w:r>
        <w:rPr>
          <w:b/>
        </w:rPr>
        <w:tab/>
        <w:t>SZCZEGÓŁOWE DANE KLINICZNE</w:t>
      </w:r>
    </w:p>
    <w:p w14:paraId="65FA5DF0" w14:textId="77777777" w:rsidR="00A65887" w:rsidRDefault="00A65887">
      <w:pPr>
        <w:ind w:left="0" w:firstLine="0"/>
      </w:pPr>
    </w:p>
    <w:p w14:paraId="50F29BFA" w14:textId="77777777" w:rsidR="00A65887" w:rsidRDefault="00A65887">
      <w:pPr>
        <w:ind w:left="0" w:firstLine="0"/>
        <w:rPr>
          <w:b/>
        </w:rPr>
      </w:pPr>
      <w:r>
        <w:rPr>
          <w:b/>
        </w:rPr>
        <w:t>4.1</w:t>
      </w:r>
      <w:r>
        <w:rPr>
          <w:b/>
        </w:rPr>
        <w:tab/>
        <w:t>Wskazania do stosowania</w:t>
      </w:r>
    </w:p>
    <w:p w14:paraId="06569852" w14:textId="77777777" w:rsidR="00451FE3" w:rsidRDefault="00451FE3" w:rsidP="005C1EE7">
      <w:pPr>
        <w:ind w:left="0" w:firstLine="0"/>
        <w:rPr>
          <w:szCs w:val="22"/>
        </w:rPr>
      </w:pPr>
    </w:p>
    <w:p w14:paraId="431E34BE" w14:textId="77777777" w:rsidR="002B5AC2" w:rsidRPr="008145F6" w:rsidRDefault="002B5AC2" w:rsidP="005C1EE7">
      <w:pPr>
        <w:ind w:left="0" w:firstLine="0"/>
        <w:rPr>
          <w:szCs w:val="22"/>
        </w:rPr>
      </w:pPr>
      <w:r w:rsidRPr="008145F6">
        <w:rPr>
          <w:szCs w:val="22"/>
        </w:rPr>
        <w:t xml:space="preserve">Bedicort G w postaci </w:t>
      </w:r>
      <w:r w:rsidR="00FE169B">
        <w:rPr>
          <w:szCs w:val="22"/>
        </w:rPr>
        <w:t>maści</w:t>
      </w:r>
      <w:r w:rsidRPr="008145F6">
        <w:rPr>
          <w:szCs w:val="22"/>
        </w:rPr>
        <w:t xml:space="preserve"> stosuje się miejscowo w leczeniu reagujących na leczenie </w:t>
      </w:r>
      <w:r w:rsidRPr="00176598">
        <w:rPr>
          <w:szCs w:val="22"/>
        </w:rPr>
        <w:t>kortykosteroidami sączących stanów zapalnych skóry (dermatozach, zwłaszcza o podłożu alergicznym), przebiegających z nadmiernym rogowaceniem, swędzeniem lub silnym odczynem alergicznym i powikłanych wtórnym zakażeniem bakteriami wrażliwymi na gentamycynę.</w:t>
      </w:r>
    </w:p>
    <w:p w14:paraId="78DA2447" w14:textId="77777777" w:rsidR="00451FE3" w:rsidRDefault="00451FE3" w:rsidP="005C1EE7">
      <w:pPr>
        <w:ind w:left="0" w:firstLine="0"/>
        <w:rPr>
          <w:szCs w:val="22"/>
        </w:rPr>
      </w:pPr>
    </w:p>
    <w:p w14:paraId="63AEAE07" w14:textId="77777777" w:rsidR="002B5AC2" w:rsidRPr="008145F6" w:rsidRDefault="002B5AC2" w:rsidP="005C1EE7">
      <w:pPr>
        <w:ind w:left="0" w:firstLine="0"/>
        <w:rPr>
          <w:szCs w:val="22"/>
        </w:rPr>
      </w:pPr>
      <w:r w:rsidRPr="008145F6">
        <w:rPr>
          <w:szCs w:val="22"/>
        </w:rPr>
        <w:t xml:space="preserve">Bedicort G </w:t>
      </w:r>
      <w:r w:rsidR="00FE169B">
        <w:rPr>
          <w:szCs w:val="22"/>
        </w:rPr>
        <w:t>maść</w:t>
      </w:r>
      <w:r w:rsidRPr="008145F6">
        <w:rPr>
          <w:szCs w:val="22"/>
        </w:rPr>
        <w:t xml:space="preserve"> stosuje się zwłaszcza w atopowym zapaleniu skóry, łojotokowym zapaleniu skóry, liszaju prostym przewlekłym, wyprysku rogowaciejącym, łuszczycy, alergicznym kontaktowym zapaleniu skóry, skórnej postaci tocznia rumieniowatego, rumieniu wielopostaciowym.</w:t>
      </w:r>
    </w:p>
    <w:p w14:paraId="3F5734A9" w14:textId="77777777" w:rsidR="00451FE3" w:rsidRDefault="00451FE3" w:rsidP="005C1EE7">
      <w:pPr>
        <w:pStyle w:val="Tekstpodstawowy"/>
        <w:rPr>
          <w:szCs w:val="22"/>
        </w:rPr>
      </w:pPr>
    </w:p>
    <w:p w14:paraId="0F8C0360" w14:textId="0E464F83" w:rsidR="002B5AC2" w:rsidRPr="008145F6" w:rsidRDefault="002B5AC2" w:rsidP="005C1EE7">
      <w:pPr>
        <w:pStyle w:val="Tekstpodstawowy"/>
        <w:rPr>
          <w:szCs w:val="22"/>
        </w:rPr>
      </w:pPr>
      <w:r w:rsidRPr="008145F6">
        <w:rPr>
          <w:szCs w:val="22"/>
        </w:rPr>
        <w:t xml:space="preserve">Ze względu na zawartość silnie działającego kortykosteroidu, </w:t>
      </w:r>
      <w:r w:rsidR="007355DB">
        <w:rPr>
          <w:szCs w:val="22"/>
        </w:rPr>
        <w:t>produkt</w:t>
      </w:r>
      <w:r w:rsidR="00C2610F">
        <w:rPr>
          <w:szCs w:val="22"/>
        </w:rPr>
        <w:t xml:space="preserve"> leczniczy</w:t>
      </w:r>
      <w:r w:rsidR="007355DB" w:rsidRPr="008145F6">
        <w:rPr>
          <w:szCs w:val="22"/>
        </w:rPr>
        <w:t xml:space="preserve"> </w:t>
      </w:r>
      <w:r w:rsidRPr="008145F6">
        <w:rPr>
          <w:szCs w:val="22"/>
        </w:rPr>
        <w:t xml:space="preserve">Bedicort G </w:t>
      </w:r>
      <w:r w:rsidR="000A30ED">
        <w:rPr>
          <w:szCs w:val="22"/>
        </w:rPr>
        <w:t>należy</w:t>
      </w:r>
      <w:r w:rsidRPr="008145F6">
        <w:rPr>
          <w:szCs w:val="22"/>
        </w:rPr>
        <w:t xml:space="preserve"> stosować na początku leczenia, przez krótki czas i na małe powierzchnie skóry.</w:t>
      </w:r>
    </w:p>
    <w:p w14:paraId="096A3466" w14:textId="77777777" w:rsidR="00A65887" w:rsidRDefault="00A65887">
      <w:pPr>
        <w:ind w:left="0" w:firstLine="0"/>
      </w:pPr>
    </w:p>
    <w:p w14:paraId="4A68DB36" w14:textId="7B5EE3DC" w:rsidR="00A65887" w:rsidRDefault="00A65887">
      <w:pPr>
        <w:ind w:left="0" w:firstLine="0"/>
        <w:rPr>
          <w:b/>
        </w:rPr>
      </w:pPr>
      <w:r>
        <w:rPr>
          <w:b/>
        </w:rPr>
        <w:t>4.2</w:t>
      </w:r>
      <w:r>
        <w:rPr>
          <w:b/>
        </w:rPr>
        <w:tab/>
        <w:t>Dawkowanie i sposób podawania</w:t>
      </w:r>
    </w:p>
    <w:p w14:paraId="33AE7C43" w14:textId="77777777" w:rsidR="00451FE3" w:rsidRDefault="00451FE3">
      <w:pPr>
        <w:ind w:left="0" w:firstLine="0"/>
        <w:rPr>
          <w:noProof/>
          <w:szCs w:val="22"/>
          <w:u w:val="single"/>
        </w:rPr>
      </w:pPr>
    </w:p>
    <w:p w14:paraId="47E1E16B" w14:textId="77777777" w:rsidR="00CE29CA" w:rsidRDefault="00CE29CA">
      <w:pPr>
        <w:ind w:left="0" w:firstLine="0"/>
        <w:rPr>
          <w:noProof/>
          <w:szCs w:val="22"/>
          <w:u w:val="single"/>
        </w:rPr>
      </w:pPr>
      <w:r>
        <w:rPr>
          <w:noProof/>
          <w:szCs w:val="22"/>
          <w:u w:val="single"/>
        </w:rPr>
        <w:t>Dawkowanie</w:t>
      </w:r>
    </w:p>
    <w:p w14:paraId="3F919FDC" w14:textId="164CE922" w:rsidR="00451FE3" w:rsidRDefault="002B5AC2" w:rsidP="005C1EE7">
      <w:pPr>
        <w:ind w:left="0" w:firstLine="0"/>
        <w:rPr>
          <w:szCs w:val="22"/>
        </w:rPr>
      </w:pPr>
      <w:r w:rsidRPr="008145F6">
        <w:rPr>
          <w:szCs w:val="22"/>
        </w:rPr>
        <w:t xml:space="preserve">Nakładać niewielką ilość </w:t>
      </w:r>
      <w:r w:rsidR="00FE169B">
        <w:rPr>
          <w:szCs w:val="22"/>
        </w:rPr>
        <w:t>maści</w:t>
      </w:r>
      <w:r w:rsidRPr="008145F6">
        <w:rPr>
          <w:szCs w:val="22"/>
        </w:rPr>
        <w:t xml:space="preserve"> na zmienioną chorobowo skórę raz lub dwa razy na dobę.</w:t>
      </w:r>
    </w:p>
    <w:p w14:paraId="50AE9A88" w14:textId="1F9876C0" w:rsidR="00451FE3" w:rsidRDefault="002B5AC2" w:rsidP="005C1EE7">
      <w:pPr>
        <w:ind w:left="0" w:firstLine="0"/>
        <w:rPr>
          <w:szCs w:val="22"/>
        </w:rPr>
      </w:pPr>
      <w:r w:rsidRPr="008145F6">
        <w:rPr>
          <w:szCs w:val="22"/>
        </w:rPr>
        <w:t xml:space="preserve">Nie należy stosować </w:t>
      </w:r>
      <w:r w:rsidR="007355DB">
        <w:rPr>
          <w:szCs w:val="22"/>
        </w:rPr>
        <w:t>produktu</w:t>
      </w:r>
      <w:r w:rsidR="007355DB" w:rsidRPr="008145F6">
        <w:rPr>
          <w:szCs w:val="22"/>
        </w:rPr>
        <w:t xml:space="preserve"> </w:t>
      </w:r>
      <w:r w:rsidR="00C2610F">
        <w:rPr>
          <w:szCs w:val="22"/>
        </w:rPr>
        <w:t xml:space="preserve">leczniczego </w:t>
      </w:r>
      <w:r w:rsidRPr="008145F6">
        <w:rPr>
          <w:szCs w:val="22"/>
        </w:rPr>
        <w:t>pod opatrunkiem okluzyjnym.</w:t>
      </w:r>
    </w:p>
    <w:p w14:paraId="556B248D" w14:textId="37107379" w:rsidR="002B5AC2" w:rsidRPr="008145F6" w:rsidRDefault="002B5AC2" w:rsidP="005C1EE7">
      <w:pPr>
        <w:ind w:left="0" w:firstLine="0"/>
        <w:rPr>
          <w:szCs w:val="22"/>
        </w:rPr>
      </w:pPr>
      <w:r w:rsidRPr="008145F6">
        <w:rPr>
          <w:szCs w:val="22"/>
        </w:rPr>
        <w:t>Leczenia nie należy prowadzić bez przerwy dłużej niż 2 tygodnie.</w:t>
      </w:r>
    </w:p>
    <w:p w14:paraId="0A662A90" w14:textId="77777777" w:rsidR="00CE29CA" w:rsidRDefault="00CE29CA">
      <w:pPr>
        <w:ind w:left="0" w:firstLine="0"/>
        <w:rPr>
          <w:noProof/>
          <w:szCs w:val="22"/>
        </w:rPr>
      </w:pPr>
    </w:p>
    <w:p w14:paraId="0C7B9B06" w14:textId="77777777" w:rsidR="00CE29CA" w:rsidRPr="00C90AED" w:rsidRDefault="00CE29CA">
      <w:pPr>
        <w:ind w:left="0" w:firstLine="0"/>
        <w:rPr>
          <w:noProof/>
          <w:szCs w:val="22"/>
          <w:u w:val="single"/>
        </w:rPr>
      </w:pPr>
      <w:r w:rsidRPr="00C90AED">
        <w:rPr>
          <w:noProof/>
          <w:szCs w:val="22"/>
          <w:u w:val="single"/>
        </w:rPr>
        <w:t>Dzieci i młodzież</w:t>
      </w:r>
    </w:p>
    <w:p w14:paraId="7CF6FE4E" w14:textId="77777777" w:rsidR="002B5AC2" w:rsidRDefault="00CD1159">
      <w:pPr>
        <w:ind w:left="0" w:firstLine="0"/>
        <w:rPr>
          <w:szCs w:val="22"/>
        </w:rPr>
      </w:pPr>
      <w:r>
        <w:rPr>
          <w:szCs w:val="22"/>
        </w:rPr>
        <w:t>Produktu leczniczego</w:t>
      </w:r>
      <w:r w:rsidRPr="008145F6">
        <w:rPr>
          <w:szCs w:val="22"/>
        </w:rPr>
        <w:t xml:space="preserve"> Bedicort G </w:t>
      </w:r>
      <w:r>
        <w:rPr>
          <w:szCs w:val="22"/>
        </w:rPr>
        <w:t>n</w:t>
      </w:r>
      <w:r w:rsidR="002B5AC2" w:rsidRPr="008145F6">
        <w:rPr>
          <w:szCs w:val="22"/>
        </w:rPr>
        <w:t>ie</w:t>
      </w:r>
      <w:r>
        <w:rPr>
          <w:szCs w:val="22"/>
        </w:rPr>
        <w:t xml:space="preserve"> należy</w:t>
      </w:r>
      <w:r w:rsidR="002B5AC2" w:rsidRPr="008145F6">
        <w:rPr>
          <w:szCs w:val="22"/>
        </w:rPr>
        <w:t xml:space="preserve"> stosować u dzieci w wieku do 12 lat.</w:t>
      </w:r>
    </w:p>
    <w:p w14:paraId="2A870154" w14:textId="77777777" w:rsidR="00451FE3" w:rsidRDefault="00451FE3">
      <w:pPr>
        <w:ind w:left="0" w:firstLine="0"/>
        <w:rPr>
          <w:szCs w:val="22"/>
        </w:rPr>
      </w:pPr>
    </w:p>
    <w:p w14:paraId="184ACB42" w14:textId="77777777" w:rsidR="00451FE3" w:rsidRPr="005C1EE7" w:rsidRDefault="00451FE3">
      <w:pPr>
        <w:ind w:left="0" w:firstLine="0"/>
        <w:rPr>
          <w:szCs w:val="22"/>
          <w:u w:val="single"/>
        </w:rPr>
      </w:pPr>
      <w:r w:rsidRPr="005C1EE7">
        <w:rPr>
          <w:szCs w:val="22"/>
          <w:u w:val="single"/>
        </w:rPr>
        <w:t>Sposób podawania</w:t>
      </w:r>
    </w:p>
    <w:p w14:paraId="0864715B" w14:textId="77777777" w:rsidR="00451FE3" w:rsidRPr="008145F6" w:rsidRDefault="00451FE3">
      <w:pPr>
        <w:ind w:left="0" w:firstLine="0"/>
        <w:rPr>
          <w:szCs w:val="22"/>
        </w:rPr>
      </w:pPr>
      <w:r>
        <w:rPr>
          <w:szCs w:val="22"/>
        </w:rPr>
        <w:t>Podanie</w:t>
      </w:r>
      <w:r w:rsidRPr="008145F6">
        <w:rPr>
          <w:szCs w:val="22"/>
        </w:rPr>
        <w:t xml:space="preserve"> na skórę.</w:t>
      </w:r>
    </w:p>
    <w:p w14:paraId="105D6363" w14:textId="77777777" w:rsidR="00A65887" w:rsidRDefault="00A65887">
      <w:pPr>
        <w:ind w:left="0" w:firstLine="0"/>
      </w:pPr>
    </w:p>
    <w:p w14:paraId="69BA90B3" w14:textId="77777777" w:rsidR="00A65887" w:rsidRDefault="00A65887" w:rsidP="005C1EE7">
      <w:pPr>
        <w:keepNext/>
        <w:ind w:left="0" w:firstLine="0"/>
        <w:rPr>
          <w:b/>
        </w:rPr>
      </w:pPr>
      <w:r>
        <w:rPr>
          <w:b/>
        </w:rPr>
        <w:lastRenderedPageBreak/>
        <w:t>4.3</w:t>
      </w:r>
      <w:r>
        <w:rPr>
          <w:b/>
        </w:rPr>
        <w:tab/>
        <w:t>Przeciwwskazania</w:t>
      </w:r>
    </w:p>
    <w:p w14:paraId="354E04A9" w14:textId="77777777" w:rsidR="00F74C40" w:rsidRDefault="00F74C40" w:rsidP="005C1EE7">
      <w:pPr>
        <w:keepNext/>
        <w:ind w:left="0" w:firstLine="0"/>
        <w:rPr>
          <w:szCs w:val="22"/>
        </w:rPr>
      </w:pPr>
    </w:p>
    <w:p w14:paraId="0D1594E0" w14:textId="77777777" w:rsidR="002B5AC2" w:rsidRDefault="009D008F" w:rsidP="005C1EE7">
      <w:pPr>
        <w:keepNext/>
        <w:ind w:left="0" w:firstLine="0"/>
        <w:rPr>
          <w:szCs w:val="22"/>
        </w:rPr>
      </w:pPr>
      <w:r>
        <w:rPr>
          <w:szCs w:val="22"/>
        </w:rPr>
        <w:t>N</w:t>
      </w:r>
      <w:r w:rsidR="002B5AC2" w:rsidRPr="008145F6">
        <w:rPr>
          <w:szCs w:val="22"/>
        </w:rPr>
        <w:t>adwrażliwoś</w:t>
      </w:r>
      <w:r>
        <w:rPr>
          <w:szCs w:val="22"/>
        </w:rPr>
        <w:t>ć</w:t>
      </w:r>
      <w:r w:rsidR="002B5AC2" w:rsidRPr="008145F6">
        <w:rPr>
          <w:szCs w:val="22"/>
        </w:rPr>
        <w:t xml:space="preserve"> na betametazonu dipropionian, gentamycynę </w:t>
      </w:r>
      <w:r>
        <w:rPr>
          <w:szCs w:val="22"/>
        </w:rPr>
        <w:t xml:space="preserve">lub </w:t>
      </w:r>
      <w:r w:rsidR="002B5AC2" w:rsidRPr="008145F6">
        <w:rPr>
          <w:szCs w:val="22"/>
        </w:rPr>
        <w:t xml:space="preserve">na którąkolwiek substancję pomocniczą </w:t>
      </w:r>
      <w:r>
        <w:rPr>
          <w:szCs w:val="22"/>
        </w:rPr>
        <w:t>wymienioną w punkcie 6.1.</w:t>
      </w:r>
    </w:p>
    <w:p w14:paraId="0FFD01D0" w14:textId="77777777" w:rsidR="006D1C04" w:rsidRDefault="006D1C04" w:rsidP="005C1EE7">
      <w:pPr>
        <w:widowControl w:val="0"/>
        <w:ind w:left="0" w:firstLine="0"/>
        <w:rPr>
          <w:szCs w:val="22"/>
        </w:rPr>
      </w:pPr>
    </w:p>
    <w:p w14:paraId="783B3105" w14:textId="77777777" w:rsidR="009D008F" w:rsidRPr="008145F6" w:rsidRDefault="009D008F" w:rsidP="005C1EE7">
      <w:pPr>
        <w:widowControl w:val="0"/>
        <w:ind w:left="0" w:firstLine="0"/>
        <w:rPr>
          <w:szCs w:val="22"/>
        </w:rPr>
      </w:pPr>
      <w:r w:rsidRPr="008145F6">
        <w:rPr>
          <w:szCs w:val="22"/>
        </w:rPr>
        <w:t>Nie stosować:</w:t>
      </w:r>
    </w:p>
    <w:p w14:paraId="11D49052" w14:textId="0D2ACCFD" w:rsidR="002B5AC2" w:rsidRPr="00160AD0" w:rsidRDefault="002B5AC2" w:rsidP="005C1EE7">
      <w:pPr>
        <w:pStyle w:val="Akapitzlist"/>
        <w:widowControl w:val="0"/>
        <w:numPr>
          <w:ilvl w:val="0"/>
          <w:numId w:val="9"/>
        </w:numPr>
        <w:ind w:left="567" w:hanging="567"/>
        <w:rPr>
          <w:szCs w:val="22"/>
        </w:rPr>
      </w:pPr>
      <w:r w:rsidRPr="00A17C43">
        <w:rPr>
          <w:szCs w:val="22"/>
        </w:rPr>
        <w:t>w wirusowych zakażeniach skóry (np. ospa wietrzna, opryszczka)</w:t>
      </w:r>
    </w:p>
    <w:p w14:paraId="22B144E0" w14:textId="3E06CC31" w:rsidR="002B5AC2" w:rsidRPr="00CE2489" w:rsidRDefault="002B5AC2" w:rsidP="005C1EE7">
      <w:pPr>
        <w:pStyle w:val="Akapitzlist"/>
        <w:widowControl w:val="0"/>
        <w:numPr>
          <w:ilvl w:val="0"/>
          <w:numId w:val="9"/>
        </w:numPr>
        <w:ind w:left="567" w:hanging="567"/>
        <w:rPr>
          <w:szCs w:val="22"/>
        </w:rPr>
      </w:pPr>
      <w:r w:rsidRPr="00B931FD">
        <w:rPr>
          <w:szCs w:val="22"/>
        </w:rPr>
        <w:t>w grzybiczych lub bakteryjnych (np. gruźlica) zakażeniach skóry</w:t>
      </w:r>
    </w:p>
    <w:p w14:paraId="05AC09DD" w14:textId="25D45C2E" w:rsidR="002B5AC2" w:rsidRPr="001F7349" w:rsidRDefault="002B5AC2" w:rsidP="005C1EE7">
      <w:pPr>
        <w:pStyle w:val="Akapitzlist"/>
        <w:numPr>
          <w:ilvl w:val="0"/>
          <w:numId w:val="9"/>
        </w:numPr>
        <w:ind w:left="567" w:hanging="567"/>
        <w:rPr>
          <w:szCs w:val="22"/>
        </w:rPr>
      </w:pPr>
      <w:r w:rsidRPr="001F7349">
        <w:rPr>
          <w:szCs w:val="22"/>
        </w:rPr>
        <w:t>w nowotworach skóry</w:t>
      </w:r>
    </w:p>
    <w:p w14:paraId="34031783" w14:textId="5EE10529" w:rsidR="002B5AC2" w:rsidRPr="00161C71" w:rsidRDefault="005E3AE4" w:rsidP="005C1EE7">
      <w:pPr>
        <w:pStyle w:val="Akapitzlist"/>
        <w:numPr>
          <w:ilvl w:val="0"/>
          <w:numId w:val="9"/>
        </w:numPr>
        <w:ind w:left="567" w:hanging="567"/>
        <w:rPr>
          <w:szCs w:val="22"/>
        </w:rPr>
      </w:pPr>
      <w:r w:rsidRPr="00161C71">
        <w:rPr>
          <w:szCs w:val="22"/>
        </w:rPr>
        <w:t xml:space="preserve">w </w:t>
      </w:r>
      <w:r w:rsidR="002B5AC2" w:rsidRPr="00161C71">
        <w:rPr>
          <w:szCs w:val="22"/>
        </w:rPr>
        <w:t>trądziku różowatym</w:t>
      </w:r>
    </w:p>
    <w:p w14:paraId="75A9C737" w14:textId="798FD56D" w:rsidR="002B5AC2" w:rsidRPr="00161C71" w:rsidRDefault="002B5AC2" w:rsidP="005C1EE7">
      <w:pPr>
        <w:pStyle w:val="Akapitzlist"/>
        <w:numPr>
          <w:ilvl w:val="0"/>
          <w:numId w:val="9"/>
        </w:numPr>
        <w:ind w:left="567" w:hanging="567"/>
        <w:rPr>
          <w:szCs w:val="22"/>
        </w:rPr>
      </w:pPr>
      <w:r w:rsidRPr="00161C71">
        <w:rPr>
          <w:szCs w:val="22"/>
        </w:rPr>
        <w:t>w trądziku pospolitym</w:t>
      </w:r>
    </w:p>
    <w:p w14:paraId="0D4C85E4" w14:textId="1DFBA724" w:rsidR="002B5AC2" w:rsidRPr="00161C71" w:rsidRDefault="002B5AC2" w:rsidP="005C1EE7">
      <w:pPr>
        <w:pStyle w:val="Akapitzlist"/>
        <w:numPr>
          <w:ilvl w:val="0"/>
          <w:numId w:val="9"/>
        </w:numPr>
        <w:ind w:left="567" w:hanging="567"/>
        <w:rPr>
          <w:szCs w:val="22"/>
        </w:rPr>
      </w:pPr>
      <w:r w:rsidRPr="00161C71">
        <w:rPr>
          <w:szCs w:val="22"/>
        </w:rPr>
        <w:t>w zapaleniu lub owrzodzeniu żylakowatym</w:t>
      </w:r>
    </w:p>
    <w:p w14:paraId="4BB92783" w14:textId="5A47E352" w:rsidR="002B5AC2" w:rsidRPr="00161C71" w:rsidRDefault="002B5AC2" w:rsidP="005C1EE7">
      <w:pPr>
        <w:pStyle w:val="Akapitzlist"/>
        <w:numPr>
          <w:ilvl w:val="0"/>
          <w:numId w:val="9"/>
        </w:numPr>
        <w:ind w:left="567" w:hanging="567"/>
        <w:rPr>
          <w:szCs w:val="22"/>
        </w:rPr>
      </w:pPr>
      <w:r w:rsidRPr="00161C71">
        <w:rPr>
          <w:szCs w:val="22"/>
        </w:rPr>
        <w:t>na rozległe zmiany skórne, zwłaszcza przebiegające z ubytkiem skóry, np. w oparzeniach</w:t>
      </w:r>
    </w:p>
    <w:p w14:paraId="192DA276" w14:textId="12E8B96D" w:rsidR="002B5AC2" w:rsidRPr="00161C71" w:rsidRDefault="002B5AC2" w:rsidP="005C1EE7">
      <w:pPr>
        <w:pStyle w:val="Akapitzlist"/>
        <w:numPr>
          <w:ilvl w:val="0"/>
          <w:numId w:val="9"/>
        </w:numPr>
        <w:ind w:left="567" w:hanging="567"/>
        <w:rPr>
          <w:szCs w:val="22"/>
        </w:rPr>
      </w:pPr>
      <w:r w:rsidRPr="00161C71">
        <w:rPr>
          <w:szCs w:val="22"/>
        </w:rPr>
        <w:t>długotrwale</w:t>
      </w:r>
    </w:p>
    <w:p w14:paraId="06BE427E" w14:textId="051E4F03" w:rsidR="002B5AC2" w:rsidRPr="00161C71" w:rsidRDefault="002B5AC2" w:rsidP="005C1EE7">
      <w:pPr>
        <w:pStyle w:val="Akapitzlist"/>
        <w:numPr>
          <w:ilvl w:val="0"/>
          <w:numId w:val="9"/>
        </w:numPr>
        <w:ind w:left="567" w:hanging="567"/>
        <w:rPr>
          <w:szCs w:val="22"/>
        </w:rPr>
      </w:pPr>
      <w:r w:rsidRPr="00161C71">
        <w:rPr>
          <w:szCs w:val="22"/>
        </w:rPr>
        <w:t>na skórę twarzy</w:t>
      </w:r>
    </w:p>
    <w:p w14:paraId="4C098309" w14:textId="76C9D358" w:rsidR="002B5AC2" w:rsidRPr="00161C71" w:rsidRDefault="002B5AC2" w:rsidP="005C1EE7">
      <w:pPr>
        <w:pStyle w:val="Akapitzlist"/>
        <w:numPr>
          <w:ilvl w:val="0"/>
          <w:numId w:val="9"/>
        </w:numPr>
        <w:ind w:left="567" w:hanging="567"/>
        <w:rPr>
          <w:szCs w:val="22"/>
        </w:rPr>
      </w:pPr>
      <w:r w:rsidRPr="00161C71">
        <w:rPr>
          <w:szCs w:val="22"/>
        </w:rPr>
        <w:t>u dzieci</w:t>
      </w:r>
      <w:r w:rsidR="00C2610F" w:rsidRPr="00161C71">
        <w:rPr>
          <w:szCs w:val="22"/>
        </w:rPr>
        <w:t xml:space="preserve"> w wieku</w:t>
      </w:r>
      <w:r w:rsidRPr="00161C71">
        <w:rPr>
          <w:szCs w:val="22"/>
        </w:rPr>
        <w:t xml:space="preserve"> </w:t>
      </w:r>
      <w:r w:rsidR="00BB5F3B" w:rsidRPr="00161C71">
        <w:rPr>
          <w:szCs w:val="22"/>
        </w:rPr>
        <w:t xml:space="preserve">do </w:t>
      </w:r>
      <w:r w:rsidRPr="00161C71">
        <w:rPr>
          <w:szCs w:val="22"/>
        </w:rPr>
        <w:t>12 lat</w:t>
      </w:r>
    </w:p>
    <w:p w14:paraId="23F4D101" w14:textId="37BDCC15" w:rsidR="002B5AC2" w:rsidRPr="00161C71" w:rsidRDefault="002B5AC2" w:rsidP="005C1EE7">
      <w:pPr>
        <w:pStyle w:val="Akapitzlist"/>
        <w:numPr>
          <w:ilvl w:val="0"/>
          <w:numId w:val="9"/>
        </w:numPr>
        <w:ind w:left="567" w:hanging="567"/>
        <w:rPr>
          <w:szCs w:val="22"/>
        </w:rPr>
      </w:pPr>
      <w:r w:rsidRPr="00161C71">
        <w:rPr>
          <w:szCs w:val="22"/>
        </w:rPr>
        <w:t>w okolicy odbytu i narządów płcio</w:t>
      </w:r>
      <w:r w:rsidR="00FE169B" w:rsidRPr="00161C71">
        <w:rPr>
          <w:szCs w:val="22"/>
        </w:rPr>
        <w:t>wych</w:t>
      </w:r>
    </w:p>
    <w:p w14:paraId="0202D9F3" w14:textId="074B17E0" w:rsidR="00FE169B" w:rsidRPr="00161C71" w:rsidRDefault="002B5AC2" w:rsidP="005C1EE7">
      <w:pPr>
        <w:pStyle w:val="Akapitzlist"/>
        <w:numPr>
          <w:ilvl w:val="0"/>
          <w:numId w:val="9"/>
        </w:numPr>
        <w:ind w:left="567" w:hanging="567"/>
        <w:rPr>
          <w:szCs w:val="22"/>
        </w:rPr>
      </w:pPr>
      <w:r w:rsidRPr="00161C71">
        <w:rPr>
          <w:szCs w:val="22"/>
        </w:rPr>
        <w:t>w zapaleniu skóry wokół ust</w:t>
      </w:r>
    </w:p>
    <w:p w14:paraId="426FF6CD" w14:textId="66DFA279" w:rsidR="002B5AC2" w:rsidRPr="00161C71" w:rsidRDefault="00FE169B" w:rsidP="005C1EE7">
      <w:pPr>
        <w:pStyle w:val="Akapitzlist"/>
        <w:numPr>
          <w:ilvl w:val="0"/>
          <w:numId w:val="9"/>
        </w:numPr>
        <w:ind w:left="567" w:hanging="567"/>
        <w:rPr>
          <w:szCs w:val="22"/>
        </w:rPr>
      </w:pPr>
      <w:r w:rsidRPr="00161C71">
        <w:rPr>
          <w:szCs w:val="22"/>
        </w:rPr>
        <w:t>w zakażeniach skóry bakteriami opornymi na gentamycynę</w:t>
      </w:r>
      <w:r w:rsidR="002B5AC2" w:rsidRPr="00161C71">
        <w:rPr>
          <w:szCs w:val="22"/>
        </w:rPr>
        <w:t>.</w:t>
      </w:r>
    </w:p>
    <w:p w14:paraId="5C5BE0CD" w14:textId="77777777" w:rsidR="00531226" w:rsidRDefault="00531226">
      <w:pPr>
        <w:ind w:left="0" w:firstLine="0"/>
        <w:rPr>
          <w:szCs w:val="22"/>
        </w:rPr>
      </w:pPr>
    </w:p>
    <w:p w14:paraId="4BCC1082" w14:textId="77777777" w:rsidR="00A65887" w:rsidRDefault="00A65887">
      <w:pPr>
        <w:ind w:left="0" w:firstLine="0"/>
        <w:rPr>
          <w:b/>
        </w:rPr>
      </w:pPr>
      <w:r>
        <w:rPr>
          <w:b/>
        </w:rPr>
        <w:t>4.4</w:t>
      </w:r>
      <w:r>
        <w:rPr>
          <w:b/>
        </w:rPr>
        <w:tab/>
        <w:t xml:space="preserve">Specjalne ostrzeżenia i środki ostrożności dotyczące stosowania </w:t>
      </w:r>
    </w:p>
    <w:p w14:paraId="6EA2249D" w14:textId="77777777" w:rsidR="00451FE3" w:rsidRDefault="00451FE3" w:rsidP="005C1EE7">
      <w:pPr>
        <w:overflowPunct w:val="0"/>
        <w:autoSpaceDE w:val="0"/>
        <w:autoSpaceDN w:val="0"/>
        <w:adjustRightInd w:val="0"/>
        <w:ind w:left="0" w:firstLine="0"/>
        <w:rPr>
          <w:szCs w:val="22"/>
        </w:rPr>
      </w:pPr>
    </w:p>
    <w:p w14:paraId="5D638F9F" w14:textId="7D7821A1" w:rsidR="002B5AC2" w:rsidRPr="005C1EE7" w:rsidRDefault="002B5AC2" w:rsidP="00DB65A0">
      <w:pPr>
        <w:overflowPunct w:val="0"/>
        <w:autoSpaceDE w:val="0"/>
        <w:autoSpaceDN w:val="0"/>
        <w:adjustRightInd w:val="0"/>
        <w:ind w:left="0" w:firstLine="0"/>
        <w:jc w:val="both"/>
        <w:rPr>
          <w:szCs w:val="22"/>
        </w:rPr>
      </w:pPr>
      <w:r w:rsidRPr="008145F6">
        <w:rPr>
          <w:szCs w:val="22"/>
        </w:rPr>
        <w:t xml:space="preserve">Jeśli po zastosowaniu </w:t>
      </w:r>
      <w:r w:rsidR="007355DB">
        <w:rPr>
          <w:szCs w:val="22"/>
        </w:rPr>
        <w:t>produktu leczniczego</w:t>
      </w:r>
      <w:r w:rsidR="007355DB" w:rsidRPr="008145F6">
        <w:rPr>
          <w:szCs w:val="22"/>
        </w:rPr>
        <w:t xml:space="preserve"> </w:t>
      </w:r>
      <w:r w:rsidRPr="008145F6">
        <w:rPr>
          <w:szCs w:val="22"/>
        </w:rPr>
        <w:t xml:space="preserve">Bedicort G w </w:t>
      </w:r>
      <w:r w:rsidR="00FE169B">
        <w:rPr>
          <w:szCs w:val="22"/>
        </w:rPr>
        <w:t>maści</w:t>
      </w:r>
      <w:r w:rsidRPr="008145F6">
        <w:rPr>
          <w:szCs w:val="22"/>
        </w:rPr>
        <w:t xml:space="preserve"> wystąpi skórna reakcja alergiczna (świąd, pieczenie lub zaczerwienienie skóry), należy natychmiast </w:t>
      </w:r>
      <w:r w:rsidR="005F0885">
        <w:rPr>
          <w:szCs w:val="22"/>
        </w:rPr>
        <w:t>przerwać jego stosowanie</w:t>
      </w:r>
      <w:r w:rsidRPr="008145F6">
        <w:rPr>
          <w:szCs w:val="22"/>
        </w:rPr>
        <w:t>.</w:t>
      </w:r>
    </w:p>
    <w:p w14:paraId="4F89B8E0" w14:textId="77777777" w:rsidR="00451FE3" w:rsidRPr="005C1EE7" w:rsidRDefault="00451FE3" w:rsidP="005C1EE7">
      <w:pPr>
        <w:overflowPunct w:val="0"/>
        <w:autoSpaceDE w:val="0"/>
        <w:autoSpaceDN w:val="0"/>
        <w:adjustRightInd w:val="0"/>
        <w:ind w:left="0" w:firstLine="0"/>
        <w:rPr>
          <w:bCs/>
          <w:szCs w:val="22"/>
        </w:rPr>
      </w:pPr>
    </w:p>
    <w:p w14:paraId="71865BB6" w14:textId="51F03A77" w:rsidR="002B5AC2" w:rsidRDefault="002B5AC2" w:rsidP="005C1EE7">
      <w:pPr>
        <w:overflowPunct w:val="0"/>
        <w:autoSpaceDE w:val="0"/>
        <w:autoSpaceDN w:val="0"/>
        <w:adjustRightInd w:val="0"/>
        <w:ind w:left="0" w:firstLine="0"/>
        <w:rPr>
          <w:szCs w:val="22"/>
        </w:rPr>
      </w:pPr>
      <w:r w:rsidRPr="008145F6">
        <w:rPr>
          <w:szCs w:val="22"/>
        </w:rPr>
        <w:t xml:space="preserve">Nie należy stosować okładów i opatrunków zamkniętych, gdyż mogą nasilać wchłanianie betametazonu </w:t>
      </w:r>
      <w:r w:rsidR="00DF68C0">
        <w:rPr>
          <w:szCs w:val="22"/>
        </w:rPr>
        <w:t>dipropionianu</w:t>
      </w:r>
      <w:r w:rsidR="00DF68C0" w:rsidRPr="008145F6">
        <w:rPr>
          <w:szCs w:val="22"/>
        </w:rPr>
        <w:t xml:space="preserve"> </w:t>
      </w:r>
      <w:r w:rsidRPr="008145F6">
        <w:rPr>
          <w:szCs w:val="22"/>
        </w:rPr>
        <w:t>przez skórę (patrz punkty 4.8 i 4.9) oraz może dojść do wtórnych zakażeń.</w:t>
      </w:r>
    </w:p>
    <w:p w14:paraId="4A795C5D" w14:textId="77777777" w:rsidR="005F0885" w:rsidRPr="008145F6" w:rsidRDefault="005F0885" w:rsidP="005C1EE7">
      <w:pPr>
        <w:overflowPunct w:val="0"/>
        <w:autoSpaceDE w:val="0"/>
        <w:autoSpaceDN w:val="0"/>
        <w:adjustRightInd w:val="0"/>
        <w:ind w:left="0" w:firstLine="0"/>
        <w:rPr>
          <w:szCs w:val="22"/>
        </w:rPr>
      </w:pPr>
    </w:p>
    <w:p w14:paraId="2CD93061" w14:textId="1A333208" w:rsidR="005F0885" w:rsidRDefault="005F0885" w:rsidP="005C1EE7">
      <w:pPr>
        <w:overflowPunct w:val="0"/>
        <w:autoSpaceDE w:val="0"/>
        <w:autoSpaceDN w:val="0"/>
        <w:adjustRightInd w:val="0"/>
        <w:ind w:left="0" w:firstLine="0"/>
        <w:rPr>
          <w:szCs w:val="22"/>
        </w:rPr>
      </w:pPr>
      <w:r>
        <w:rPr>
          <w:szCs w:val="22"/>
        </w:rPr>
        <w:t>Należy u</w:t>
      </w:r>
      <w:r w:rsidR="002B5AC2" w:rsidRPr="008145F6">
        <w:rPr>
          <w:szCs w:val="22"/>
        </w:rPr>
        <w:t xml:space="preserve">nikać kontaktu </w:t>
      </w:r>
      <w:r w:rsidR="007355DB">
        <w:rPr>
          <w:szCs w:val="22"/>
        </w:rPr>
        <w:t>produktu</w:t>
      </w:r>
      <w:r w:rsidR="007355DB" w:rsidRPr="008145F6">
        <w:rPr>
          <w:szCs w:val="22"/>
        </w:rPr>
        <w:t xml:space="preserve"> </w:t>
      </w:r>
      <w:r w:rsidR="00E86A77">
        <w:rPr>
          <w:szCs w:val="22"/>
        </w:rPr>
        <w:t xml:space="preserve">leczniczego </w:t>
      </w:r>
      <w:r w:rsidR="002B5AC2" w:rsidRPr="008145F6">
        <w:rPr>
          <w:szCs w:val="22"/>
        </w:rPr>
        <w:t xml:space="preserve">z oczami i błonami śluzowymi. </w:t>
      </w:r>
      <w:r>
        <w:rPr>
          <w:szCs w:val="22"/>
        </w:rPr>
        <w:t xml:space="preserve">Produktu </w:t>
      </w:r>
      <w:r w:rsidR="00E86A77">
        <w:rPr>
          <w:szCs w:val="22"/>
        </w:rPr>
        <w:t xml:space="preserve">leczniczego </w:t>
      </w:r>
      <w:r>
        <w:rPr>
          <w:szCs w:val="22"/>
        </w:rPr>
        <w:t>n</w:t>
      </w:r>
      <w:r w:rsidR="002B5AC2" w:rsidRPr="008145F6">
        <w:rPr>
          <w:szCs w:val="22"/>
        </w:rPr>
        <w:t xml:space="preserve">ie </w:t>
      </w:r>
      <w:r>
        <w:rPr>
          <w:szCs w:val="22"/>
        </w:rPr>
        <w:t xml:space="preserve">należy </w:t>
      </w:r>
      <w:r w:rsidR="002B5AC2" w:rsidRPr="008145F6">
        <w:rPr>
          <w:szCs w:val="22"/>
        </w:rPr>
        <w:t>stosować do oczu ani wokół oczu, ze względu na ryzyko wystąpienia jaskry lub zaćmy.</w:t>
      </w:r>
    </w:p>
    <w:p w14:paraId="2321D5DA" w14:textId="68122F80" w:rsidR="002B5AC2" w:rsidRPr="008145F6" w:rsidRDefault="002B5AC2" w:rsidP="005C1EE7">
      <w:pPr>
        <w:overflowPunct w:val="0"/>
        <w:autoSpaceDE w:val="0"/>
        <w:autoSpaceDN w:val="0"/>
        <w:adjustRightInd w:val="0"/>
        <w:ind w:left="0" w:firstLine="0"/>
        <w:rPr>
          <w:szCs w:val="22"/>
        </w:rPr>
      </w:pPr>
    </w:p>
    <w:p w14:paraId="6415D327" w14:textId="1CB53C4F" w:rsidR="002B5AC2" w:rsidRDefault="002B5AC2" w:rsidP="005C1EE7">
      <w:pPr>
        <w:overflowPunct w:val="0"/>
        <w:autoSpaceDE w:val="0"/>
        <w:autoSpaceDN w:val="0"/>
        <w:adjustRightInd w:val="0"/>
        <w:ind w:left="0" w:firstLine="0"/>
        <w:rPr>
          <w:szCs w:val="22"/>
        </w:rPr>
      </w:pPr>
      <w:r w:rsidRPr="008145F6">
        <w:rPr>
          <w:szCs w:val="22"/>
        </w:rPr>
        <w:t>W przypadku wystąpienia grzybiczych zakażeń skóry, należy zastosować dodatkowo miejscowe leczenie lekami przeciwgrzybicznymi.</w:t>
      </w:r>
    </w:p>
    <w:p w14:paraId="34525988" w14:textId="77777777" w:rsidR="005F0885" w:rsidRPr="008145F6" w:rsidRDefault="005F0885" w:rsidP="005C1EE7">
      <w:pPr>
        <w:overflowPunct w:val="0"/>
        <w:autoSpaceDE w:val="0"/>
        <w:autoSpaceDN w:val="0"/>
        <w:adjustRightInd w:val="0"/>
        <w:ind w:left="0" w:firstLine="0"/>
        <w:rPr>
          <w:szCs w:val="22"/>
        </w:rPr>
      </w:pPr>
    </w:p>
    <w:p w14:paraId="5641927E" w14:textId="07FFD59B" w:rsidR="005F0885" w:rsidRPr="008145F6" w:rsidRDefault="002B5AC2" w:rsidP="005C1EE7">
      <w:pPr>
        <w:ind w:left="0" w:firstLine="0"/>
        <w:rPr>
          <w:szCs w:val="22"/>
        </w:rPr>
      </w:pPr>
      <w:r w:rsidRPr="008145F6">
        <w:rPr>
          <w:szCs w:val="22"/>
        </w:rPr>
        <w:t xml:space="preserve">Ze względu na to, że kortykosteroidy i gentamycyna wchłaniają się przez skórę, podczas stosowania </w:t>
      </w:r>
      <w:r w:rsidR="007355DB">
        <w:rPr>
          <w:szCs w:val="22"/>
        </w:rPr>
        <w:t>produktu leczniczego</w:t>
      </w:r>
      <w:r w:rsidR="007355DB" w:rsidRPr="008145F6">
        <w:rPr>
          <w:szCs w:val="22"/>
        </w:rPr>
        <w:t xml:space="preserve"> </w:t>
      </w:r>
      <w:r w:rsidRPr="008145F6">
        <w:rPr>
          <w:szCs w:val="22"/>
        </w:rPr>
        <w:t xml:space="preserve">Bedicort G w </w:t>
      </w:r>
      <w:r w:rsidR="00FE169B">
        <w:rPr>
          <w:szCs w:val="22"/>
        </w:rPr>
        <w:t>maści</w:t>
      </w:r>
      <w:r w:rsidRPr="008145F6">
        <w:rPr>
          <w:szCs w:val="22"/>
        </w:rPr>
        <w:t xml:space="preserve"> istnieje ryzyko wystąpienia ogólnoustrojowych </w:t>
      </w:r>
      <w:r w:rsidR="005F0885">
        <w:rPr>
          <w:szCs w:val="22"/>
        </w:rPr>
        <w:t>działań</w:t>
      </w:r>
      <w:r w:rsidRPr="008145F6">
        <w:rPr>
          <w:szCs w:val="22"/>
        </w:rPr>
        <w:t xml:space="preserve"> niepożądanych kortykosteroidów (w tym zahamowanie czynności kory nadnerczy) oraz gentamycyny (oto- i nefrotoksyczność, szczególnie u osób z zaburzeniami czynności nerek).</w:t>
      </w:r>
    </w:p>
    <w:p w14:paraId="2C9DCEAE" w14:textId="5CF8C40C" w:rsidR="002B5AC2" w:rsidRDefault="002B5AC2" w:rsidP="005C1EE7">
      <w:pPr>
        <w:ind w:left="0" w:firstLine="0"/>
        <w:rPr>
          <w:szCs w:val="22"/>
        </w:rPr>
      </w:pPr>
      <w:r w:rsidRPr="008145F6">
        <w:rPr>
          <w:szCs w:val="22"/>
        </w:rPr>
        <w:t xml:space="preserve">Z tego względu należy unikać stosowania </w:t>
      </w:r>
      <w:r w:rsidR="007355DB">
        <w:rPr>
          <w:szCs w:val="22"/>
        </w:rPr>
        <w:t>produktu</w:t>
      </w:r>
      <w:r w:rsidR="007355DB" w:rsidRPr="008145F6">
        <w:rPr>
          <w:szCs w:val="22"/>
        </w:rPr>
        <w:t xml:space="preserve"> </w:t>
      </w:r>
      <w:r w:rsidR="00E86A77">
        <w:rPr>
          <w:szCs w:val="22"/>
        </w:rPr>
        <w:t>leczniczego</w:t>
      </w:r>
      <w:r w:rsidR="00E86A77" w:rsidRPr="008145F6">
        <w:rPr>
          <w:szCs w:val="22"/>
        </w:rPr>
        <w:t xml:space="preserve"> </w:t>
      </w:r>
      <w:r w:rsidRPr="008145F6">
        <w:rPr>
          <w:szCs w:val="22"/>
        </w:rPr>
        <w:t xml:space="preserve">na dużą powierzchnię ciała, uszkodzoną skórę, stosowania w dużych dawkach, stosowania u pacjentów </w:t>
      </w:r>
      <w:r w:rsidRPr="00A876E8">
        <w:rPr>
          <w:szCs w:val="22"/>
        </w:rPr>
        <w:t>z zaburzeniami czynności wątroby,</w:t>
      </w:r>
      <w:r w:rsidRPr="008145F6">
        <w:rPr>
          <w:szCs w:val="22"/>
        </w:rPr>
        <w:t xml:space="preserve"> nerek </w:t>
      </w:r>
      <w:r w:rsidR="00237ABE" w:rsidRPr="008145F6">
        <w:rPr>
          <w:szCs w:val="22"/>
        </w:rPr>
        <w:t>i</w:t>
      </w:r>
      <w:r w:rsidR="00237ABE">
        <w:rPr>
          <w:szCs w:val="22"/>
        </w:rPr>
        <w:t> </w:t>
      </w:r>
      <w:r w:rsidR="00237ABE" w:rsidRPr="008145F6">
        <w:rPr>
          <w:szCs w:val="22"/>
        </w:rPr>
        <w:t>u</w:t>
      </w:r>
      <w:r w:rsidR="00237ABE">
        <w:rPr>
          <w:szCs w:val="22"/>
        </w:rPr>
        <w:t> </w:t>
      </w:r>
      <w:r w:rsidRPr="008145F6">
        <w:rPr>
          <w:szCs w:val="22"/>
        </w:rPr>
        <w:t>dzieci (patrz punkty 4.8. i 4.9.).</w:t>
      </w:r>
    </w:p>
    <w:p w14:paraId="3D0EBA0F" w14:textId="77777777" w:rsidR="005F0885" w:rsidRPr="008145F6" w:rsidRDefault="005F0885" w:rsidP="005C1EE7">
      <w:pPr>
        <w:ind w:left="0" w:firstLine="0"/>
        <w:rPr>
          <w:szCs w:val="22"/>
        </w:rPr>
      </w:pPr>
    </w:p>
    <w:p w14:paraId="7904AAE9" w14:textId="4E85E896" w:rsidR="002B5AC2" w:rsidRDefault="002B5AC2" w:rsidP="005C1EE7">
      <w:pPr>
        <w:overflowPunct w:val="0"/>
        <w:autoSpaceDE w:val="0"/>
        <w:autoSpaceDN w:val="0"/>
        <w:adjustRightInd w:val="0"/>
        <w:ind w:left="0" w:firstLine="0"/>
        <w:rPr>
          <w:szCs w:val="22"/>
        </w:rPr>
      </w:pPr>
      <w:r w:rsidRPr="008145F6">
        <w:rPr>
          <w:szCs w:val="22"/>
        </w:rPr>
        <w:t xml:space="preserve">Szczególnie ostrożnie należy stosować </w:t>
      </w:r>
      <w:r w:rsidR="007355DB">
        <w:rPr>
          <w:szCs w:val="22"/>
        </w:rPr>
        <w:t>produkt</w:t>
      </w:r>
      <w:r w:rsidR="007355DB" w:rsidRPr="008145F6">
        <w:rPr>
          <w:szCs w:val="22"/>
        </w:rPr>
        <w:t xml:space="preserve"> </w:t>
      </w:r>
      <w:r w:rsidR="00C2610F">
        <w:rPr>
          <w:szCs w:val="22"/>
        </w:rPr>
        <w:t xml:space="preserve">leczniczy </w:t>
      </w:r>
      <w:r w:rsidRPr="008145F6">
        <w:rPr>
          <w:szCs w:val="22"/>
        </w:rPr>
        <w:t xml:space="preserve">u pacjentów z łuszczycą, gdyż miejscowe stosowanie kortykosteroidów w łuszczycy może być niebezpieczne, m.in. ze względu na nawrót choroby spowodowany rozwojem tolerancji, ryzyko wystąpienia uogólnionej łuszczycy krostkowej </w:t>
      </w:r>
      <w:r w:rsidR="00237ABE" w:rsidRPr="008145F6">
        <w:rPr>
          <w:szCs w:val="22"/>
        </w:rPr>
        <w:t>i</w:t>
      </w:r>
      <w:r w:rsidR="00237ABE">
        <w:rPr>
          <w:szCs w:val="22"/>
        </w:rPr>
        <w:t> </w:t>
      </w:r>
      <w:r w:rsidRPr="008145F6">
        <w:rPr>
          <w:szCs w:val="22"/>
        </w:rPr>
        <w:t>ogólne działania toksyczne spowodowane zaburzeniem ciągłości skóry.</w:t>
      </w:r>
    </w:p>
    <w:p w14:paraId="431DA834" w14:textId="77777777" w:rsidR="005F0885" w:rsidRPr="008145F6" w:rsidRDefault="005F0885" w:rsidP="005C1EE7">
      <w:pPr>
        <w:overflowPunct w:val="0"/>
        <w:autoSpaceDE w:val="0"/>
        <w:autoSpaceDN w:val="0"/>
        <w:adjustRightInd w:val="0"/>
        <w:ind w:left="0" w:firstLine="0"/>
        <w:rPr>
          <w:szCs w:val="22"/>
        </w:rPr>
      </w:pPr>
    </w:p>
    <w:p w14:paraId="63CA9A98" w14:textId="02388F5F" w:rsidR="002B5AC2" w:rsidRDefault="002B5AC2" w:rsidP="005C1EE7">
      <w:pPr>
        <w:overflowPunct w:val="0"/>
        <w:autoSpaceDE w:val="0"/>
        <w:autoSpaceDN w:val="0"/>
        <w:adjustRightInd w:val="0"/>
        <w:ind w:left="0" w:firstLine="0"/>
        <w:rPr>
          <w:szCs w:val="22"/>
        </w:rPr>
      </w:pPr>
      <w:r w:rsidRPr="008145F6">
        <w:rPr>
          <w:szCs w:val="22"/>
        </w:rPr>
        <w:t>Długotrwałe miejscowe stosowanie gentamycyny</w:t>
      </w:r>
      <w:r w:rsidR="00C05200">
        <w:rPr>
          <w:szCs w:val="22"/>
        </w:rPr>
        <w:t xml:space="preserve"> </w:t>
      </w:r>
      <w:r w:rsidR="00C05200" w:rsidRPr="008145F6">
        <w:rPr>
          <w:szCs w:val="22"/>
        </w:rPr>
        <w:t>siarczanu</w:t>
      </w:r>
      <w:r w:rsidRPr="008145F6">
        <w:rPr>
          <w:szCs w:val="22"/>
        </w:rPr>
        <w:t xml:space="preserve"> prowadzi do nadmiernego wzrostu niewrażliwych drobnoustrojów oraz może spowodować pojawienie się bakterii opornych na antybiotyki aminoglikozydowe.</w:t>
      </w:r>
    </w:p>
    <w:p w14:paraId="6E99B2E6" w14:textId="77777777" w:rsidR="005F0885" w:rsidRPr="008145F6" w:rsidRDefault="005F0885" w:rsidP="005C1EE7">
      <w:pPr>
        <w:overflowPunct w:val="0"/>
        <w:autoSpaceDE w:val="0"/>
        <w:autoSpaceDN w:val="0"/>
        <w:adjustRightInd w:val="0"/>
        <w:ind w:left="0" w:firstLine="0"/>
        <w:rPr>
          <w:szCs w:val="22"/>
        </w:rPr>
      </w:pPr>
    </w:p>
    <w:p w14:paraId="19712129" w14:textId="4EE0F0EC" w:rsidR="002B5AC2" w:rsidRDefault="002B5AC2" w:rsidP="005C1EE7">
      <w:pPr>
        <w:ind w:left="0" w:firstLine="0"/>
        <w:rPr>
          <w:szCs w:val="22"/>
        </w:rPr>
      </w:pPr>
      <w:r w:rsidRPr="008145F6">
        <w:rPr>
          <w:szCs w:val="22"/>
        </w:rPr>
        <w:t xml:space="preserve">Nie należy stosować </w:t>
      </w:r>
      <w:r w:rsidR="002C73F3">
        <w:rPr>
          <w:szCs w:val="22"/>
        </w:rPr>
        <w:t>produktu leczniczego</w:t>
      </w:r>
      <w:r w:rsidRPr="008145F6">
        <w:rPr>
          <w:szCs w:val="22"/>
        </w:rPr>
        <w:t xml:space="preserve"> na skórę twarzy, ze względu na ryzyko wystąpienia teleangiektazji, </w:t>
      </w:r>
      <w:r w:rsidRPr="008145F6">
        <w:rPr>
          <w:i/>
          <w:szCs w:val="22"/>
        </w:rPr>
        <w:t>dermatitis perioralis</w:t>
      </w:r>
      <w:r w:rsidRPr="008145F6">
        <w:rPr>
          <w:szCs w:val="22"/>
        </w:rPr>
        <w:t>, nawet po krótkim stosowaniu.</w:t>
      </w:r>
    </w:p>
    <w:p w14:paraId="2411E243" w14:textId="77777777" w:rsidR="005F0885" w:rsidRPr="008145F6" w:rsidRDefault="005F0885" w:rsidP="005C1EE7">
      <w:pPr>
        <w:ind w:left="0" w:firstLine="0"/>
        <w:rPr>
          <w:szCs w:val="22"/>
        </w:rPr>
      </w:pPr>
    </w:p>
    <w:p w14:paraId="5D21D8F0" w14:textId="61ACA66D" w:rsidR="002B5AC2" w:rsidRDefault="002B5AC2" w:rsidP="005C1EE7">
      <w:pPr>
        <w:ind w:left="0" w:firstLine="0"/>
        <w:rPr>
          <w:szCs w:val="22"/>
        </w:rPr>
      </w:pPr>
      <w:r w:rsidRPr="008145F6">
        <w:rPr>
          <w:szCs w:val="22"/>
        </w:rPr>
        <w:t xml:space="preserve">Na skórę pach i pachwin stosować tylko w przypadkach bezwzględnie koniecznych, ze względu na zwiększone wchłanianie </w:t>
      </w:r>
      <w:r w:rsidR="00C2610F">
        <w:rPr>
          <w:szCs w:val="22"/>
        </w:rPr>
        <w:t xml:space="preserve">produktu leczniczego </w:t>
      </w:r>
      <w:r w:rsidRPr="008145F6">
        <w:rPr>
          <w:szCs w:val="22"/>
        </w:rPr>
        <w:t>przez delikatną skórę.</w:t>
      </w:r>
    </w:p>
    <w:p w14:paraId="768C5CA8" w14:textId="77777777" w:rsidR="005F0885" w:rsidRPr="008145F6" w:rsidRDefault="005F0885" w:rsidP="005C1EE7">
      <w:pPr>
        <w:ind w:left="0" w:firstLine="0"/>
        <w:rPr>
          <w:szCs w:val="22"/>
        </w:rPr>
      </w:pPr>
    </w:p>
    <w:p w14:paraId="01CB8156" w14:textId="77777777" w:rsidR="002B5AC2" w:rsidRPr="008145F6" w:rsidRDefault="002B5AC2" w:rsidP="005C1EE7">
      <w:pPr>
        <w:ind w:left="0" w:firstLine="0"/>
        <w:rPr>
          <w:szCs w:val="22"/>
        </w:rPr>
      </w:pPr>
      <w:r w:rsidRPr="008145F6">
        <w:rPr>
          <w:szCs w:val="22"/>
        </w:rPr>
        <w:t>Ostrożnie stosować w stanach zanikowych tkanki podskórnej, zwłaszcza u osób w podeszłym wieku.</w:t>
      </w:r>
    </w:p>
    <w:p w14:paraId="772D6DB8" w14:textId="77777777" w:rsidR="005F0885" w:rsidRDefault="005F0885" w:rsidP="005C1EE7">
      <w:pPr>
        <w:ind w:left="0" w:firstLine="0"/>
        <w:rPr>
          <w:szCs w:val="22"/>
        </w:rPr>
      </w:pPr>
    </w:p>
    <w:p w14:paraId="24D735DE" w14:textId="77777777" w:rsidR="002B5AC2" w:rsidRDefault="002B5AC2" w:rsidP="005C1EE7">
      <w:pPr>
        <w:ind w:left="0" w:firstLine="0"/>
        <w:rPr>
          <w:szCs w:val="22"/>
        </w:rPr>
      </w:pPr>
      <w:r w:rsidRPr="008145F6">
        <w:rPr>
          <w:szCs w:val="22"/>
        </w:rPr>
        <w:t>Ze względu na zawartość alkoholu cetostearylowego,</w:t>
      </w:r>
      <w:r w:rsidR="00FE169B">
        <w:rPr>
          <w:szCs w:val="22"/>
        </w:rPr>
        <w:t xml:space="preserve"> </w:t>
      </w:r>
      <w:r w:rsidR="00C2610F">
        <w:rPr>
          <w:szCs w:val="22"/>
        </w:rPr>
        <w:t xml:space="preserve">produkt leczniczy </w:t>
      </w:r>
      <w:r w:rsidR="00FE169B">
        <w:rPr>
          <w:szCs w:val="22"/>
        </w:rPr>
        <w:t xml:space="preserve">może powodować miejscowe reakcje skórne </w:t>
      </w:r>
      <w:r w:rsidRPr="008145F6">
        <w:rPr>
          <w:szCs w:val="22"/>
        </w:rPr>
        <w:t>(np. kontaktowe zapalenie skóry).</w:t>
      </w:r>
    </w:p>
    <w:p w14:paraId="6F3A402A" w14:textId="77777777" w:rsidR="00F2161A" w:rsidRDefault="00F2161A" w:rsidP="005C1EE7">
      <w:pPr>
        <w:ind w:left="0" w:firstLine="0"/>
        <w:rPr>
          <w:szCs w:val="22"/>
        </w:rPr>
      </w:pPr>
      <w:r w:rsidRPr="008720BC">
        <w:rPr>
          <w:szCs w:val="22"/>
        </w:rPr>
        <w:t xml:space="preserve">Ze względu na zawartość </w:t>
      </w:r>
      <w:r>
        <w:rPr>
          <w:szCs w:val="22"/>
        </w:rPr>
        <w:t>butylohydroksytoluenu i butylohydroksyanizolu,</w:t>
      </w:r>
      <w:r w:rsidRPr="006E42A5">
        <w:rPr>
          <w:szCs w:val="22"/>
        </w:rPr>
        <w:t xml:space="preserve"> </w:t>
      </w:r>
      <w:r>
        <w:rPr>
          <w:szCs w:val="22"/>
        </w:rPr>
        <w:t xml:space="preserve">produkt leczniczy może powodować miejscowe reakcje skórne </w:t>
      </w:r>
      <w:r w:rsidRPr="008720BC">
        <w:rPr>
          <w:szCs w:val="22"/>
        </w:rPr>
        <w:t>(np. kontaktowe zapalenie skóry)</w:t>
      </w:r>
      <w:r>
        <w:rPr>
          <w:szCs w:val="22"/>
        </w:rPr>
        <w:t xml:space="preserve"> lub podrażnienie oczu i błon śluzowych</w:t>
      </w:r>
      <w:r w:rsidRPr="008720BC">
        <w:rPr>
          <w:szCs w:val="22"/>
        </w:rPr>
        <w:t>.</w:t>
      </w:r>
    </w:p>
    <w:p w14:paraId="28BC8624" w14:textId="77777777" w:rsidR="00436C04" w:rsidRDefault="00436C04" w:rsidP="005C1EE7">
      <w:pPr>
        <w:ind w:left="0" w:firstLine="0"/>
        <w:rPr>
          <w:szCs w:val="22"/>
        </w:rPr>
      </w:pPr>
    </w:p>
    <w:p w14:paraId="6372E8B8" w14:textId="3779853B" w:rsidR="00315919" w:rsidRPr="003701A4" w:rsidRDefault="00315919" w:rsidP="005C1EE7">
      <w:pPr>
        <w:pStyle w:val="Default"/>
        <w:rPr>
          <w:rFonts w:ascii="Times New Roman" w:hAnsi="Times New Roman" w:cs="Times New Roman"/>
          <w:sz w:val="22"/>
          <w:szCs w:val="22"/>
        </w:rPr>
      </w:pPr>
      <w:r w:rsidRPr="003701A4">
        <w:rPr>
          <w:rFonts w:ascii="Times New Roman" w:hAnsi="Times New Roman" w:cs="Times New Roman"/>
          <w:b/>
          <w:bCs/>
          <w:sz w:val="22"/>
          <w:szCs w:val="22"/>
          <w:u w:val="single"/>
        </w:rPr>
        <w:t>Zaburzenia widzenia</w:t>
      </w:r>
    </w:p>
    <w:p w14:paraId="4A56CC49" w14:textId="26877D88" w:rsidR="003701A4" w:rsidRPr="003701A4" w:rsidRDefault="003701A4" w:rsidP="005C1EE7">
      <w:pPr>
        <w:ind w:left="0" w:firstLine="0"/>
        <w:rPr>
          <w:szCs w:val="22"/>
        </w:rPr>
      </w:pPr>
      <w:r w:rsidRPr="003701A4">
        <w:rPr>
          <w:bCs/>
          <w:szCs w:val="22"/>
        </w:rPr>
        <w:t>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chorioretinopatia surowicza (</w:t>
      </w:r>
      <w:r w:rsidR="00436C04" w:rsidRPr="00631D35">
        <w:rPr>
          <w:bCs/>
          <w:i/>
          <w:szCs w:val="18"/>
        </w:rPr>
        <w:t>ang</w:t>
      </w:r>
      <w:r w:rsidR="00436C04">
        <w:rPr>
          <w:bCs/>
          <w:i/>
          <w:szCs w:val="18"/>
        </w:rPr>
        <w:t xml:space="preserve">. </w:t>
      </w:r>
      <w:r w:rsidR="00436C04">
        <w:rPr>
          <w:bCs/>
          <w:i/>
          <w:szCs w:val="22"/>
        </w:rPr>
        <w:t>C</w:t>
      </w:r>
      <w:r w:rsidR="00436C04" w:rsidRPr="00631D35">
        <w:rPr>
          <w:bCs/>
          <w:i/>
          <w:szCs w:val="22"/>
        </w:rPr>
        <w:t xml:space="preserve">entral </w:t>
      </w:r>
      <w:r w:rsidR="00436C04">
        <w:rPr>
          <w:bCs/>
          <w:i/>
          <w:szCs w:val="22"/>
        </w:rPr>
        <w:t>Serous </w:t>
      </w:r>
      <w:r w:rsidR="00436C04" w:rsidRPr="00631D35">
        <w:rPr>
          <w:bCs/>
          <w:i/>
          <w:szCs w:val="22"/>
        </w:rPr>
        <w:t>Chorioretinopathy</w:t>
      </w:r>
      <w:r w:rsidR="00436C04">
        <w:rPr>
          <w:bCs/>
          <w:i/>
          <w:szCs w:val="22"/>
        </w:rPr>
        <w:t>,</w:t>
      </w:r>
      <w:r w:rsidR="00436C04" w:rsidRPr="005C1EE7">
        <w:rPr>
          <w:rFonts w:ascii="Verdana" w:hAnsi="Verdana" w:cs="Verdana"/>
          <w:sz w:val="18"/>
          <w:szCs w:val="18"/>
        </w:rPr>
        <w:t xml:space="preserve"> </w:t>
      </w:r>
      <w:r w:rsidRPr="003701A4">
        <w:rPr>
          <w:bCs/>
          <w:szCs w:val="22"/>
        </w:rPr>
        <w:t xml:space="preserve">CSCR), którą notowano po ogólnoustrojowym </w:t>
      </w:r>
      <w:r w:rsidR="00EF6C39" w:rsidRPr="003701A4">
        <w:rPr>
          <w:bCs/>
          <w:szCs w:val="22"/>
        </w:rPr>
        <w:t>i</w:t>
      </w:r>
      <w:r w:rsidR="00EF6C39">
        <w:rPr>
          <w:bCs/>
          <w:szCs w:val="22"/>
        </w:rPr>
        <w:t> </w:t>
      </w:r>
      <w:r w:rsidRPr="003701A4">
        <w:rPr>
          <w:bCs/>
          <w:szCs w:val="22"/>
        </w:rPr>
        <w:t>miejscowym stosowaniu kortykosteroidów.</w:t>
      </w:r>
    </w:p>
    <w:p w14:paraId="7EE7E681" w14:textId="77777777" w:rsidR="00CE29CA" w:rsidRPr="005C1EE7" w:rsidRDefault="00CE29CA">
      <w:pPr>
        <w:ind w:left="0" w:firstLine="0"/>
        <w:rPr>
          <w:bCs/>
        </w:rPr>
      </w:pPr>
    </w:p>
    <w:p w14:paraId="2182E8D6" w14:textId="77777777" w:rsidR="00A65887" w:rsidRDefault="00A65887">
      <w:pPr>
        <w:ind w:left="0" w:firstLine="0"/>
        <w:rPr>
          <w:b/>
        </w:rPr>
      </w:pPr>
      <w:r>
        <w:rPr>
          <w:b/>
        </w:rPr>
        <w:t>4.5</w:t>
      </w:r>
      <w:r>
        <w:rPr>
          <w:b/>
        </w:rPr>
        <w:tab/>
        <w:t xml:space="preserve">Interakcje z innymi </w:t>
      </w:r>
      <w:r w:rsidR="00CE29CA">
        <w:rPr>
          <w:b/>
          <w:noProof/>
          <w:szCs w:val="22"/>
        </w:rPr>
        <w:t>produktami leczniczymi</w:t>
      </w:r>
      <w:r>
        <w:rPr>
          <w:b/>
        </w:rPr>
        <w:t xml:space="preserve"> i inne rodzaje interakcji</w:t>
      </w:r>
    </w:p>
    <w:p w14:paraId="362B2AE4" w14:textId="77777777" w:rsidR="00F74C40" w:rsidRDefault="00F74C40" w:rsidP="005C1EE7">
      <w:pPr>
        <w:ind w:left="0" w:firstLine="0"/>
        <w:rPr>
          <w:szCs w:val="22"/>
        </w:rPr>
      </w:pPr>
    </w:p>
    <w:p w14:paraId="31193BCE" w14:textId="2355635B" w:rsidR="002B5AC2" w:rsidRPr="008145F6" w:rsidRDefault="00C2610F" w:rsidP="005C1EE7">
      <w:pPr>
        <w:ind w:left="0" w:firstLine="0"/>
        <w:rPr>
          <w:szCs w:val="22"/>
        </w:rPr>
      </w:pPr>
      <w:r>
        <w:rPr>
          <w:szCs w:val="22"/>
        </w:rPr>
        <w:t xml:space="preserve">Bedicort G maść </w:t>
      </w:r>
      <w:r w:rsidR="002B5AC2" w:rsidRPr="008145F6">
        <w:rPr>
          <w:szCs w:val="22"/>
        </w:rPr>
        <w:t>może nasilać działanie leków immunosupresyjnych i osłabiać działanie leków immunostymulujących.</w:t>
      </w:r>
    </w:p>
    <w:p w14:paraId="3018128C" w14:textId="77777777" w:rsidR="00A65887" w:rsidRDefault="00A65887">
      <w:pPr>
        <w:ind w:left="0" w:firstLine="0"/>
      </w:pPr>
    </w:p>
    <w:p w14:paraId="268C4DFE" w14:textId="77777777" w:rsidR="00FC68A7" w:rsidRDefault="00A65887">
      <w:pPr>
        <w:ind w:left="0" w:firstLine="0"/>
        <w:rPr>
          <w:b/>
          <w:noProof/>
          <w:szCs w:val="22"/>
        </w:rPr>
      </w:pPr>
      <w:r w:rsidRPr="0036479C">
        <w:rPr>
          <w:b/>
        </w:rPr>
        <w:t>4.6</w:t>
      </w:r>
      <w:r w:rsidRPr="0036479C">
        <w:rPr>
          <w:b/>
        </w:rPr>
        <w:tab/>
      </w:r>
      <w:r w:rsidR="00CE29CA">
        <w:rPr>
          <w:b/>
          <w:noProof/>
          <w:szCs w:val="22"/>
        </w:rPr>
        <w:t>Wpływ na płodność, ciążę i laktację</w:t>
      </w:r>
    </w:p>
    <w:p w14:paraId="6F98C789" w14:textId="77777777" w:rsidR="005F0885" w:rsidRDefault="005F0885">
      <w:pPr>
        <w:ind w:left="0" w:firstLine="0"/>
        <w:rPr>
          <w:noProof/>
          <w:szCs w:val="22"/>
          <w:highlight w:val="yellow"/>
          <w:u w:val="single"/>
        </w:rPr>
      </w:pPr>
    </w:p>
    <w:p w14:paraId="532BD0CC" w14:textId="77777777" w:rsidR="0071487E" w:rsidRPr="00F25571" w:rsidRDefault="002B5AC2">
      <w:pPr>
        <w:ind w:left="0" w:firstLine="0"/>
        <w:rPr>
          <w:noProof/>
          <w:szCs w:val="22"/>
          <w:u w:val="single"/>
        </w:rPr>
      </w:pPr>
      <w:r w:rsidRPr="00F25571">
        <w:rPr>
          <w:noProof/>
          <w:szCs w:val="22"/>
          <w:u w:val="single"/>
        </w:rPr>
        <w:t>Ciąża</w:t>
      </w:r>
    </w:p>
    <w:p w14:paraId="52F61007" w14:textId="77777777" w:rsidR="002B5AC2" w:rsidRPr="00F25571" w:rsidRDefault="002B5AC2" w:rsidP="005C1EE7">
      <w:pPr>
        <w:ind w:left="0" w:firstLine="0"/>
        <w:rPr>
          <w:szCs w:val="22"/>
        </w:rPr>
      </w:pPr>
      <w:r w:rsidRPr="006D1C04">
        <w:rPr>
          <w:szCs w:val="22"/>
        </w:rPr>
        <w:t xml:space="preserve">Nie zaleca się stosowania </w:t>
      </w:r>
      <w:r w:rsidR="00B35BB6" w:rsidRPr="006D1C04">
        <w:rPr>
          <w:szCs w:val="22"/>
        </w:rPr>
        <w:t>produktu leczniczego</w:t>
      </w:r>
      <w:r w:rsidR="00B35BB6" w:rsidRPr="00CA1030">
        <w:rPr>
          <w:szCs w:val="22"/>
        </w:rPr>
        <w:t xml:space="preserve"> </w:t>
      </w:r>
      <w:r w:rsidRPr="00CA1030">
        <w:rPr>
          <w:szCs w:val="22"/>
        </w:rPr>
        <w:t xml:space="preserve">Bedicort G </w:t>
      </w:r>
      <w:r w:rsidR="00CA69FC" w:rsidRPr="00F25571">
        <w:rPr>
          <w:szCs w:val="22"/>
        </w:rPr>
        <w:t>maść</w:t>
      </w:r>
      <w:r w:rsidRPr="00F25571">
        <w:rPr>
          <w:szCs w:val="22"/>
        </w:rPr>
        <w:t xml:space="preserve"> u kobiet w ciąży.</w:t>
      </w:r>
    </w:p>
    <w:p w14:paraId="44D1C84A" w14:textId="4BF8F5E9" w:rsidR="002B5AC2" w:rsidRPr="006D1C04" w:rsidRDefault="00F74C40" w:rsidP="005C1EE7">
      <w:pPr>
        <w:ind w:left="0" w:firstLine="0"/>
        <w:rPr>
          <w:spacing w:val="-3"/>
          <w:kern w:val="1"/>
          <w:szCs w:val="22"/>
        </w:rPr>
      </w:pPr>
      <w:r w:rsidRPr="00C70256">
        <w:rPr>
          <w:spacing w:val="-3"/>
          <w:kern w:val="1"/>
          <w:szCs w:val="22"/>
        </w:rPr>
        <w:t xml:space="preserve">Brak danych </w:t>
      </w:r>
      <w:r w:rsidR="002B5AC2" w:rsidRPr="006D1C04">
        <w:rPr>
          <w:spacing w:val="-3"/>
          <w:kern w:val="1"/>
          <w:szCs w:val="22"/>
        </w:rPr>
        <w:t xml:space="preserve">dotyczących bezpieczeństwa miejscowego stosowania betametazonu i gentamycyny u </w:t>
      </w:r>
      <w:r w:rsidR="002B5AC2" w:rsidRPr="00CA1030">
        <w:rPr>
          <w:spacing w:val="-3"/>
          <w:kern w:val="1"/>
          <w:szCs w:val="22"/>
        </w:rPr>
        <w:t>kobiet</w:t>
      </w:r>
      <w:r w:rsidRPr="00C70256">
        <w:rPr>
          <w:spacing w:val="-3"/>
          <w:kern w:val="1"/>
          <w:szCs w:val="22"/>
        </w:rPr>
        <w:t xml:space="preserve"> w okresie ciąży</w:t>
      </w:r>
      <w:r w:rsidR="002B5AC2" w:rsidRPr="00F25571">
        <w:rPr>
          <w:spacing w:val="-3"/>
          <w:kern w:val="1"/>
          <w:szCs w:val="22"/>
        </w:rPr>
        <w:t>. Wiadomo jednak, że substancje te mogą się wchłaniać przez skórę.</w:t>
      </w:r>
    </w:p>
    <w:p w14:paraId="3EFDA05D" w14:textId="28FEBE71" w:rsidR="002B5AC2" w:rsidRPr="00F859C0" w:rsidRDefault="002B5AC2" w:rsidP="005C1EE7">
      <w:pPr>
        <w:ind w:left="0" w:firstLine="0"/>
        <w:rPr>
          <w:bCs/>
          <w:szCs w:val="22"/>
        </w:rPr>
      </w:pPr>
      <w:r w:rsidRPr="00CA1030">
        <w:rPr>
          <w:szCs w:val="22"/>
        </w:rPr>
        <w:t>W badaniach na zwierzętach wykazano, że kortykosteroidy działają teratogennie nawet po stosowaniu małych dawek doustnie. Wykazano działanie teratogenne silnie działających kortykosteroidów także po stosowaniu na skórę u zwierząt. Nie przeprowadzon</w:t>
      </w:r>
      <w:r w:rsidRPr="00F25571">
        <w:rPr>
          <w:szCs w:val="22"/>
        </w:rPr>
        <w:t xml:space="preserve">o badań dotyczących działania teratogennego po miejscowym stosowaniu na skórę betametazonu u kobiet </w:t>
      </w:r>
      <w:r w:rsidR="00F25571" w:rsidRPr="00C70256">
        <w:rPr>
          <w:szCs w:val="22"/>
        </w:rPr>
        <w:t>w okresie ciąży</w:t>
      </w:r>
      <w:r w:rsidRPr="00F25571">
        <w:rPr>
          <w:szCs w:val="22"/>
        </w:rPr>
        <w:t>.</w:t>
      </w:r>
    </w:p>
    <w:p w14:paraId="22FDF5B1" w14:textId="77777777" w:rsidR="002B5AC2" w:rsidRPr="00C70256" w:rsidRDefault="002B5AC2">
      <w:pPr>
        <w:ind w:left="0" w:firstLine="0"/>
        <w:rPr>
          <w:noProof/>
          <w:szCs w:val="22"/>
          <w:highlight w:val="yellow"/>
          <w:u w:val="single"/>
        </w:rPr>
      </w:pPr>
    </w:p>
    <w:p w14:paraId="03C73BFB" w14:textId="77777777" w:rsidR="0071487E" w:rsidRPr="00F25571" w:rsidRDefault="002B5AC2">
      <w:pPr>
        <w:ind w:left="0" w:firstLine="0"/>
        <w:rPr>
          <w:noProof/>
          <w:szCs w:val="22"/>
          <w:u w:val="single"/>
        </w:rPr>
      </w:pPr>
      <w:r w:rsidRPr="00F25571">
        <w:rPr>
          <w:noProof/>
          <w:szCs w:val="22"/>
          <w:u w:val="single"/>
        </w:rPr>
        <w:t>Karmienie piersią</w:t>
      </w:r>
    </w:p>
    <w:p w14:paraId="588D0EF0" w14:textId="2554760D" w:rsidR="00160AD0" w:rsidRPr="008145F6" w:rsidRDefault="008453EA" w:rsidP="00160AD0">
      <w:pPr>
        <w:ind w:left="0" w:firstLine="0"/>
        <w:rPr>
          <w:szCs w:val="22"/>
        </w:rPr>
      </w:pPr>
      <w:r w:rsidRPr="00F25571">
        <w:rPr>
          <w:szCs w:val="22"/>
        </w:rPr>
        <w:t>Nie wiadomo</w:t>
      </w:r>
      <w:r>
        <w:rPr>
          <w:szCs w:val="22"/>
        </w:rPr>
        <w:t>,</w:t>
      </w:r>
      <w:r w:rsidRPr="00F25571">
        <w:rPr>
          <w:szCs w:val="22"/>
        </w:rPr>
        <w:t xml:space="preserve"> w jakim stopniu betametazon po zastosowaniu miejscowo</w:t>
      </w:r>
      <w:r w:rsidRPr="006D1C04">
        <w:rPr>
          <w:szCs w:val="22"/>
        </w:rPr>
        <w:t xml:space="preserve"> może przenikać do mleka </w:t>
      </w:r>
      <w:r w:rsidRPr="00C70256">
        <w:rPr>
          <w:szCs w:val="22"/>
        </w:rPr>
        <w:t>ludzkiego</w:t>
      </w:r>
      <w:r w:rsidRPr="006D1C04">
        <w:rPr>
          <w:szCs w:val="22"/>
        </w:rPr>
        <w:t>.</w:t>
      </w:r>
      <w:r>
        <w:rPr>
          <w:szCs w:val="22"/>
        </w:rPr>
        <w:t xml:space="preserve"> </w:t>
      </w:r>
      <w:r w:rsidR="00F25571" w:rsidRPr="00C70256" w:rsidDel="009066E4">
        <w:rPr>
          <w:szCs w:val="22"/>
        </w:rPr>
        <w:t xml:space="preserve">Należy podjąć decyzję </w:t>
      </w:r>
      <w:r w:rsidR="002B5AC2" w:rsidRPr="006D1C04" w:rsidDel="009066E4">
        <w:rPr>
          <w:szCs w:val="22"/>
        </w:rPr>
        <w:t xml:space="preserve">czy </w:t>
      </w:r>
      <w:r w:rsidR="00F25571" w:rsidRPr="00C70256" w:rsidDel="009066E4">
        <w:rPr>
          <w:szCs w:val="22"/>
        </w:rPr>
        <w:t>przerwać</w:t>
      </w:r>
      <w:r w:rsidR="002B5AC2" w:rsidRPr="00F25571" w:rsidDel="009066E4">
        <w:rPr>
          <w:szCs w:val="22"/>
        </w:rPr>
        <w:t xml:space="preserve"> karmieni</w:t>
      </w:r>
      <w:r w:rsidR="00F25571" w:rsidRPr="00C70256" w:rsidDel="009066E4">
        <w:rPr>
          <w:szCs w:val="22"/>
        </w:rPr>
        <w:t>e</w:t>
      </w:r>
      <w:r w:rsidR="002B5AC2" w:rsidRPr="00F25571" w:rsidDel="009066E4">
        <w:rPr>
          <w:szCs w:val="22"/>
        </w:rPr>
        <w:t xml:space="preserve"> piersią</w:t>
      </w:r>
      <w:r w:rsidR="002B5AC2" w:rsidRPr="006D1C04" w:rsidDel="009066E4">
        <w:rPr>
          <w:szCs w:val="22"/>
        </w:rPr>
        <w:t xml:space="preserve"> czy </w:t>
      </w:r>
      <w:r w:rsidR="00F25571" w:rsidRPr="00C70256" w:rsidDel="009066E4">
        <w:rPr>
          <w:szCs w:val="22"/>
        </w:rPr>
        <w:t xml:space="preserve">przerwać podawanie </w:t>
      </w:r>
      <w:r w:rsidR="00B35BB6" w:rsidRPr="00F25571" w:rsidDel="009066E4">
        <w:rPr>
          <w:szCs w:val="22"/>
        </w:rPr>
        <w:t>produktu leczniczego</w:t>
      </w:r>
      <w:r w:rsidR="00B35BB6" w:rsidRPr="006D1C04" w:rsidDel="009066E4">
        <w:rPr>
          <w:szCs w:val="22"/>
        </w:rPr>
        <w:t xml:space="preserve"> </w:t>
      </w:r>
      <w:r w:rsidR="002B5AC2" w:rsidRPr="006D1C04" w:rsidDel="009066E4">
        <w:rPr>
          <w:szCs w:val="22"/>
        </w:rPr>
        <w:t>Bedicort G</w:t>
      </w:r>
      <w:r w:rsidR="00F25571" w:rsidRPr="00C70256" w:rsidDel="009066E4">
        <w:rPr>
          <w:szCs w:val="22"/>
        </w:rPr>
        <w:t xml:space="preserve"> biorąc pod uwagę korzyści z karmienia piersią dla dziecka i korzyści </w:t>
      </w:r>
      <w:r w:rsidR="00D95C43" w:rsidRPr="00C70256" w:rsidDel="009066E4">
        <w:rPr>
          <w:szCs w:val="22"/>
        </w:rPr>
        <w:t>z</w:t>
      </w:r>
      <w:r w:rsidR="00D95C43">
        <w:rPr>
          <w:szCs w:val="22"/>
        </w:rPr>
        <w:t> </w:t>
      </w:r>
      <w:r w:rsidR="00F25571" w:rsidRPr="00C70256" w:rsidDel="009066E4">
        <w:rPr>
          <w:szCs w:val="22"/>
        </w:rPr>
        <w:t>leczenia dla matki</w:t>
      </w:r>
      <w:r w:rsidR="002B5AC2" w:rsidRPr="00F25571" w:rsidDel="009066E4">
        <w:rPr>
          <w:szCs w:val="22"/>
        </w:rPr>
        <w:t xml:space="preserve">. </w:t>
      </w:r>
      <w:r w:rsidR="00160AD0" w:rsidRPr="00F25571">
        <w:rPr>
          <w:szCs w:val="22"/>
        </w:rPr>
        <w:t>Gentamycyna po zastosowaniu na skórę może wchłaniać się do organizmu.</w:t>
      </w:r>
    </w:p>
    <w:p w14:paraId="618D3277" w14:textId="77777777" w:rsidR="00160AD0" w:rsidRPr="005C1EE7" w:rsidRDefault="00160AD0">
      <w:pPr>
        <w:ind w:left="0" w:firstLine="0"/>
        <w:rPr>
          <w:noProof/>
          <w:szCs w:val="22"/>
          <w:u w:val="single"/>
        </w:rPr>
      </w:pPr>
    </w:p>
    <w:p w14:paraId="2C8D347A" w14:textId="3075769F" w:rsidR="009066E4" w:rsidRDefault="00160AD0">
      <w:pPr>
        <w:ind w:left="0" w:firstLine="0"/>
        <w:rPr>
          <w:szCs w:val="22"/>
        </w:rPr>
      </w:pPr>
      <w:r w:rsidRPr="005C1EE7">
        <w:rPr>
          <w:noProof/>
          <w:szCs w:val="22"/>
        </w:rPr>
        <w:t xml:space="preserve">Brak wystarczających danych </w:t>
      </w:r>
      <w:r w:rsidR="009066E4" w:rsidRPr="005C1EE7">
        <w:rPr>
          <w:noProof/>
          <w:szCs w:val="22"/>
        </w:rPr>
        <w:t>dotyczących</w:t>
      </w:r>
      <w:r w:rsidRPr="005C1EE7">
        <w:rPr>
          <w:noProof/>
          <w:szCs w:val="22"/>
        </w:rPr>
        <w:t xml:space="preserve"> przenikania betametazonu i gentamycyny do mleka ludzkiego. </w:t>
      </w:r>
      <w:r w:rsidRPr="005C1EE7">
        <w:rPr>
          <w:noProof/>
        </w:rPr>
        <w:t>Nie można wykluczyć zagrożenia</w:t>
      </w:r>
      <w:r w:rsidRPr="005C1EE7">
        <w:rPr>
          <w:noProof/>
          <w:szCs w:val="22"/>
        </w:rPr>
        <w:t xml:space="preserve"> dla noworodków/</w:t>
      </w:r>
      <w:r w:rsidRPr="005C1EE7">
        <w:rPr>
          <w:noProof/>
        </w:rPr>
        <w:t>niemowląt</w:t>
      </w:r>
      <w:r w:rsidRPr="005C1EE7">
        <w:rPr>
          <w:noProof/>
          <w:szCs w:val="22"/>
        </w:rPr>
        <w:t xml:space="preserve"> karmionych piersią.</w:t>
      </w:r>
    </w:p>
    <w:p w14:paraId="2E147B55" w14:textId="77777777" w:rsidR="00A962EC" w:rsidRPr="00491E64" w:rsidRDefault="00A962EC">
      <w:pPr>
        <w:ind w:left="0" w:firstLine="0"/>
        <w:rPr>
          <w:noProof/>
          <w:szCs w:val="22"/>
          <w:u w:val="single"/>
        </w:rPr>
      </w:pPr>
    </w:p>
    <w:p w14:paraId="09C6DCBC" w14:textId="77777777" w:rsidR="00FC68A7" w:rsidRDefault="00A65887">
      <w:pPr>
        <w:ind w:left="0" w:firstLine="0"/>
        <w:rPr>
          <w:b/>
        </w:rPr>
      </w:pPr>
      <w:r>
        <w:rPr>
          <w:b/>
        </w:rPr>
        <w:t>4.7</w:t>
      </w:r>
      <w:r>
        <w:rPr>
          <w:b/>
        </w:rPr>
        <w:tab/>
        <w:t xml:space="preserve">Wpływ na zdolność prowadzenia pojazdów i obsługiwania </w:t>
      </w:r>
      <w:r w:rsidR="00CE29CA">
        <w:rPr>
          <w:b/>
          <w:noProof/>
          <w:szCs w:val="22"/>
        </w:rPr>
        <w:t>maszyn</w:t>
      </w:r>
    </w:p>
    <w:p w14:paraId="2D0ED211" w14:textId="77777777" w:rsidR="005F0885" w:rsidRDefault="005F0885">
      <w:pPr>
        <w:ind w:left="0" w:firstLine="0"/>
      </w:pPr>
    </w:p>
    <w:p w14:paraId="2C9DB1BD" w14:textId="68C17987" w:rsidR="00CE29CA" w:rsidRDefault="002B5AC2">
      <w:pPr>
        <w:ind w:left="0" w:firstLine="0"/>
      </w:pPr>
      <w:r>
        <w:t xml:space="preserve">Bedicort G </w:t>
      </w:r>
      <w:r w:rsidR="00CA69FC">
        <w:t>maść</w:t>
      </w:r>
      <w:r>
        <w:t xml:space="preserve"> </w:t>
      </w:r>
      <w:r w:rsidR="00A65887">
        <w:t xml:space="preserve">nie ma wpływu </w:t>
      </w:r>
      <w:r>
        <w:t>lub wyw</w:t>
      </w:r>
      <w:r w:rsidR="00A65887">
        <w:t>iera nieistotny wpływ</w:t>
      </w:r>
      <w:r>
        <w:t xml:space="preserve"> </w:t>
      </w:r>
      <w:r w:rsidR="00A65887">
        <w:t xml:space="preserve">na zdolność prowadzenia pojazdów </w:t>
      </w:r>
      <w:r w:rsidR="00D95C43">
        <w:t>i </w:t>
      </w:r>
      <w:r w:rsidR="00A65887">
        <w:t>obsługiwania</w:t>
      </w:r>
      <w:r w:rsidR="009A3AC7">
        <w:t xml:space="preserve"> </w:t>
      </w:r>
      <w:r w:rsidR="00CE29CA">
        <w:t>maszyn</w:t>
      </w:r>
      <w:r w:rsidR="00A65887">
        <w:t>.</w:t>
      </w:r>
    </w:p>
    <w:p w14:paraId="38B87827" w14:textId="77777777" w:rsidR="00A65887" w:rsidRDefault="00A65887">
      <w:pPr>
        <w:ind w:left="0" w:firstLine="0"/>
      </w:pPr>
    </w:p>
    <w:p w14:paraId="17E63781" w14:textId="77777777" w:rsidR="00A65887" w:rsidRDefault="00C34064">
      <w:pPr>
        <w:ind w:left="0" w:firstLine="0"/>
        <w:rPr>
          <w:b/>
        </w:rPr>
      </w:pPr>
      <w:r w:rsidRPr="00C34064">
        <w:rPr>
          <w:b/>
        </w:rPr>
        <w:t>4.</w:t>
      </w:r>
      <w:r>
        <w:rPr>
          <w:b/>
        </w:rPr>
        <w:t>8</w:t>
      </w:r>
      <w:r>
        <w:rPr>
          <w:b/>
        </w:rPr>
        <w:tab/>
      </w:r>
      <w:r w:rsidR="00A65887">
        <w:rPr>
          <w:b/>
        </w:rPr>
        <w:t>Działania niepożądane</w:t>
      </w:r>
    </w:p>
    <w:p w14:paraId="75EC0057" w14:textId="77777777" w:rsidR="00C34064" w:rsidRPr="005C1EE7" w:rsidRDefault="00C34064">
      <w:pPr>
        <w:ind w:left="0" w:firstLine="0"/>
        <w:rPr>
          <w:bCs/>
        </w:rPr>
      </w:pPr>
    </w:p>
    <w:p w14:paraId="6FD2C339" w14:textId="41DA160D" w:rsidR="00FC4ED8" w:rsidRDefault="00FC4ED8">
      <w:pPr>
        <w:ind w:left="0" w:firstLine="0"/>
      </w:pPr>
      <w:r>
        <w:t xml:space="preserve">Ogólnoustrojowe działania niepożądane kortykosteroidów mogą wystąpić w wyniku zwiększonego wchłaniania betametazonu </w:t>
      </w:r>
      <w:r w:rsidR="000D23EF">
        <w:t xml:space="preserve">dipropionianu </w:t>
      </w:r>
      <w:r>
        <w:t>do krążenia podczas długotrwałego stosowania (ponad 2</w:t>
      </w:r>
      <w:r w:rsidR="000D23EF">
        <w:t> </w:t>
      </w:r>
      <w:r>
        <w:t>tygodnie), stosowania na dużych powierzchniach skóry lub na uszkodzoną skórę oraz stosowania u</w:t>
      </w:r>
      <w:r w:rsidR="00D95C43">
        <w:t> </w:t>
      </w:r>
      <w:r>
        <w:t>dzieci.</w:t>
      </w:r>
    </w:p>
    <w:p w14:paraId="3ABC5F9D" w14:textId="77777777" w:rsidR="00FC4ED8" w:rsidRDefault="00FC4ED8" w:rsidP="005C1EE7">
      <w:pPr>
        <w:ind w:left="0" w:firstLine="0"/>
      </w:pPr>
    </w:p>
    <w:p w14:paraId="7823DF30" w14:textId="6B37630C" w:rsidR="00FC4ED8" w:rsidRDefault="00FC4ED8" w:rsidP="005C1EE7">
      <w:pPr>
        <w:ind w:left="0" w:firstLine="0"/>
      </w:pPr>
      <w:r>
        <w:t>Ze względu na zawartość gentamycyny w produkcie leczniczym istnieje ryzyko uszkodzenia nerek, szczególnie w przypadku jednoczesnego stosowania leków nefrotoksycznych oraz w zaburzeniach czynności nerek.</w:t>
      </w:r>
    </w:p>
    <w:p w14:paraId="1E696D8A" w14:textId="77777777" w:rsidR="00FC4ED8" w:rsidRDefault="00FC4ED8"/>
    <w:p w14:paraId="79D5F772" w14:textId="13361FAA" w:rsidR="0046735E" w:rsidRPr="00114C62" w:rsidRDefault="0046735E">
      <w:r w:rsidRPr="00114C62">
        <w:t xml:space="preserve">Częstość występowania działań niepożądanych została określona w następujący sposób: </w:t>
      </w:r>
    </w:p>
    <w:p w14:paraId="2082DBB5" w14:textId="668CC64A" w:rsidR="0046735E" w:rsidRPr="00114C62" w:rsidRDefault="0046735E">
      <w:r w:rsidRPr="00114C62">
        <w:t>Bardzo często: (</w:t>
      </w:r>
      <w:r w:rsidR="00C72895">
        <w:t>≥</w:t>
      </w:r>
      <w:r w:rsidRPr="00114C62">
        <w:t xml:space="preserve"> 1/10)</w:t>
      </w:r>
    </w:p>
    <w:p w14:paraId="57337C01" w14:textId="419FEF5B" w:rsidR="0046735E" w:rsidRPr="00114C62" w:rsidRDefault="0046735E">
      <w:r w:rsidRPr="00114C62">
        <w:t>Często: (</w:t>
      </w:r>
      <w:r w:rsidR="00C72895">
        <w:t>≥</w:t>
      </w:r>
      <w:r w:rsidRPr="00114C62">
        <w:t xml:space="preserve"> 1/100, &lt; 1/10)</w:t>
      </w:r>
    </w:p>
    <w:p w14:paraId="6D29169D" w14:textId="2FAE542B" w:rsidR="0046735E" w:rsidRPr="00114C62" w:rsidRDefault="0046735E">
      <w:r w:rsidRPr="00114C62">
        <w:t>Niezbyt często: (</w:t>
      </w:r>
      <w:r w:rsidR="00C72895">
        <w:t>≥</w:t>
      </w:r>
      <w:r w:rsidRPr="00114C62">
        <w:t xml:space="preserve"> 1/1 000, &lt; 1/100)</w:t>
      </w:r>
    </w:p>
    <w:p w14:paraId="5C558696" w14:textId="4DDFD4DB" w:rsidR="0046735E" w:rsidRPr="00114C62" w:rsidRDefault="0046735E">
      <w:r w:rsidRPr="00114C62">
        <w:t>Rzadko: (</w:t>
      </w:r>
      <w:r w:rsidR="00C72895">
        <w:t>≥</w:t>
      </w:r>
      <w:r w:rsidRPr="00114C62">
        <w:t xml:space="preserve"> 1/10 000, &lt; 1/1 000)</w:t>
      </w:r>
    </w:p>
    <w:p w14:paraId="58190494" w14:textId="77777777" w:rsidR="0046735E" w:rsidRPr="00114C62" w:rsidRDefault="0046735E">
      <w:r w:rsidRPr="00114C62">
        <w:t>Bardzo rzadko: (&lt; 1/10 000) w tym pojedyncze przypadki</w:t>
      </w:r>
    </w:p>
    <w:p w14:paraId="52D184AC" w14:textId="7BE7836D" w:rsidR="0046735E" w:rsidRDefault="0046735E">
      <w:r w:rsidRPr="00114C62">
        <w:t>Częstość nieznana (częstość nie może być określona na podstawie dostępnych danych)</w:t>
      </w:r>
      <w:r w:rsidR="00F42299">
        <w:t>.</w:t>
      </w:r>
    </w:p>
    <w:p w14:paraId="4ADB8B55" w14:textId="77777777" w:rsidR="00451FE3" w:rsidRDefault="00451FE3" w:rsidP="002B5AC2">
      <w:pPr>
        <w:ind w:left="0" w:firstLine="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331"/>
        <w:gridCol w:w="4103"/>
      </w:tblGrid>
      <w:tr w:rsidR="001F6F05" w:rsidRPr="000975DB" w14:paraId="5F0BDD25" w14:textId="77777777" w:rsidTr="005C1EE7">
        <w:tc>
          <w:tcPr>
            <w:tcW w:w="2518" w:type="dxa"/>
            <w:shd w:val="clear" w:color="auto" w:fill="auto"/>
            <w:vAlign w:val="center"/>
          </w:tcPr>
          <w:p w14:paraId="637D1557" w14:textId="77777777" w:rsidR="001F6F05" w:rsidRPr="000975DB" w:rsidRDefault="001F6F05" w:rsidP="005C1EE7">
            <w:pPr>
              <w:widowControl w:val="0"/>
              <w:jc w:val="center"/>
              <w:rPr>
                <w:b/>
                <w:bCs/>
                <w:szCs w:val="22"/>
              </w:rPr>
            </w:pPr>
            <w:r w:rsidRPr="000975DB">
              <w:rPr>
                <w:b/>
                <w:bCs/>
                <w:szCs w:val="22"/>
              </w:rPr>
              <w:t>Klasyfikacja układów</w:t>
            </w:r>
          </w:p>
          <w:p w14:paraId="50A8A629" w14:textId="77777777" w:rsidR="001F6F05" w:rsidRPr="000975DB" w:rsidRDefault="001F6F05" w:rsidP="005C1EE7">
            <w:pPr>
              <w:widowControl w:val="0"/>
              <w:jc w:val="center"/>
              <w:rPr>
                <w:b/>
                <w:bCs/>
                <w:szCs w:val="22"/>
              </w:rPr>
            </w:pPr>
            <w:r w:rsidRPr="000975DB">
              <w:rPr>
                <w:b/>
                <w:bCs/>
                <w:szCs w:val="22"/>
              </w:rPr>
              <w:t>i narządów</w:t>
            </w:r>
          </w:p>
        </w:tc>
        <w:tc>
          <w:tcPr>
            <w:tcW w:w="2331" w:type="dxa"/>
            <w:shd w:val="clear" w:color="auto" w:fill="auto"/>
            <w:vAlign w:val="center"/>
          </w:tcPr>
          <w:p w14:paraId="70FB60E3" w14:textId="77777777" w:rsidR="001F6F05" w:rsidRPr="000975DB" w:rsidRDefault="001F6F05" w:rsidP="005C1EE7">
            <w:pPr>
              <w:widowControl w:val="0"/>
              <w:jc w:val="center"/>
              <w:rPr>
                <w:b/>
                <w:bCs/>
                <w:szCs w:val="22"/>
              </w:rPr>
            </w:pPr>
            <w:r w:rsidRPr="000975DB">
              <w:rPr>
                <w:b/>
                <w:bCs/>
                <w:szCs w:val="22"/>
              </w:rPr>
              <w:t>Częstość występowania</w:t>
            </w:r>
          </w:p>
        </w:tc>
        <w:tc>
          <w:tcPr>
            <w:tcW w:w="4103" w:type="dxa"/>
            <w:shd w:val="clear" w:color="auto" w:fill="auto"/>
            <w:vAlign w:val="center"/>
          </w:tcPr>
          <w:p w14:paraId="76C0D72D" w14:textId="77777777" w:rsidR="001F6F05" w:rsidRPr="000975DB" w:rsidRDefault="001F6F05" w:rsidP="005C1EE7">
            <w:pPr>
              <w:widowControl w:val="0"/>
              <w:jc w:val="center"/>
              <w:rPr>
                <w:b/>
                <w:bCs/>
                <w:szCs w:val="22"/>
              </w:rPr>
            </w:pPr>
            <w:r w:rsidRPr="000975DB">
              <w:rPr>
                <w:b/>
                <w:bCs/>
                <w:szCs w:val="22"/>
              </w:rPr>
              <w:t>Działanie niepożądane</w:t>
            </w:r>
          </w:p>
        </w:tc>
      </w:tr>
      <w:tr w:rsidR="00B54147" w:rsidRPr="000975DB" w14:paraId="0D442D61" w14:textId="77777777" w:rsidTr="005C1EE7">
        <w:tc>
          <w:tcPr>
            <w:tcW w:w="2518" w:type="dxa"/>
            <w:shd w:val="clear" w:color="auto" w:fill="auto"/>
            <w:vAlign w:val="center"/>
          </w:tcPr>
          <w:p w14:paraId="582533F3" w14:textId="77777777" w:rsidR="00B54147" w:rsidRPr="00AE1EA2" w:rsidRDefault="00B54147" w:rsidP="005C1EE7">
            <w:pPr>
              <w:widowControl w:val="0"/>
              <w:ind w:left="0" w:firstLine="0"/>
              <w:rPr>
                <w:bCs/>
                <w:szCs w:val="22"/>
              </w:rPr>
            </w:pPr>
            <w:r>
              <w:rPr>
                <w:bCs/>
                <w:szCs w:val="22"/>
              </w:rPr>
              <w:t>Zakażenia i zarażenia pasożytnicze</w:t>
            </w:r>
          </w:p>
        </w:tc>
        <w:tc>
          <w:tcPr>
            <w:tcW w:w="2331" w:type="dxa"/>
            <w:shd w:val="clear" w:color="auto" w:fill="auto"/>
            <w:vAlign w:val="center"/>
          </w:tcPr>
          <w:p w14:paraId="2646DB9A" w14:textId="77777777" w:rsidR="00B54147" w:rsidRDefault="00B54147" w:rsidP="005C1EE7">
            <w:pPr>
              <w:widowControl w:val="0"/>
              <w:rPr>
                <w:bCs/>
                <w:szCs w:val="22"/>
              </w:rPr>
            </w:pPr>
            <w:r>
              <w:rPr>
                <w:bCs/>
                <w:szCs w:val="22"/>
              </w:rPr>
              <w:t>Nieznana</w:t>
            </w:r>
          </w:p>
        </w:tc>
        <w:tc>
          <w:tcPr>
            <w:tcW w:w="4103" w:type="dxa"/>
            <w:shd w:val="clear" w:color="auto" w:fill="auto"/>
            <w:vAlign w:val="center"/>
          </w:tcPr>
          <w:p w14:paraId="0763731F" w14:textId="7BE48CD6" w:rsidR="00B54147" w:rsidRPr="001473A2" w:rsidRDefault="00B54147" w:rsidP="005C1EE7">
            <w:pPr>
              <w:widowControl w:val="0"/>
              <w:ind w:left="0" w:firstLine="0"/>
              <w:rPr>
                <w:noProof/>
                <w:szCs w:val="22"/>
              </w:rPr>
            </w:pPr>
            <w:r w:rsidRPr="00FC4ED8">
              <w:rPr>
                <w:noProof/>
                <w:szCs w:val="22"/>
              </w:rPr>
              <w:t>Zapalenie mieszków włosowych</w:t>
            </w:r>
          </w:p>
        </w:tc>
      </w:tr>
      <w:tr w:rsidR="001F6F05" w:rsidRPr="000975DB" w14:paraId="6F1D57CC" w14:textId="77777777" w:rsidTr="005C1EE7">
        <w:tc>
          <w:tcPr>
            <w:tcW w:w="2518" w:type="dxa"/>
            <w:shd w:val="clear" w:color="auto" w:fill="auto"/>
            <w:vAlign w:val="center"/>
          </w:tcPr>
          <w:p w14:paraId="652FC1C3" w14:textId="77777777" w:rsidR="001F6F05" w:rsidRPr="00AE1EA2" w:rsidRDefault="001F6F05" w:rsidP="005C1EE7">
            <w:pPr>
              <w:widowControl w:val="0"/>
              <w:ind w:left="0" w:firstLine="0"/>
              <w:rPr>
                <w:bCs/>
                <w:szCs w:val="22"/>
              </w:rPr>
            </w:pPr>
            <w:r w:rsidRPr="00AE1EA2">
              <w:rPr>
                <w:bCs/>
                <w:szCs w:val="22"/>
              </w:rPr>
              <w:t>Zaburzenia układu immunologicznego</w:t>
            </w:r>
          </w:p>
        </w:tc>
        <w:tc>
          <w:tcPr>
            <w:tcW w:w="2331" w:type="dxa"/>
            <w:shd w:val="clear" w:color="auto" w:fill="auto"/>
            <w:vAlign w:val="center"/>
          </w:tcPr>
          <w:p w14:paraId="74293033" w14:textId="77777777" w:rsidR="001F6F05" w:rsidRPr="000975DB" w:rsidRDefault="001F6F05" w:rsidP="005C1EE7">
            <w:pPr>
              <w:widowControl w:val="0"/>
              <w:rPr>
                <w:b/>
                <w:bCs/>
                <w:szCs w:val="22"/>
              </w:rPr>
            </w:pPr>
            <w:r>
              <w:rPr>
                <w:bCs/>
                <w:szCs w:val="22"/>
              </w:rPr>
              <w:t>Nieznana</w:t>
            </w:r>
          </w:p>
        </w:tc>
        <w:tc>
          <w:tcPr>
            <w:tcW w:w="4103" w:type="dxa"/>
            <w:shd w:val="clear" w:color="auto" w:fill="auto"/>
            <w:vAlign w:val="center"/>
          </w:tcPr>
          <w:p w14:paraId="6B2B16FA" w14:textId="16969641" w:rsidR="001F6F05" w:rsidRPr="00BE19F8" w:rsidRDefault="001F6F05" w:rsidP="005C1EE7">
            <w:pPr>
              <w:widowControl w:val="0"/>
              <w:ind w:left="0" w:firstLine="0"/>
              <w:rPr>
                <w:noProof/>
                <w:szCs w:val="22"/>
              </w:rPr>
            </w:pPr>
            <w:r w:rsidRPr="001473A2">
              <w:rPr>
                <w:noProof/>
                <w:szCs w:val="22"/>
              </w:rPr>
              <w:t xml:space="preserve">Mogą wystąpić objawy nadwrażliwości. Jeśli wystąpią objawy nadwrażliwości, należy natychmiast przerwać leczenie. </w:t>
            </w:r>
            <w:r w:rsidR="00FC4ED8" w:rsidRPr="00FC4ED8">
              <w:rPr>
                <w:noProof/>
                <w:szCs w:val="22"/>
              </w:rPr>
              <w:t>Immunosupresja</w:t>
            </w:r>
            <w:r w:rsidR="00D95C43">
              <w:rPr>
                <w:noProof/>
                <w:szCs w:val="22"/>
              </w:rPr>
              <w:t>.</w:t>
            </w:r>
          </w:p>
        </w:tc>
      </w:tr>
      <w:tr w:rsidR="001F6F05" w:rsidRPr="000975DB" w14:paraId="3DC0E2C8" w14:textId="77777777" w:rsidTr="005C1EE7">
        <w:tc>
          <w:tcPr>
            <w:tcW w:w="2518" w:type="dxa"/>
            <w:shd w:val="clear" w:color="auto" w:fill="auto"/>
            <w:vAlign w:val="center"/>
          </w:tcPr>
          <w:p w14:paraId="53BE2B5D" w14:textId="77777777" w:rsidR="001F6F05" w:rsidRPr="00AE1EA2" w:rsidRDefault="001F6F05" w:rsidP="005C1EE7">
            <w:pPr>
              <w:widowControl w:val="0"/>
              <w:ind w:left="34" w:firstLine="0"/>
              <w:rPr>
                <w:bCs/>
                <w:szCs w:val="22"/>
              </w:rPr>
            </w:pPr>
            <w:r w:rsidRPr="00AE1EA2">
              <w:rPr>
                <w:bCs/>
                <w:szCs w:val="22"/>
              </w:rPr>
              <w:t xml:space="preserve">Zaburzenia </w:t>
            </w:r>
            <w:r>
              <w:rPr>
                <w:bCs/>
                <w:szCs w:val="22"/>
              </w:rPr>
              <w:t>e</w:t>
            </w:r>
            <w:r w:rsidRPr="00AE1EA2">
              <w:rPr>
                <w:bCs/>
                <w:szCs w:val="22"/>
              </w:rPr>
              <w:t>ndokrynologiczne</w:t>
            </w:r>
          </w:p>
        </w:tc>
        <w:tc>
          <w:tcPr>
            <w:tcW w:w="2331" w:type="dxa"/>
            <w:shd w:val="clear" w:color="auto" w:fill="auto"/>
            <w:vAlign w:val="center"/>
          </w:tcPr>
          <w:p w14:paraId="41926B2C" w14:textId="77777777" w:rsidR="001F6F05" w:rsidRPr="000975DB" w:rsidRDefault="001F6F05" w:rsidP="005C1EE7">
            <w:pPr>
              <w:widowControl w:val="0"/>
              <w:rPr>
                <w:b/>
                <w:bCs/>
                <w:szCs w:val="22"/>
              </w:rPr>
            </w:pPr>
            <w:r>
              <w:rPr>
                <w:bCs/>
                <w:szCs w:val="22"/>
              </w:rPr>
              <w:t>Nieznana</w:t>
            </w:r>
          </w:p>
        </w:tc>
        <w:tc>
          <w:tcPr>
            <w:tcW w:w="4103" w:type="dxa"/>
            <w:shd w:val="clear" w:color="auto" w:fill="auto"/>
            <w:vAlign w:val="center"/>
          </w:tcPr>
          <w:p w14:paraId="29264F67" w14:textId="1DEAAC11" w:rsidR="001F6F05" w:rsidRPr="00AE1EA2" w:rsidRDefault="001F6F05" w:rsidP="005C1EE7">
            <w:pPr>
              <w:widowControl w:val="0"/>
              <w:ind w:left="0" w:firstLine="0"/>
              <w:rPr>
                <w:noProof/>
                <w:szCs w:val="22"/>
              </w:rPr>
            </w:pPr>
            <w:r w:rsidRPr="00623135">
              <w:rPr>
                <w:noProof/>
                <w:szCs w:val="22"/>
              </w:rPr>
              <w:t xml:space="preserve">Podczas stosowania produktu leczniczego przez dłuższy czas (powyżej 2 tygodni), stosowania na dużych powierzchniach skóry lub na uszkodzoną skórę, w razie stosowania okładów zamkniętych oraz w przypadku stosowania u dzieci, w wyniku nasilonego wchłaniania betametazonu dipropionianu do krążenia mogą wystąpić ogólnoustrojowe </w:t>
            </w:r>
            <w:r w:rsidR="00846078">
              <w:rPr>
                <w:noProof/>
                <w:szCs w:val="22"/>
              </w:rPr>
              <w:t>działania</w:t>
            </w:r>
            <w:r w:rsidRPr="00623135">
              <w:rPr>
                <w:noProof/>
                <w:szCs w:val="22"/>
              </w:rPr>
              <w:t xml:space="preserve"> niepożądane kortykosteroidów. Ogólnoustrojowe </w:t>
            </w:r>
            <w:r w:rsidR="00846078">
              <w:rPr>
                <w:noProof/>
                <w:szCs w:val="22"/>
              </w:rPr>
              <w:t>działania</w:t>
            </w:r>
            <w:r w:rsidRPr="00623135">
              <w:rPr>
                <w:noProof/>
                <w:szCs w:val="22"/>
              </w:rPr>
              <w:t xml:space="preserve"> niepożądane charakterystyczne dla kortykosteroidów, to m.in. zahamowanie czynności osi podwzgórze–przysadka–nadnercza, zespół Cushinga</w:t>
            </w:r>
            <w:r w:rsidR="00B65EB7">
              <w:rPr>
                <w:noProof/>
                <w:szCs w:val="22"/>
              </w:rPr>
              <w:t>.</w:t>
            </w:r>
          </w:p>
        </w:tc>
      </w:tr>
      <w:tr w:rsidR="00FC4ED8" w:rsidRPr="000975DB" w14:paraId="6A2FFC19" w14:textId="77777777" w:rsidTr="005C1EE7">
        <w:tc>
          <w:tcPr>
            <w:tcW w:w="2518" w:type="dxa"/>
            <w:shd w:val="clear" w:color="auto" w:fill="auto"/>
            <w:vAlign w:val="center"/>
          </w:tcPr>
          <w:p w14:paraId="734AE38D" w14:textId="14A5EB4B" w:rsidR="00FC4ED8" w:rsidRPr="00AE1EA2" w:rsidRDefault="00FC4ED8" w:rsidP="005C1EE7">
            <w:pPr>
              <w:widowControl w:val="0"/>
              <w:ind w:left="34" w:firstLine="0"/>
              <w:rPr>
                <w:bCs/>
                <w:szCs w:val="22"/>
              </w:rPr>
            </w:pPr>
            <w:r w:rsidRPr="00FC4ED8">
              <w:rPr>
                <w:bCs/>
                <w:szCs w:val="22"/>
              </w:rPr>
              <w:t>Zaburzenia metabolizmu i odżywiania</w:t>
            </w:r>
          </w:p>
        </w:tc>
        <w:tc>
          <w:tcPr>
            <w:tcW w:w="2331" w:type="dxa"/>
            <w:shd w:val="clear" w:color="auto" w:fill="auto"/>
            <w:vAlign w:val="center"/>
          </w:tcPr>
          <w:p w14:paraId="1B088A31" w14:textId="0DF992F2" w:rsidR="00FC4ED8" w:rsidRDefault="00FC4ED8" w:rsidP="005C1EE7">
            <w:pPr>
              <w:widowControl w:val="0"/>
              <w:rPr>
                <w:bCs/>
                <w:szCs w:val="22"/>
              </w:rPr>
            </w:pPr>
            <w:r>
              <w:rPr>
                <w:bCs/>
                <w:szCs w:val="22"/>
              </w:rPr>
              <w:t>Nieznana</w:t>
            </w:r>
          </w:p>
        </w:tc>
        <w:tc>
          <w:tcPr>
            <w:tcW w:w="4103" w:type="dxa"/>
            <w:shd w:val="clear" w:color="auto" w:fill="auto"/>
            <w:vAlign w:val="center"/>
          </w:tcPr>
          <w:p w14:paraId="31AA37EB" w14:textId="7CA87C7F" w:rsidR="00FC4ED8" w:rsidRPr="001473A2" w:rsidRDefault="00FC4ED8" w:rsidP="005C1EE7">
            <w:pPr>
              <w:widowControl w:val="0"/>
              <w:ind w:left="0" w:firstLine="0"/>
              <w:rPr>
                <w:noProof/>
                <w:szCs w:val="22"/>
              </w:rPr>
            </w:pPr>
            <w:r>
              <w:rPr>
                <w:noProof/>
                <w:szCs w:val="22"/>
              </w:rPr>
              <w:t>Hiperglikemia</w:t>
            </w:r>
          </w:p>
        </w:tc>
      </w:tr>
      <w:tr w:rsidR="001F6F05" w:rsidRPr="00A162FE" w14:paraId="3C02C51F" w14:textId="77777777" w:rsidTr="005C1EE7">
        <w:tc>
          <w:tcPr>
            <w:tcW w:w="2518" w:type="dxa"/>
            <w:shd w:val="clear" w:color="auto" w:fill="auto"/>
            <w:vAlign w:val="center"/>
          </w:tcPr>
          <w:p w14:paraId="2BC8ED9F" w14:textId="77777777" w:rsidR="001F6F05" w:rsidRPr="004333A4" w:rsidRDefault="001F6F05" w:rsidP="005C1EE7">
            <w:pPr>
              <w:widowControl w:val="0"/>
              <w:rPr>
                <w:bCs/>
                <w:szCs w:val="22"/>
              </w:rPr>
            </w:pPr>
            <w:r w:rsidRPr="000975DB">
              <w:rPr>
                <w:bCs/>
                <w:szCs w:val="22"/>
              </w:rPr>
              <w:t>Zaburzenia oka</w:t>
            </w:r>
          </w:p>
        </w:tc>
        <w:tc>
          <w:tcPr>
            <w:tcW w:w="2331" w:type="dxa"/>
            <w:shd w:val="clear" w:color="auto" w:fill="auto"/>
            <w:vAlign w:val="center"/>
          </w:tcPr>
          <w:p w14:paraId="5650B3DE" w14:textId="77777777" w:rsidR="001F6F05" w:rsidRPr="004333A4" w:rsidRDefault="001F6F05" w:rsidP="005C1EE7">
            <w:pPr>
              <w:widowControl w:val="0"/>
              <w:rPr>
                <w:bCs/>
                <w:szCs w:val="22"/>
              </w:rPr>
            </w:pPr>
            <w:r>
              <w:rPr>
                <w:bCs/>
                <w:szCs w:val="22"/>
              </w:rPr>
              <w:t>Nieznana</w:t>
            </w:r>
          </w:p>
        </w:tc>
        <w:tc>
          <w:tcPr>
            <w:tcW w:w="4103" w:type="dxa"/>
            <w:shd w:val="clear" w:color="auto" w:fill="auto"/>
            <w:vAlign w:val="center"/>
          </w:tcPr>
          <w:p w14:paraId="711133F2" w14:textId="463AFAD6" w:rsidR="00EE6C4E" w:rsidRPr="005C1EE7" w:rsidRDefault="001F6F05" w:rsidP="005C1EE7">
            <w:pPr>
              <w:widowControl w:val="0"/>
              <w:ind w:left="0" w:firstLine="0"/>
              <w:rPr>
                <w:noProof/>
                <w:szCs w:val="22"/>
              </w:rPr>
            </w:pPr>
            <w:r w:rsidRPr="001473A2">
              <w:rPr>
                <w:noProof/>
                <w:szCs w:val="22"/>
              </w:rPr>
              <w:t>Po zastosowaniu miejscowym na skórę powiek, niekiedy może wystąpić nasilenie objawów jaskry lub przyspieszenie rozwoju zaćmy.</w:t>
            </w:r>
            <w:r w:rsidRPr="005C1EE7">
              <w:rPr>
                <w:noProof/>
                <w:szCs w:val="22"/>
              </w:rPr>
              <w:t xml:space="preserve"> Nieostre widzenie (patrz także punkt 4.4).</w:t>
            </w:r>
          </w:p>
        </w:tc>
      </w:tr>
      <w:tr w:rsidR="001F6F05" w:rsidRPr="000975DB" w14:paraId="721E36DF" w14:textId="77777777" w:rsidTr="005C1EE7">
        <w:tc>
          <w:tcPr>
            <w:tcW w:w="2518" w:type="dxa"/>
            <w:shd w:val="clear" w:color="auto" w:fill="auto"/>
            <w:vAlign w:val="center"/>
          </w:tcPr>
          <w:p w14:paraId="515119FE" w14:textId="77777777" w:rsidR="001F6F05" w:rsidRPr="004333A4" w:rsidRDefault="001F6F05" w:rsidP="005C1EE7">
            <w:pPr>
              <w:widowControl w:val="0"/>
              <w:ind w:left="0" w:firstLine="0"/>
              <w:rPr>
                <w:bCs/>
                <w:szCs w:val="22"/>
              </w:rPr>
            </w:pPr>
            <w:r w:rsidRPr="00FA262B">
              <w:rPr>
                <w:bCs/>
                <w:szCs w:val="22"/>
              </w:rPr>
              <w:t>Zaburzenia ucha i błędnika</w:t>
            </w:r>
          </w:p>
        </w:tc>
        <w:tc>
          <w:tcPr>
            <w:tcW w:w="2331" w:type="dxa"/>
            <w:shd w:val="clear" w:color="auto" w:fill="auto"/>
            <w:vAlign w:val="center"/>
          </w:tcPr>
          <w:p w14:paraId="2F5EF60C" w14:textId="77777777" w:rsidR="001F6F05" w:rsidRPr="004333A4" w:rsidRDefault="001F6F05" w:rsidP="005C1EE7">
            <w:pPr>
              <w:widowControl w:val="0"/>
              <w:rPr>
                <w:bCs/>
                <w:szCs w:val="22"/>
              </w:rPr>
            </w:pPr>
            <w:r>
              <w:rPr>
                <w:bCs/>
                <w:szCs w:val="22"/>
              </w:rPr>
              <w:t>Nieznana</w:t>
            </w:r>
          </w:p>
        </w:tc>
        <w:tc>
          <w:tcPr>
            <w:tcW w:w="4103" w:type="dxa"/>
            <w:shd w:val="clear" w:color="auto" w:fill="auto"/>
            <w:vAlign w:val="center"/>
          </w:tcPr>
          <w:p w14:paraId="6911FCDA" w14:textId="215ADEB1" w:rsidR="001F6F05" w:rsidRPr="00AE1EA2" w:rsidRDefault="001F6F05" w:rsidP="005C1EE7">
            <w:pPr>
              <w:widowControl w:val="0"/>
              <w:ind w:left="0" w:firstLine="0"/>
              <w:rPr>
                <w:noProof/>
                <w:szCs w:val="22"/>
              </w:rPr>
            </w:pPr>
            <w:r w:rsidRPr="001473A2">
              <w:rPr>
                <w:noProof/>
                <w:szCs w:val="22"/>
              </w:rPr>
              <w:t>Ze względu na zawartość gentamycyny w produkcie leczniczym, mogą</w:t>
            </w:r>
            <w:r w:rsidR="00A162FE">
              <w:rPr>
                <w:noProof/>
                <w:szCs w:val="22"/>
              </w:rPr>
              <w:t xml:space="preserve"> </w:t>
            </w:r>
            <w:r w:rsidRPr="001473A2">
              <w:rPr>
                <w:noProof/>
                <w:szCs w:val="22"/>
              </w:rPr>
              <w:t xml:space="preserve">wystąpić objawy ototoksyczności, zwłaszcza gdy stosuje się go na dużą powierzchnię skóry lub skórę uszkodzoną. </w:t>
            </w:r>
          </w:p>
        </w:tc>
      </w:tr>
      <w:tr w:rsidR="001F6F05" w:rsidRPr="000975DB" w14:paraId="62EA1947" w14:textId="77777777" w:rsidTr="005C1EE7">
        <w:tc>
          <w:tcPr>
            <w:tcW w:w="2518" w:type="dxa"/>
            <w:shd w:val="clear" w:color="auto" w:fill="auto"/>
            <w:vAlign w:val="center"/>
          </w:tcPr>
          <w:p w14:paraId="0C2BF6A3" w14:textId="77777777" w:rsidR="001F6F05" w:rsidRPr="000975DB" w:rsidRDefault="001F6F05" w:rsidP="005C1EE7">
            <w:pPr>
              <w:widowControl w:val="0"/>
              <w:rPr>
                <w:bCs/>
                <w:szCs w:val="22"/>
              </w:rPr>
            </w:pPr>
            <w:r w:rsidRPr="00FA262B">
              <w:rPr>
                <w:bCs/>
                <w:szCs w:val="22"/>
              </w:rPr>
              <w:t>Zaburzenia naczyniowe</w:t>
            </w:r>
          </w:p>
        </w:tc>
        <w:tc>
          <w:tcPr>
            <w:tcW w:w="2331" w:type="dxa"/>
            <w:shd w:val="clear" w:color="auto" w:fill="auto"/>
            <w:vAlign w:val="center"/>
          </w:tcPr>
          <w:p w14:paraId="0DA174CE" w14:textId="77777777" w:rsidR="001F6F05" w:rsidRDefault="001F6F05" w:rsidP="005C1EE7">
            <w:pPr>
              <w:widowControl w:val="0"/>
              <w:rPr>
                <w:bCs/>
                <w:szCs w:val="22"/>
              </w:rPr>
            </w:pPr>
            <w:r>
              <w:rPr>
                <w:bCs/>
                <w:szCs w:val="22"/>
              </w:rPr>
              <w:t>Nieznana</w:t>
            </w:r>
          </w:p>
        </w:tc>
        <w:tc>
          <w:tcPr>
            <w:tcW w:w="4103" w:type="dxa"/>
            <w:shd w:val="clear" w:color="auto" w:fill="auto"/>
            <w:vAlign w:val="center"/>
          </w:tcPr>
          <w:p w14:paraId="060AAF0C" w14:textId="4560A62D" w:rsidR="001F6F05" w:rsidRPr="001473A2" w:rsidRDefault="00FC4ED8" w:rsidP="005C1EE7">
            <w:pPr>
              <w:widowControl w:val="0"/>
              <w:ind w:left="0" w:firstLine="0"/>
              <w:rPr>
                <w:noProof/>
                <w:szCs w:val="22"/>
              </w:rPr>
            </w:pPr>
            <w:r w:rsidRPr="00FC4ED8">
              <w:rPr>
                <w:noProof/>
                <w:szCs w:val="22"/>
              </w:rPr>
              <w:t>Nadciśnienie</w:t>
            </w:r>
            <w:r w:rsidR="00AA0896">
              <w:rPr>
                <w:noProof/>
                <w:szCs w:val="22"/>
              </w:rPr>
              <w:t xml:space="preserve"> tętnicze</w:t>
            </w:r>
            <w:r w:rsidR="00D95C43">
              <w:rPr>
                <w:noProof/>
                <w:szCs w:val="22"/>
              </w:rPr>
              <w:t>.</w:t>
            </w:r>
          </w:p>
        </w:tc>
      </w:tr>
      <w:tr w:rsidR="001F6F05" w:rsidRPr="000975DB" w14:paraId="1ECA2325" w14:textId="77777777" w:rsidTr="005C1EE7">
        <w:tc>
          <w:tcPr>
            <w:tcW w:w="2518" w:type="dxa"/>
            <w:shd w:val="clear" w:color="auto" w:fill="auto"/>
            <w:vAlign w:val="center"/>
          </w:tcPr>
          <w:p w14:paraId="49D8A24B" w14:textId="77777777" w:rsidR="001F6F05" w:rsidRPr="000975DB" w:rsidRDefault="001F6F05" w:rsidP="005C1EE7">
            <w:pPr>
              <w:widowControl w:val="0"/>
              <w:ind w:left="0" w:firstLine="0"/>
              <w:rPr>
                <w:bCs/>
                <w:szCs w:val="22"/>
              </w:rPr>
            </w:pPr>
            <w:r w:rsidRPr="004333A4">
              <w:rPr>
                <w:bCs/>
                <w:szCs w:val="22"/>
              </w:rPr>
              <w:t>Zaburzenia skóry i tkanki podskórnej</w:t>
            </w:r>
          </w:p>
        </w:tc>
        <w:tc>
          <w:tcPr>
            <w:tcW w:w="2331" w:type="dxa"/>
            <w:shd w:val="clear" w:color="auto" w:fill="auto"/>
            <w:vAlign w:val="center"/>
          </w:tcPr>
          <w:p w14:paraId="16D6E77F" w14:textId="77777777" w:rsidR="001F6F05" w:rsidRPr="000975DB" w:rsidRDefault="001F6F05" w:rsidP="005C1EE7">
            <w:pPr>
              <w:widowControl w:val="0"/>
              <w:rPr>
                <w:bCs/>
                <w:szCs w:val="22"/>
              </w:rPr>
            </w:pPr>
            <w:r w:rsidRPr="004333A4">
              <w:rPr>
                <w:bCs/>
                <w:szCs w:val="22"/>
              </w:rPr>
              <w:t>Nieznana</w:t>
            </w:r>
          </w:p>
        </w:tc>
        <w:tc>
          <w:tcPr>
            <w:tcW w:w="4103" w:type="dxa"/>
            <w:shd w:val="clear" w:color="auto" w:fill="auto"/>
            <w:vAlign w:val="center"/>
          </w:tcPr>
          <w:p w14:paraId="4D7BBB38" w14:textId="07522FB1" w:rsidR="001F6F05" w:rsidRPr="000975DB" w:rsidRDefault="001F6F05" w:rsidP="005C1EE7">
            <w:pPr>
              <w:widowControl w:val="0"/>
              <w:ind w:left="0" w:firstLine="0"/>
              <w:rPr>
                <w:bCs/>
                <w:szCs w:val="22"/>
              </w:rPr>
            </w:pPr>
            <w:r w:rsidRPr="001473A2">
              <w:rPr>
                <w:noProof/>
                <w:szCs w:val="22"/>
              </w:rPr>
              <w:t>Zmiany trądzikopodobne, plamica posteroidowa, zahamowanie wzrostu naskórka, zaniki tkanki podskórnej, suchość skóry, odbarwienie lub przebarwienie skóry, zanik i rozstępy skóry, nadmierne owłosienie skóry, alergiczne kontaktowe zapalenie skóry</w:t>
            </w:r>
            <w:r w:rsidR="00EF6732">
              <w:rPr>
                <w:noProof/>
                <w:szCs w:val="22"/>
              </w:rPr>
              <w:t>, t</w:t>
            </w:r>
            <w:r w:rsidR="00EF6732" w:rsidRPr="00EF6732">
              <w:rPr>
                <w:noProof/>
                <w:szCs w:val="22"/>
              </w:rPr>
              <w:t>eleangiektazje</w:t>
            </w:r>
            <w:r w:rsidRPr="001473A2">
              <w:rPr>
                <w:noProof/>
                <w:szCs w:val="22"/>
              </w:rPr>
              <w:t xml:space="preserve">. Niekiedy może wystąpić pokrzywka lub wysypka plamisto-grudkowa. Po zastosowaniu na skórę twarzy może powodować zapalenie skóry wokół ust. </w:t>
            </w:r>
          </w:p>
        </w:tc>
      </w:tr>
      <w:tr w:rsidR="00812CF8" w:rsidRPr="000975DB" w14:paraId="6882131B" w14:textId="77777777" w:rsidTr="00BD034A">
        <w:tc>
          <w:tcPr>
            <w:tcW w:w="2518" w:type="dxa"/>
            <w:shd w:val="clear" w:color="auto" w:fill="auto"/>
            <w:vAlign w:val="center"/>
          </w:tcPr>
          <w:p w14:paraId="43DD4B6F" w14:textId="77777777" w:rsidR="00812CF8" w:rsidRPr="00FA262B" w:rsidRDefault="00812CF8" w:rsidP="005C1EE7">
            <w:pPr>
              <w:widowControl w:val="0"/>
              <w:ind w:left="0" w:firstLine="0"/>
              <w:rPr>
                <w:bCs/>
                <w:szCs w:val="22"/>
              </w:rPr>
            </w:pPr>
            <w:r w:rsidRPr="00EF6732">
              <w:rPr>
                <w:bCs/>
                <w:szCs w:val="22"/>
              </w:rPr>
              <w:t xml:space="preserve">Zaburzenia mięśniowo-szkieletowe i tkanki </w:t>
            </w:r>
            <w:r w:rsidRPr="00EF6732">
              <w:rPr>
                <w:bCs/>
                <w:szCs w:val="22"/>
              </w:rPr>
              <w:lastRenderedPageBreak/>
              <w:t>łącznej</w:t>
            </w:r>
          </w:p>
        </w:tc>
        <w:tc>
          <w:tcPr>
            <w:tcW w:w="2331" w:type="dxa"/>
            <w:shd w:val="clear" w:color="auto" w:fill="auto"/>
            <w:vAlign w:val="center"/>
          </w:tcPr>
          <w:p w14:paraId="1BA3C5F5" w14:textId="77777777" w:rsidR="00812CF8" w:rsidRDefault="00812CF8" w:rsidP="005C1EE7">
            <w:pPr>
              <w:widowControl w:val="0"/>
              <w:rPr>
                <w:bCs/>
                <w:szCs w:val="22"/>
              </w:rPr>
            </w:pPr>
            <w:r>
              <w:rPr>
                <w:bCs/>
                <w:szCs w:val="22"/>
              </w:rPr>
              <w:lastRenderedPageBreak/>
              <w:t>Nieznana</w:t>
            </w:r>
          </w:p>
        </w:tc>
        <w:tc>
          <w:tcPr>
            <w:tcW w:w="4103" w:type="dxa"/>
            <w:shd w:val="clear" w:color="auto" w:fill="auto"/>
            <w:vAlign w:val="center"/>
          </w:tcPr>
          <w:p w14:paraId="74EDF94E" w14:textId="1C80B9CD" w:rsidR="00812CF8" w:rsidDel="00EF6732" w:rsidRDefault="00812CF8" w:rsidP="005C1EE7">
            <w:pPr>
              <w:widowControl w:val="0"/>
              <w:ind w:left="0" w:firstLine="0"/>
              <w:rPr>
                <w:szCs w:val="22"/>
              </w:rPr>
            </w:pPr>
            <w:r w:rsidRPr="00EF6732">
              <w:rPr>
                <w:szCs w:val="22"/>
              </w:rPr>
              <w:t>Opóźnienie wzrostu</w:t>
            </w:r>
            <w:r w:rsidR="00D95C43">
              <w:rPr>
                <w:szCs w:val="22"/>
              </w:rPr>
              <w:t>.</w:t>
            </w:r>
          </w:p>
        </w:tc>
      </w:tr>
      <w:tr w:rsidR="001F6F05" w:rsidRPr="000975DB" w14:paraId="1721480E" w14:textId="77777777" w:rsidTr="005C1EE7">
        <w:trPr>
          <w:trHeight w:val="1761"/>
        </w:trPr>
        <w:tc>
          <w:tcPr>
            <w:tcW w:w="2518" w:type="dxa"/>
            <w:shd w:val="clear" w:color="auto" w:fill="auto"/>
            <w:vAlign w:val="center"/>
          </w:tcPr>
          <w:p w14:paraId="4BB30713" w14:textId="77777777" w:rsidR="001F6F05" w:rsidRPr="000975DB" w:rsidRDefault="001F6F05" w:rsidP="005C1EE7">
            <w:pPr>
              <w:widowControl w:val="0"/>
              <w:ind w:left="0" w:firstLine="0"/>
              <w:rPr>
                <w:bCs/>
                <w:szCs w:val="22"/>
              </w:rPr>
            </w:pPr>
            <w:r w:rsidRPr="00FA262B">
              <w:rPr>
                <w:bCs/>
                <w:szCs w:val="22"/>
              </w:rPr>
              <w:t>Zaburzenia nerek i dróg moczowych</w:t>
            </w:r>
          </w:p>
        </w:tc>
        <w:tc>
          <w:tcPr>
            <w:tcW w:w="2331" w:type="dxa"/>
            <w:shd w:val="clear" w:color="auto" w:fill="auto"/>
            <w:vAlign w:val="center"/>
          </w:tcPr>
          <w:p w14:paraId="2E234C6E" w14:textId="77777777" w:rsidR="001F6F05" w:rsidRDefault="001F6F05" w:rsidP="005C1EE7">
            <w:pPr>
              <w:widowControl w:val="0"/>
              <w:rPr>
                <w:bCs/>
                <w:szCs w:val="22"/>
              </w:rPr>
            </w:pPr>
            <w:r>
              <w:rPr>
                <w:bCs/>
                <w:szCs w:val="22"/>
              </w:rPr>
              <w:t>Nieznana</w:t>
            </w:r>
          </w:p>
        </w:tc>
        <w:tc>
          <w:tcPr>
            <w:tcW w:w="4103" w:type="dxa"/>
            <w:shd w:val="clear" w:color="auto" w:fill="auto"/>
            <w:vAlign w:val="center"/>
          </w:tcPr>
          <w:p w14:paraId="48C05FA0" w14:textId="1164BC3A" w:rsidR="001F6F05" w:rsidRDefault="001F6F05" w:rsidP="005C1EE7">
            <w:pPr>
              <w:widowControl w:val="0"/>
              <w:shd w:val="clear" w:color="auto" w:fill="FFFFFF"/>
              <w:ind w:left="37"/>
              <w:rPr>
                <w:bCs/>
                <w:szCs w:val="22"/>
              </w:rPr>
            </w:pPr>
            <w:r w:rsidRPr="001473A2">
              <w:rPr>
                <w:noProof/>
                <w:szCs w:val="22"/>
              </w:rPr>
              <w:t xml:space="preserve">Ze </w:t>
            </w:r>
            <w:r w:rsidRPr="00091655">
              <w:rPr>
                <w:noProof/>
                <w:szCs w:val="22"/>
              </w:rPr>
              <w:t>w</w:t>
            </w:r>
            <w:r w:rsidR="00C05200">
              <w:rPr>
                <w:noProof/>
                <w:szCs w:val="22"/>
              </w:rPr>
              <w:t xml:space="preserve">  </w:t>
            </w:r>
            <w:r w:rsidR="00091655" w:rsidRPr="005C1EE7">
              <w:rPr>
                <w:noProof/>
                <w:szCs w:val="22"/>
              </w:rPr>
              <w:t>Ze w</w:t>
            </w:r>
            <w:r w:rsidRPr="00091655">
              <w:rPr>
                <w:noProof/>
                <w:szCs w:val="22"/>
              </w:rPr>
              <w:t>zględu na</w:t>
            </w:r>
            <w:r w:rsidRPr="001473A2">
              <w:rPr>
                <w:noProof/>
                <w:szCs w:val="22"/>
              </w:rPr>
              <w:t xml:space="preserve"> zawartość gentamycyny w produkcie leczniczym, istnieje ryzyko uszkodzenia nerek, szczególnie w razie jednoczesnego stosowania leków nefrotoksycznych, jak również w przypadku zaburzeń czynności nerek.</w:t>
            </w:r>
            <w:r w:rsidR="00EF6732">
              <w:rPr>
                <w:noProof/>
                <w:szCs w:val="22"/>
              </w:rPr>
              <w:t xml:space="preserve"> Cukromocz (glikozuria)</w:t>
            </w:r>
            <w:r w:rsidR="00D95C43">
              <w:rPr>
                <w:noProof/>
                <w:szCs w:val="22"/>
              </w:rPr>
              <w:t>.</w:t>
            </w:r>
          </w:p>
        </w:tc>
      </w:tr>
      <w:tr w:rsidR="00EF6732" w:rsidRPr="000975DB" w14:paraId="2DC2AEF5" w14:textId="77777777" w:rsidTr="005C1EE7">
        <w:tc>
          <w:tcPr>
            <w:tcW w:w="2518" w:type="dxa"/>
            <w:shd w:val="clear" w:color="auto" w:fill="auto"/>
            <w:vAlign w:val="center"/>
          </w:tcPr>
          <w:p w14:paraId="548F7169" w14:textId="5174C2ED" w:rsidR="00EF6732" w:rsidRPr="00EF6732" w:rsidRDefault="00EF6732" w:rsidP="005C1EE7">
            <w:pPr>
              <w:widowControl w:val="0"/>
              <w:ind w:left="0" w:firstLine="0"/>
              <w:rPr>
                <w:bCs/>
                <w:szCs w:val="22"/>
              </w:rPr>
            </w:pPr>
            <w:r w:rsidRPr="00EF6732">
              <w:rPr>
                <w:bCs/>
                <w:szCs w:val="22"/>
              </w:rPr>
              <w:t>Zaburzenia ogólne i stany w miejscu podania</w:t>
            </w:r>
          </w:p>
        </w:tc>
        <w:tc>
          <w:tcPr>
            <w:tcW w:w="2331" w:type="dxa"/>
            <w:shd w:val="clear" w:color="auto" w:fill="auto"/>
            <w:vAlign w:val="center"/>
          </w:tcPr>
          <w:p w14:paraId="1DFEAC6D" w14:textId="1BC90CD2" w:rsidR="00EF6732" w:rsidRDefault="00EF6732" w:rsidP="005C1EE7">
            <w:pPr>
              <w:widowControl w:val="0"/>
              <w:rPr>
                <w:bCs/>
                <w:szCs w:val="22"/>
              </w:rPr>
            </w:pPr>
            <w:r>
              <w:rPr>
                <w:bCs/>
                <w:szCs w:val="22"/>
              </w:rPr>
              <w:t>Nieznana</w:t>
            </w:r>
          </w:p>
        </w:tc>
        <w:tc>
          <w:tcPr>
            <w:tcW w:w="4103" w:type="dxa"/>
            <w:shd w:val="clear" w:color="auto" w:fill="auto"/>
            <w:vAlign w:val="center"/>
          </w:tcPr>
          <w:p w14:paraId="4E299EEC" w14:textId="6095ACDF" w:rsidR="00EF6732" w:rsidRPr="00EF6732" w:rsidRDefault="00EF6732" w:rsidP="005C1EE7">
            <w:pPr>
              <w:widowControl w:val="0"/>
              <w:ind w:left="0" w:firstLine="0"/>
              <w:rPr>
                <w:szCs w:val="22"/>
              </w:rPr>
            </w:pPr>
            <w:r>
              <w:rPr>
                <w:szCs w:val="22"/>
              </w:rPr>
              <w:t>Obrzęk</w:t>
            </w:r>
            <w:r w:rsidR="00D95C43">
              <w:rPr>
                <w:szCs w:val="22"/>
              </w:rPr>
              <w:t>.</w:t>
            </w:r>
          </w:p>
        </w:tc>
      </w:tr>
    </w:tbl>
    <w:p w14:paraId="72D60D23" w14:textId="77777777" w:rsidR="00531226" w:rsidRDefault="00531226" w:rsidP="002B5AC2">
      <w:pPr>
        <w:ind w:left="0" w:firstLine="0"/>
        <w:jc w:val="both"/>
        <w:rPr>
          <w:spacing w:val="-3"/>
          <w:kern w:val="2"/>
          <w:szCs w:val="22"/>
        </w:rPr>
      </w:pPr>
    </w:p>
    <w:p w14:paraId="71D86AE7" w14:textId="77777777" w:rsidR="00EE4206" w:rsidRDefault="00CD1159" w:rsidP="005C1EE7">
      <w:pPr>
        <w:widowControl w:val="0"/>
        <w:ind w:left="0" w:firstLine="0"/>
        <w:rPr>
          <w:spacing w:val="-3"/>
          <w:kern w:val="2"/>
          <w:szCs w:val="22"/>
        </w:rPr>
      </w:pPr>
      <w:r w:rsidRPr="00CD1159">
        <w:rPr>
          <w:spacing w:val="-3"/>
          <w:kern w:val="2"/>
          <w:szCs w:val="22"/>
          <w:u w:val="single"/>
        </w:rPr>
        <w:t>Zgłaszanie podejrzewanych działań niepożądanych</w:t>
      </w:r>
      <w:r w:rsidRPr="00CD1159">
        <w:rPr>
          <w:spacing w:val="-3"/>
          <w:kern w:val="2"/>
          <w:szCs w:val="22"/>
        </w:rPr>
        <w:b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Departamentu Monitorowania Niepożądanych Działań Produktów Leczniczych Urzędu Rejestracji Produktów Leczniczych,</w:t>
      </w:r>
      <w:r>
        <w:rPr>
          <w:spacing w:val="-3"/>
          <w:kern w:val="2"/>
          <w:szCs w:val="22"/>
        </w:rPr>
        <w:t xml:space="preserve"> Wyrobów Medycznych i Produktów </w:t>
      </w:r>
      <w:r w:rsidRPr="00CD1159">
        <w:rPr>
          <w:spacing w:val="-3"/>
          <w:kern w:val="2"/>
          <w:szCs w:val="22"/>
        </w:rPr>
        <w:t>Biobójczych:</w:t>
      </w:r>
    </w:p>
    <w:p w14:paraId="49BD5114" w14:textId="7BAC24F0" w:rsidR="00EE4206" w:rsidRDefault="00EE4206" w:rsidP="005C1EE7">
      <w:pPr>
        <w:widowControl w:val="0"/>
        <w:ind w:left="0" w:firstLine="0"/>
        <w:rPr>
          <w:spacing w:val="-3"/>
          <w:kern w:val="2"/>
          <w:szCs w:val="22"/>
        </w:rPr>
      </w:pPr>
      <w:r w:rsidRPr="00CD1159" w:rsidDel="00EE4206">
        <w:rPr>
          <w:spacing w:val="-3"/>
          <w:kern w:val="2"/>
          <w:szCs w:val="22"/>
        </w:rPr>
        <w:t xml:space="preserve"> </w:t>
      </w:r>
      <w:r w:rsidR="00CD1159" w:rsidRPr="00CD1159">
        <w:rPr>
          <w:spacing w:val="-3"/>
          <w:kern w:val="2"/>
          <w:szCs w:val="22"/>
        </w:rPr>
        <w:t xml:space="preserve">Al. Jerozolimskie </w:t>
      </w:r>
      <w:smartTag w:uri="urn:schemas-microsoft-com:office:smarttags" w:element="metricconverter">
        <w:smartTagPr>
          <w:attr w:name="ProductID" w:val="181C"/>
        </w:smartTagPr>
        <w:r w:rsidR="00CD1159" w:rsidRPr="00CD1159">
          <w:rPr>
            <w:spacing w:val="-3"/>
            <w:kern w:val="2"/>
            <w:szCs w:val="22"/>
          </w:rPr>
          <w:t>181C</w:t>
        </w:r>
      </w:smartTag>
    </w:p>
    <w:p w14:paraId="6326EF3B" w14:textId="1611F969" w:rsidR="00EE4206" w:rsidRDefault="00CD1159" w:rsidP="005C1EE7">
      <w:pPr>
        <w:widowControl w:val="0"/>
        <w:ind w:left="0" w:firstLine="0"/>
        <w:rPr>
          <w:spacing w:val="-3"/>
          <w:kern w:val="2"/>
          <w:szCs w:val="22"/>
        </w:rPr>
      </w:pPr>
      <w:r w:rsidRPr="00CD1159">
        <w:rPr>
          <w:spacing w:val="-3"/>
          <w:kern w:val="2"/>
          <w:szCs w:val="22"/>
        </w:rPr>
        <w:t>02-222 Warszawa</w:t>
      </w:r>
    </w:p>
    <w:p w14:paraId="13DE7C1F" w14:textId="4A99EC1D" w:rsidR="00EE4206" w:rsidRDefault="00CD1159" w:rsidP="005C1EE7">
      <w:pPr>
        <w:widowControl w:val="0"/>
        <w:ind w:left="0" w:firstLine="0"/>
        <w:rPr>
          <w:spacing w:val="-3"/>
          <w:kern w:val="2"/>
          <w:szCs w:val="22"/>
        </w:rPr>
      </w:pPr>
      <w:r w:rsidRPr="00CD1159">
        <w:rPr>
          <w:spacing w:val="-3"/>
          <w:kern w:val="2"/>
          <w:szCs w:val="22"/>
        </w:rPr>
        <w:t xml:space="preserve"> tel.: + 48 22 49-21-301</w:t>
      </w:r>
    </w:p>
    <w:p w14:paraId="18C2DF91" w14:textId="0E03EC81" w:rsidR="00904392" w:rsidRDefault="00CD1159" w:rsidP="005C1EE7">
      <w:pPr>
        <w:widowControl w:val="0"/>
        <w:ind w:left="0" w:firstLine="0"/>
        <w:rPr>
          <w:spacing w:val="-3"/>
          <w:kern w:val="2"/>
          <w:szCs w:val="22"/>
        </w:rPr>
      </w:pPr>
      <w:r w:rsidRPr="00CD1159">
        <w:rPr>
          <w:spacing w:val="-3"/>
          <w:kern w:val="2"/>
          <w:szCs w:val="22"/>
        </w:rPr>
        <w:t>fax: +48 22 49-21-309, </w:t>
      </w:r>
    </w:p>
    <w:p w14:paraId="07078E3A" w14:textId="77777777" w:rsidR="00CD1159" w:rsidRDefault="00A24C3D" w:rsidP="005C1EE7">
      <w:pPr>
        <w:widowControl w:val="0"/>
        <w:ind w:left="0" w:firstLine="0"/>
        <w:rPr>
          <w:spacing w:val="-3"/>
          <w:kern w:val="2"/>
          <w:szCs w:val="22"/>
        </w:rPr>
      </w:pPr>
      <w:r>
        <w:rPr>
          <w:spacing w:val="-3"/>
          <w:kern w:val="2"/>
          <w:szCs w:val="22"/>
        </w:rPr>
        <w:t xml:space="preserve">strona internetowa: </w:t>
      </w:r>
      <w:hyperlink r:id="rId8" w:history="1">
        <w:r w:rsidRPr="00D01F6E">
          <w:rPr>
            <w:spacing w:val="-3"/>
            <w:kern w:val="2"/>
            <w:szCs w:val="22"/>
          </w:rPr>
          <w:t>https://smz.ezdrowie.gov.pl</w:t>
        </w:r>
      </w:hyperlink>
      <w:r>
        <w:rPr>
          <w:rFonts w:ascii="Ubuntu" w:hAnsi="Ubuntu"/>
          <w:color w:val="333333"/>
          <w:sz w:val="23"/>
          <w:szCs w:val="23"/>
          <w:shd w:val="clear" w:color="auto" w:fill="FFFFFF"/>
        </w:rPr>
        <w:t> </w:t>
      </w:r>
    </w:p>
    <w:p w14:paraId="47E804A9" w14:textId="4B3EB0F3" w:rsidR="00CD1159" w:rsidRDefault="00CD1159" w:rsidP="005C1EE7">
      <w:pPr>
        <w:widowControl w:val="0"/>
        <w:ind w:left="0" w:firstLine="0"/>
        <w:jc w:val="both"/>
        <w:rPr>
          <w:spacing w:val="-3"/>
          <w:kern w:val="2"/>
          <w:szCs w:val="22"/>
        </w:rPr>
      </w:pPr>
      <w:r w:rsidRPr="00CD1159">
        <w:rPr>
          <w:spacing w:val="-3"/>
          <w:kern w:val="2"/>
          <w:szCs w:val="22"/>
        </w:rPr>
        <w:t>Działania niepożądane można zgłaszać również podmiotowi odpowiedzialnemu.</w:t>
      </w:r>
    </w:p>
    <w:p w14:paraId="2B07AD13" w14:textId="77777777" w:rsidR="00CD1159" w:rsidRDefault="00CD1159" w:rsidP="005C1EE7">
      <w:pPr>
        <w:widowControl w:val="0"/>
        <w:ind w:left="0" w:firstLine="0"/>
        <w:jc w:val="both"/>
        <w:rPr>
          <w:spacing w:val="-3"/>
          <w:kern w:val="2"/>
          <w:szCs w:val="22"/>
        </w:rPr>
      </w:pPr>
    </w:p>
    <w:p w14:paraId="60877809" w14:textId="77777777" w:rsidR="00A65887" w:rsidRDefault="00A65887" w:rsidP="002B5AC2">
      <w:pPr>
        <w:ind w:left="0" w:firstLine="0"/>
        <w:rPr>
          <w:b/>
        </w:rPr>
      </w:pPr>
      <w:r>
        <w:rPr>
          <w:b/>
        </w:rPr>
        <w:t>4.9</w:t>
      </w:r>
      <w:r>
        <w:rPr>
          <w:b/>
        </w:rPr>
        <w:tab/>
        <w:t>Przedawkowanie</w:t>
      </w:r>
    </w:p>
    <w:p w14:paraId="4814CBB5" w14:textId="77777777" w:rsidR="00F25571" w:rsidRDefault="00F25571" w:rsidP="002B5AC2">
      <w:pPr>
        <w:ind w:left="0" w:firstLine="0"/>
        <w:jc w:val="both"/>
        <w:rPr>
          <w:szCs w:val="22"/>
        </w:rPr>
      </w:pPr>
    </w:p>
    <w:p w14:paraId="2399CDA7" w14:textId="4D17D473" w:rsidR="002129D5" w:rsidRDefault="002129D5" w:rsidP="005C1EE7">
      <w:pPr>
        <w:ind w:left="0" w:firstLine="0"/>
        <w:rPr>
          <w:szCs w:val="22"/>
        </w:rPr>
      </w:pPr>
      <w:r w:rsidRPr="002129D5">
        <w:rPr>
          <w:szCs w:val="22"/>
        </w:rPr>
        <w:t>Bardzo rzadko obserwuje się przedawkowanie.</w:t>
      </w:r>
    </w:p>
    <w:p w14:paraId="00211CC7" w14:textId="77777777" w:rsidR="00091655" w:rsidRDefault="00091655" w:rsidP="005C1EE7">
      <w:pPr>
        <w:ind w:left="0" w:firstLine="0"/>
        <w:rPr>
          <w:szCs w:val="22"/>
          <w:u w:val="single"/>
        </w:rPr>
      </w:pPr>
    </w:p>
    <w:p w14:paraId="44B389B0" w14:textId="36B6066C" w:rsidR="00091655" w:rsidRPr="005C1EE7" w:rsidRDefault="00091655" w:rsidP="005C1EE7">
      <w:pPr>
        <w:ind w:left="0" w:firstLine="0"/>
        <w:rPr>
          <w:szCs w:val="22"/>
          <w:u w:val="single"/>
        </w:rPr>
      </w:pPr>
      <w:r w:rsidRPr="005C1EE7">
        <w:rPr>
          <w:szCs w:val="22"/>
          <w:u w:val="single"/>
        </w:rPr>
        <w:t>Objawy przedawkowania</w:t>
      </w:r>
    </w:p>
    <w:p w14:paraId="60D7C1CF" w14:textId="3F1746A0" w:rsidR="002B5AC2" w:rsidRPr="008145F6" w:rsidRDefault="002B5AC2" w:rsidP="005C1EE7">
      <w:pPr>
        <w:ind w:left="0" w:firstLine="0"/>
        <w:rPr>
          <w:szCs w:val="22"/>
        </w:rPr>
      </w:pPr>
      <w:r w:rsidRPr="008145F6">
        <w:rPr>
          <w:szCs w:val="22"/>
        </w:rPr>
        <w:t xml:space="preserve">Po jednorazowym zastosowaniu 7 g </w:t>
      </w:r>
      <w:r w:rsidR="00B35BB6">
        <w:rPr>
          <w:szCs w:val="22"/>
        </w:rPr>
        <w:t xml:space="preserve">produktu leczniczego </w:t>
      </w:r>
      <w:r w:rsidRPr="008145F6">
        <w:rPr>
          <w:szCs w:val="22"/>
        </w:rPr>
        <w:t>może wystąpić odwracalne zmniejszenie wydzielania przez przysadkę hormonu adrenokortykotropowego (ACTH) w wyniku hamowania osi nadnerczowo-przysadkowej.</w:t>
      </w:r>
    </w:p>
    <w:p w14:paraId="04F9EE2A" w14:textId="77777777" w:rsidR="00091655" w:rsidRDefault="00091655" w:rsidP="002B5AC2">
      <w:pPr>
        <w:ind w:left="0" w:firstLine="0"/>
        <w:jc w:val="both"/>
        <w:rPr>
          <w:szCs w:val="22"/>
        </w:rPr>
      </w:pPr>
    </w:p>
    <w:p w14:paraId="421DBFE4" w14:textId="27E4861E" w:rsidR="00091655" w:rsidRDefault="002B5AC2" w:rsidP="002B5AC2">
      <w:pPr>
        <w:ind w:left="0" w:firstLine="0"/>
        <w:jc w:val="both"/>
        <w:rPr>
          <w:szCs w:val="22"/>
        </w:rPr>
      </w:pPr>
      <w:r w:rsidRPr="008145F6">
        <w:rPr>
          <w:szCs w:val="22"/>
        </w:rPr>
        <w:t xml:space="preserve">W przypadku długotrwałego lub niewłaściwego stosowania, mogą wystąpić objawy zespołu Cushinga. Należy wtedy stopniowo zaprzestać leczenia </w:t>
      </w:r>
      <w:r w:rsidR="00B35BB6">
        <w:rPr>
          <w:szCs w:val="22"/>
        </w:rPr>
        <w:t>produktem leczniczym</w:t>
      </w:r>
      <w:r w:rsidR="00B35BB6" w:rsidRPr="008145F6">
        <w:rPr>
          <w:szCs w:val="22"/>
        </w:rPr>
        <w:t xml:space="preserve"> </w:t>
      </w:r>
      <w:r w:rsidRPr="008145F6">
        <w:rPr>
          <w:szCs w:val="22"/>
        </w:rPr>
        <w:t xml:space="preserve">Bedicort G w </w:t>
      </w:r>
      <w:r w:rsidR="00CA69FC">
        <w:rPr>
          <w:szCs w:val="22"/>
        </w:rPr>
        <w:t>maści</w:t>
      </w:r>
      <w:r w:rsidRPr="008145F6">
        <w:rPr>
          <w:szCs w:val="22"/>
        </w:rPr>
        <w:t>.</w:t>
      </w:r>
    </w:p>
    <w:p w14:paraId="54A70E82" w14:textId="77777777" w:rsidR="00091655" w:rsidRDefault="00091655" w:rsidP="002B5AC2">
      <w:pPr>
        <w:ind w:left="0" w:firstLine="0"/>
        <w:jc w:val="both"/>
        <w:rPr>
          <w:szCs w:val="22"/>
        </w:rPr>
      </w:pPr>
    </w:p>
    <w:p w14:paraId="503300FC" w14:textId="6AAFFC73" w:rsidR="002B5AC2" w:rsidRPr="008145F6" w:rsidRDefault="002B5AC2" w:rsidP="002B5AC2">
      <w:pPr>
        <w:ind w:left="0" w:firstLine="0"/>
        <w:jc w:val="both"/>
        <w:rPr>
          <w:szCs w:val="22"/>
        </w:rPr>
      </w:pPr>
      <w:r w:rsidRPr="00357220">
        <w:rPr>
          <w:szCs w:val="22"/>
        </w:rPr>
        <w:t>Z powodu ryzyka ostrej niewydolności nadnerczy, powinno się to odbywać pod kontrolą lekarza.</w:t>
      </w:r>
    </w:p>
    <w:p w14:paraId="4FB994C5" w14:textId="77777777" w:rsidR="002B5AC2" w:rsidRPr="008145F6" w:rsidRDefault="002B5AC2" w:rsidP="002B5AC2">
      <w:pPr>
        <w:ind w:left="0" w:firstLine="0"/>
        <w:jc w:val="both"/>
        <w:rPr>
          <w:szCs w:val="22"/>
        </w:rPr>
      </w:pPr>
      <w:r w:rsidRPr="008145F6">
        <w:rPr>
          <w:szCs w:val="22"/>
        </w:rPr>
        <w:t xml:space="preserve">Mogą też wystąpić ogólnoustrojowe objawy niepożądane </w:t>
      </w:r>
      <w:r w:rsidRPr="008145F6">
        <w:rPr>
          <w:spacing w:val="-3"/>
          <w:kern w:val="2"/>
          <w:szCs w:val="22"/>
        </w:rPr>
        <w:t>gentamycyny, jak uszkodzenie słuchu i nerek.</w:t>
      </w:r>
    </w:p>
    <w:p w14:paraId="1D8D1F83" w14:textId="2FDD4277" w:rsidR="00A65887" w:rsidRDefault="00A65887" w:rsidP="002B5AC2">
      <w:pPr>
        <w:ind w:left="0" w:firstLine="0"/>
      </w:pPr>
    </w:p>
    <w:p w14:paraId="564B9A9B" w14:textId="77777777" w:rsidR="00C05200" w:rsidRDefault="00C05200" w:rsidP="002B5AC2">
      <w:pPr>
        <w:ind w:left="0" w:firstLine="0"/>
      </w:pPr>
    </w:p>
    <w:p w14:paraId="49FEA52E" w14:textId="77777777" w:rsidR="00A65887" w:rsidRDefault="00A65887" w:rsidP="005C1EE7">
      <w:pPr>
        <w:widowControl w:val="0"/>
        <w:ind w:left="0" w:firstLine="0"/>
        <w:rPr>
          <w:b/>
        </w:rPr>
      </w:pPr>
      <w:r>
        <w:rPr>
          <w:b/>
        </w:rPr>
        <w:t>5.</w:t>
      </w:r>
      <w:r>
        <w:rPr>
          <w:b/>
        </w:rPr>
        <w:tab/>
        <w:t>WŁAŚCIWOŚCI FARMAKOLOGICZNE</w:t>
      </w:r>
    </w:p>
    <w:p w14:paraId="49139F37" w14:textId="77777777" w:rsidR="00A65887" w:rsidRDefault="00A65887" w:rsidP="005C1EE7">
      <w:pPr>
        <w:widowControl w:val="0"/>
        <w:ind w:left="0" w:firstLine="0"/>
      </w:pPr>
    </w:p>
    <w:p w14:paraId="10CFE217" w14:textId="77777777" w:rsidR="00A65887" w:rsidRDefault="00A65887" w:rsidP="005C1EE7">
      <w:pPr>
        <w:widowControl w:val="0"/>
        <w:ind w:left="0" w:firstLine="0"/>
        <w:rPr>
          <w:b/>
        </w:rPr>
      </w:pPr>
      <w:r>
        <w:rPr>
          <w:b/>
        </w:rPr>
        <w:t>5.1</w:t>
      </w:r>
      <w:r>
        <w:rPr>
          <w:b/>
        </w:rPr>
        <w:tab/>
        <w:t>Właściwości farmakodynamiczne</w:t>
      </w:r>
    </w:p>
    <w:p w14:paraId="12214F6B" w14:textId="77777777" w:rsidR="00F25571" w:rsidRDefault="00F25571" w:rsidP="002B5AC2">
      <w:pPr>
        <w:ind w:left="0" w:firstLine="0"/>
        <w:jc w:val="both"/>
        <w:rPr>
          <w:szCs w:val="22"/>
        </w:rPr>
      </w:pPr>
    </w:p>
    <w:p w14:paraId="22F08527" w14:textId="77777777" w:rsidR="002B5AC2" w:rsidRPr="008145F6" w:rsidRDefault="002B5AC2" w:rsidP="005C1EE7">
      <w:pPr>
        <w:ind w:left="0" w:firstLine="0"/>
        <w:rPr>
          <w:szCs w:val="22"/>
        </w:rPr>
      </w:pPr>
      <w:r w:rsidRPr="008145F6">
        <w:rPr>
          <w:szCs w:val="22"/>
        </w:rPr>
        <w:t xml:space="preserve">Grupa farmakoterapeutyczna: </w:t>
      </w:r>
      <w:r w:rsidR="00B35BB6">
        <w:rPr>
          <w:szCs w:val="22"/>
        </w:rPr>
        <w:t>k</w:t>
      </w:r>
      <w:r w:rsidR="00B35BB6" w:rsidRPr="008145F6">
        <w:rPr>
          <w:szCs w:val="22"/>
        </w:rPr>
        <w:t xml:space="preserve">ortykosteroidy </w:t>
      </w:r>
      <w:r w:rsidRPr="008145F6">
        <w:rPr>
          <w:szCs w:val="22"/>
        </w:rPr>
        <w:t>do stosowania miejscowego o silnym działaniu, w połączeniu z antybiotykami</w:t>
      </w:r>
      <w:r w:rsidR="00F25571">
        <w:rPr>
          <w:szCs w:val="22"/>
        </w:rPr>
        <w:t xml:space="preserve">; </w:t>
      </w:r>
      <w:r w:rsidRPr="008145F6">
        <w:rPr>
          <w:szCs w:val="22"/>
        </w:rPr>
        <w:t>kod ATC</w:t>
      </w:r>
      <w:r w:rsidRPr="005C1EE7">
        <w:rPr>
          <w:bCs/>
          <w:szCs w:val="22"/>
        </w:rPr>
        <w:t>:</w:t>
      </w:r>
      <w:r w:rsidRPr="008145F6">
        <w:rPr>
          <w:b/>
          <w:szCs w:val="22"/>
        </w:rPr>
        <w:t xml:space="preserve"> </w:t>
      </w:r>
      <w:r w:rsidRPr="008145F6">
        <w:rPr>
          <w:szCs w:val="22"/>
        </w:rPr>
        <w:t>D 07 CC 01</w:t>
      </w:r>
    </w:p>
    <w:p w14:paraId="0DF71B59" w14:textId="77777777" w:rsidR="00F25571" w:rsidRDefault="00F25571" w:rsidP="005C1EE7">
      <w:pPr>
        <w:ind w:left="0" w:firstLine="0"/>
        <w:rPr>
          <w:szCs w:val="22"/>
        </w:rPr>
      </w:pPr>
    </w:p>
    <w:p w14:paraId="5BE0E432" w14:textId="605ECE26" w:rsidR="00F25571" w:rsidRDefault="00F25571">
      <w:pPr>
        <w:widowControl w:val="0"/>
        <w:ind w:left="0" w:firstLine="0"/>
        <w:rPr>
          <w:szCs w:val="22"/>
          <w:u w:val="single"/>
        </w:rPr>
      </w:pPr>
      <w:r>
        <w:rPr>
          <w:szCs w:val="22"/>
          <w:u w:val="single"/>
        </w:rPr>
        <w:t>Mechanizm działania i działanie farmakodynamiczne</w:t>
      </w:r>
    </w:p>
    <w:p w14:paraId="0CC1C057" w14:textId="77777777" w:rsidR="00357220" w:rsidRDefault="00357220" w:rsidP="00357220">
      <w:pPr>
        <w:ind w:left="0" w:firstLine="0"/>
        <w:rPr>
          <w:szCs w:val="22"/>
        </w:rPr>
      </w:pPr>
      <w:r w:rsidRPr="008145F6">
        <w:rPr>
          <w:szCs w:val="22"/>
        </w:rPr>
        <w:t xml:space="preserve">Właściwości </w:t>
      </w:r>
      <w:r>
        <w:rPr>
          <w:szCs w:val="22"/>
        </w:rPr>
        <w:t xml:space="preserve">produktu leczniczego </w:t>
      </w:r>
      <w:r w:rsidRPr="008145F6">
        <w:rPr>
          <w:szCs w:val="22"/>
        </w:rPr>
        <w:t>Bedicort G</w:t>
      </w:r>
      <w:r>
        <w:rPr>
          <w:szCs w:val="22"/>
        </w:rPr>
        <w:t xml:space="preserve"> maść</w:t>
      </w:r>
      <w:r w:rsidRPr="008145F6">
        <w:rPr>
          <w:szCs w:val="22"/>
        </w:rPr>
        <w:t xml:space="preserve"> wynikają ze skojarzonego działania </w:t>
      </w:r>
      <w:r w:rsidRPr="000D23EF">
        <w:rPr>
          <w:szCs w:val="22"/>
        </w:rPr>
        <w:t xml:space="preserve">betametazonu </w:t>
      </w:r>
      <w:r w:rsidRPr="000D23EF">
        <w:t xml:space="preserve">dipropionianu </w:t>
      </w:r>
      <w:r w:rsidRPr="000D23EF">
        <w:rPr>
          <w:szCs w:val="22"/>
        </w:rPr>
        <w:t>i gentamycyny</w:t>
      </w:r>
      <w:r>
        <w:rPr>
          <w:szCs w:val="22"/>
        </w:rPr>
        <w:t xml:space="preserve"> </w:t>
      </w:r>
      <w:r w:rsidRPr="00254F52">
        <w:rPr>
          <w:szCs w:val="22"/>
        </w:rPr>
        <w:t>siarczanu</w:t>
      </w:r>
      <w:r w:rsidRPr="000D23EF">
        <w:rPr>
          <w:szCs w:val="22"/>
        </w:rPr>
        <w:t>.</w:t>
      </w:r>
    </w:p>
    <w:p w14:paraId="30176671" w14:textId="77777777" w:rsidR="00357220" w:rsidRPr="00C70256" w:rsidRDefault="00357220" w:rsidP="005C1EE7">
      <w:pPr>
        <w:widowControl w:val="0"/>
        <w:ind w:left="0" w:firstLine="0"/>
        <w:rPr>
          <w:szCs w:val="22"/>
          <w:u w:val="single"/>
        </w:rPr>
      </w:pPr>
    </w:p>
    <w:p w14:paraId="5D9F3B36" w14:textId="76BE594B" w:rsidR="002B5AC2" w:rsidRPr="008145F6" w:rsidRDefault="000D23EF" w:rsidP="005C1EE7">
      <w:pPr>
        <w:widowControl w:val="0"/>
        <w:ind w:left="0" w:firstLine="0"/>
        <w:rPr>
          <w:szCs w:val="22"/>
        </w:rPr>
      </w:pPr>
      <w:r>
        <w:rPr>
          <w:szCs w:val="22"/>
        </w:rPr>
        <w:t>Be</w:t>
      </w:r>
      <w:r w:rsidR="00C2610F" w:rsidRPr="0039481F">
        <w:rPr>
          <w:szCs w:val="22"/>
        </w:rPr>
        <w:t xml:space="preserve">tametazonu </w:t>
      </w:r>
      <w:r>
        <w:rPr>
          <w:szCs w:val="22"/>
        </w:rPr>
        <w:t>d</w:t>
      </w:r>
      <w:r w:rsidRPr="0039481F">
        <w:rPr>
          <w:szCs w:val="22"/>
        </w:rPr>
        <w:t>ipropionian</w:t>
      </w:r>
      <w:r w:rsidRPr="008145F6">
        <w:rPr>
          <w:szCs w:val="22"/>
        </w:rPr>
        <w:t xml:space="preserve"> </w:t>
      </w:r>
      <w:r w:rsidR="002B5AC2" w:rsidRPr="008145F6">
        <w:rPr>
          <w:szCs w:val="22"/>
        </w:rPr>
        <w:t>to syntetyczn</w:t>
      </w:r>
      <w:r w:rsidR="00C2610F">
        <w:rPr>
          <w:szCs w:val="22"/>
        </w:rPr>
        <w:t>y</w:t>
      </w:r>
      <w:r w:rsidR="002B5AC2" w:rsidRPr="008145F6">
        <w:rPr>
          <w:szCs w:val="22"/>
        </w:rPr>
        <w:t xml:space="preserve"> fluorowany kortykosteroid do stosowania w dermatologii, wykazujący silne działanie przeciwzapalne, przeciwświądowe i </w:t>
      </w:r>
      <w:r w:rsidR="008E2A8E" w:rsidRPr="008145F6">
        <w:rPr>
          <w:szCs w:val="22"/>
        </w:rPr>
        <w:t>obkurczające</w:t>
      </w:r>
      <w:r w:rsidR="002B5AC2" w:rsidRPr="008145F6">
        <w:rPr>
          <w:szCs w:val="22"/>
        </w:rPr>
        <w:t xml:space="preserve"> naczynia krwionośne. Dokładny mechanizm działania miejscowo stosowanych kortykosteroidów jest nieznany. Na skutek miejscowego działania naczyniozwężającego, zmniejsza on odczyny wysiękowe. </w:t>
      </w:r>
    </w:p>
    <w:p w14:paraId="40AF79C8" w14:textId="6D1B7245" w:rsidR="002B5AC2" w:rsidRPr="008145F6" w:rsidRDefault="00C05200" w:rsidP="005C1EE7">
      <w:pPr>
        <w:ind w:left="0" w:firstLine="0"/>
        <w:rPr>
          <w:szCs w:val="22"/>
        </w:rPr>
      </w:pPr>
      <w:r>
        <w:rPr>
          <w:szCs w:val="22"/>
        </w:rPr>
        <w:lastRenderedPageBreak/>
        <w:t>G</w:t>
      </w:r>
      <w:r w:rsidR="00C2610F" w:rsidRPr="0039481F">
        <w:rPr>
          <w:szCs w:val="22"/>
        </w:rPr>
        <w:t>entamycyny</w:t>
      </w:r>
      <w:r>
        <w:rPr>
          <w:szCs w:val="22"/>
        </w:rPr>
        <w:t xml:space="preserve"> </w:t>
      </w:r>
      <w:r w:rsidR="00357220">
        <w:rPr>
          <w:szCs w:val="22"/>
        </w:rPr>
        <w:t>s</w:t>
      </w:r>
      <w:r w:rsidRPr="008D640B">
        <w:rPr>
          <w:szCs w:val="22"/>
        </w:rPr>
        <w:t>iarczan</w:t>
      </w:r>
      <w:r w:rsidR="00C2610F" w:rsidRPr="00B35BB6">
        <w:rPr>
          <w:szCs w:val="22"/>
        </w:rPr>
        <w:t xml:space="preserve"> </w:t>
      </w:r>
      <w:r w:rsidR="002B5AC2" w:rsidRPr="008145F6">
        <w:rPr>
          <w:szCs w:val="22"/>
        </w:rPr>
        <w:t>jest antybiotykiem aminoglikozydowym o działaniu przeciwbakteryjnym. Działa na paciorkowce (grupy A: beta-hemolizujące i alfa-hemolizujące), gronkowce (</w:t>
      </w:r>
      <w:r w:rsidR="002B5AC2" w:rsidRPr="008145F6">
        <w:rPr>
          <w:i/>
          <w:szCs w:val="22"/>
        </w:rPr>
        <w:t>Staphylococcus aureus</w:t>
      </w:r>
      <w:r w:rsidR="002B5AC2" w:rsidRPr="008145F6">
        <w:rPr>
          <w:szCs w:val="22"/>
        </w:rPr>
        <w:t xml:space="preserve"> – koagulazo-dodatnie i koagulazo-ujemne oraz niektóre ze szczepów wytwarzających penicylinazę), a także na bakterie Gram-ujemne, w tym </w:t>
      </w:r>
      <w:r w:rsidR="002B5AC2" w:rsidRPr="008145F6">
        <w:rPr>
          <w:i/>
          <w:szCs w:val="22"/>
        </w:rPr>
        <w:t xml:space="preserve">Escherichia coli, </w:t>
      </w:r>
      <w:r w:rsidR="002B5AC2" w:rsidRPr="00B35BB6">
        <w:rPr>
          <w:i/>
          <w:szCs w:val="22"/>
        </w:rPr>
        <w:t xml:space="preserve">Proteus </w:t>
      </w:r>
      <w:r w:rsidR="002B5AC2" w:rsidRPr="0039481F">
        <w:rPr>
          <w:i/>
          <w:szCs w:val="22"/>
        </w:rPr>
        <w:t>spp</w:t>
      </w:r>
      <w:r w:rsidR="002B5AC2" w:rsidRPr="008145F6">
        <w:rPr>
          <w:i/>
          <w:szCs w:val="22"/>
        </w:rPr>
        <w:t>., Pseudomonas aeruginosa</w:t>
      </w:r>
      <w:r w:rsidR="002B5AC2" w:rsidRPr="008145F6">
        <w:rPr>
          <w:szCs w:val="22"/>
        </w:rPr>
        <w:t xml:space="preserve"> oraz bakterie z rodzaju </w:t>
      </w:r>
      <w:r w:rsidR="002B5AC2" w:rsidRPr="008145F6">
        <w:rPr>
          <w:i/>
          <w:szCs w:val="22"/>
        </w:rPr>
        <w:t xml:space="preserve">Klebsiella, Enterobacter, Serratia, Citrobacter, Salmonella </w:t>
      </w:r>
      <w:r w:rsidR="00EF6C39" w:rsidRPr="008145F6">
        <w:rPr>
          <w:i/>
          <w:szCs w:val="22"/>
        </w:rPr>
        <w:t>i</w:t>
      </w:r>
      <w:r w:rsidR="00EF6C39">
        <w:rPr>
          <w:i/>
          <w:szCs w:val="22"/>
        </w:rPr>
        <w:t> </w:t>
      </w:r>
      <w:r w:rsidR="002B5AC2" w:rsidRPr="008145F6">
        <w:rPr>
          <w:i/>
          <w:szCs w:val="22"/>
        </w:rPr>
        <w:t>Shigella</w:t>
      </w:r>
      <w:r w:rsidR="002B5AC2" w:rsidRPr="008145F6">
        <w:rPr>
          <w:szCs w:val="22"/>
        </w:rPr>
        <w:t xml:space="preserve">. </w:t>
      </w:r>
    </w:p>
    <w:p w14:paraId="26DFCE77" w14:textId="77777777" w:rsidR="00D017E6" w:rsidRPr="005C1EE7" w:rsidRDefault="00D017E6" w:rsidP="002B5AC2">
      <w:pPr>
        <w:ind w:left="0" w:firstLine="0"/>
        <w:rPr>
          <w:bCs/>
        </w:rPr>
      </w:pPr>
    </w:p>
    <w:p w14:paraId="730078C7" w14:textId="7C74B94A" w:rsidR="00A65887" w:rsidRDefault="00A65887" w:rsidP="002B5AC2">
      <w:pPr>
        <w:ind w:left="0" w:firstLine="0"/>
        <w:rPr>
          <w:b/>
        </w:rPr>
      </w:pPr>
      <w:r>
        <w:rPr>
          <w:b/>
        </w:rPr>
        <w:t>5.2</w:t>
      </w:r>
      <w:r>
        <w:rPr>
          <w:b/>
        </w:rPr>
        <w:tab/>
        <w:t>Właściwości farmakokinetyczne</w:t>
      </w:r>
    </w:p>
    <w:p w14:paraId="74266A6B" w14:textId="77777777" w:rsidR="00F25571" w:rsidRDefault="00F25571" w:rsidP="002B5AC2">
      <w:pPr>
        <w:ind w:left="0" w:firstLine="0"/>
        <w:jc w:val="both"/>
        <w:rPr>
          <w:szCs w:val="22"/>
        </w:rPr>
      </w:pPr>
    </w:p>
    <w:p w14:paraId="00CD7C18" w14:textId="50FBA818" w:rsidR="00F25571" w:rsidRDefault="000D23EF" w:rsidP="002B5AC2">
      <w:pPr>
        <w:ind w:left="0" w:firstLine="0"/>
        <w:jc w:val="both"/>
        <w:rPr>
          <w:i/>
          <w:szCs w:val="22"/>
        </w:rPr>
      </w:pPr>
      <w:r w:rsidRPr="005C1EE7">
        <w:rPr>
          <w:i/>
          <w:szCs w:val="22"/>
        </w:rPr>
        <w:t>B</w:t>
      </w:r>
      <w:r w:rsidR="00F25571" w:rsidRPr="000D23EF">
        <w:rPr>
          <w:i/>
          <w:szCs w:val="22"/>
        </w:rPr>
        <w:t>etametazonu</w:t>
      </w:r>
      <w:r w:rsidRPr="000D23EF">
        <w:rPr>
          <w:i/>
          <w:szCs w:val="22"/>
        </w:rPr>
        <w:t xml:space="preserve"> </w:t>
      </w:r>
      <w:r w:rsidRPr="005C1EE7">
        <w:rPr>
          <w:i/>
          <w:szCs w:val="22"/>
        </w:rPr>
        <w:t>dipropionian</w:t>
      </w:r>
    </w:p>
    <w:p w14:paraId="661E4383" w14:textId="77777777" w:rsidR="00CA1030" w:rsidRDefault="00CA1030" w:rsidP="002B5AC2">
      <w:pPr>
        <w:ind w:left="0" w:firstLine="0"/>
        <w:jc w:val="both"/>
        <w:rPr>
          <w:i/>
          <w:szCs w:val="22"/>
        </w:rPr>
      </w:pPr>
    </w:p>
    <w:p w14:paraId="3210EB88" w14:textId="77777777" w:rsidR="00CA1030" w:rsidRPr="00C70256" w:rsidRDefault="00CA1030" w:rsidP="002B5AC2">
      <w:pPr>
        <w:ind w:left="0" w:firstLine="0"/>
        <w:jc w:val="both"/>
        <w:rPr>
          <w:szCs w:val="22"/>
          <w:u w:val="single"/>
        </w:rPr>
      </w:pPr>
      <w:r>
        <w:rPr>
          <w:szCs w:val="22"/>
          <w:u w:val="single"/>
        </w:rPr>
        <w:t>Wchłanianie</w:t>
      </w:r>
    </w:p>
    <w:p w14:paraId="4E2897C6" w14:textId="3C120FB6" w:rsidR="00F25571" w:rsidRDefault="000D23EF" w:rsidP="005C1EE7">
      <w:pPr>
        <w:ind w:left="0" w:firstLine="0"/>
        <w:rPr>
          <w:szCs w:val="22"/>
        </w:rPr>
      </w:pPr>
      <w:r>
        <w:rPr>
          <w:szCs w:val="22"/>
        </w:rPr>
        <w:t>B</w:t>
      </w:r>
      <w:r w:rsidR="00C2610F" w:rsidRPr="00F3088A">
        <w:rPr>
          <w:szCs w:val="22"/>
        </w:rPr>
        <w:t>etametazonu</w:t>
      </w:r>
      <w:r w:rsidR="002B5AC2" w:rsidRPr="008145F6">
        <w:rPr>
          <w:szCs w:val="22"/>
        </w:rPr>
        <w:t xml:space="preserve"> </w:t>
      </w:r>
      <w:r>
        <w:rPr>
          <w:szCs w:val="22"/>
        </w:rPr>
        <w:t>d</w:t>
      </w:r>
      <w:r w:rsidRPr="00F3088A">
        <w:rPr>
          <w:szCs w:val="22"/>
        </w:rPr>
        <w:t>ipropionian</w:t>
      </w:r>
      <w:r w:rsidRPr="008145F6">
        <w:rPr>
          <w:szCs w:val="22"/>
        </w:rPr>
        <w:t xml:space="preserve"> </w:t>
      </w:r>
      <w:r w:rsidR="002B5AC2" w:rsidRPr="008145F6">
        <w:rPr>
          <w:szCs w:val="22"/>
        </w:rPr>
        <w:t>łatwo przenika do skóry przez warstwę rogową. Nie ulega metabolizmowi w skórze i przenika przez skórę do organizmu.</w:t>
      </w:r>
    </w:p>
    <w:p w14:paraId="065358D5" w14:textId="249099AC" w:rsidR="002B5AC2" w:rsidRPr="008145F6" w:rsidRDefault="002B5AC2" w:rsidP="005C1EE7">
      <w:pPr>
        <w:ind w:left="0" w:firstLine="0"/>
        <w:rPr>
          <w:szCs w:val="22"/>
        </w:rPr>
      </w:pPr>
      <w:r w:rsidRPr="008145F6">
        <w:rPr>
          <w:szCs w:val="22"/>
        </w:rPr>
        <w:t xml:space="preserve">Wchłanianie </w:t>
      </w:r>
      <w:r w:rsidR="00C2610F" w:rsidRPr="00F3088A">
        <w:rPr>
          <w:szCs w:val="22"/>
        </w:rPr>
        <w:t>betametazonu</w:t>
      </w:r>
      <w:r w:rsidRPr="008145F6">
        <w:rPr>
          <w:szCs w:val="22"/>
        </w:rPr>
        <w:t xml:space="preserve"> </w:t>
      </w:r>
      <w:r w:rsidR="000D23EF">
        <w:rPr>
          <w:szCs w:val="22"/>
        </w:rPr>
        <w:t>d</w:t>
      </w:r>
      <w:r w:rsidR="000D23EF" w:rsidRPr="00F3088A">
        <w:rPr>
          <w:szCs w:val="22"/>
        </w:rPr>
        <w:t>ipropionian</w:t>
      </w:r>
      <w:r w:rsidR="000D23EF">
        <w:rPr>
          <w:szCs w:val="22"/>
        </w:rPr>
        <w:t>u</w:t>
      </w:r>
      <w:r w:rsidR="000D23EF" w:rsidRPr="008145F6">
        <w:rPr>
          <w:szCs w:val="22"/>
        </w:rPr>
        <w:t xml:space="preserve"> </w:t>
      </w:r>
      <w:r w:rsidRPr="008145F6">
        <w:rPr>
          <w:szCs w:val="22"/>
        </w:rPr>
        <w:t xml:space="preserve">przez skórę zwiększa się po zastosowaniu na skórę </w:t>
      </w:r>
      <w:r w:rsidR="00EF6C39" w:rsidRPr="008145F6">
        <w:rPr>
          <w:szCs w:val="22"/>
        </w:rPr>
        <w:t>w</w:t>
      </w:r>
      <w:r w:rsidR="00EF6C39">
        <w:rPr>
          <w:szCs w:val="22"/>
        </w:rPr>
        <w:t> </w:t>
      </w:r>
      <w:r w:rsidRPr="008145F6">
        <w:rPr>
          <w:szCs w:val="22"/>
        </w:rPr>
        <w:t xml:space="preserve">okolicy fałdów, na skórę z uszkodzonym naskórkiem lub skórę uszkodzoną, np. procesem zapalnym. Ponadto wchłanianie ulega zwiększeniu podczas częstego stosowania </w:t>
      </w:r>
      <w:r w:rsidR="00F25571">
        <w:rPr>
          <w:szCs w:val="22"/>
        </w:rPr>
        <w:t>produktu leczniczego</w:t>
      </w:r>
      <w:r w:rsidRPr="008145F6">
        <w:rPr>
          <w:szCs w:val="22"/>
        </w:rPr>
        <w:t xml:space="preserve"> lub po stosowaniu na dużą powierzchnię skóry.</w:t>
      </w:r>
    </w:p>
    <w:p w14:paraId="468384F2" w14:textId="77777777" w:rsidR="00F25571" w:rsidRDefault="00F25571" w:rsidP="005C1EE7">
      <w:pPr>
        <w:widowControl w:val="0"/>
        <w:ind w:left="0" w:firstLine="0"/>
        <w:jc w:val="both"/>
        <w:rPr>
          <w:szCs w:val="22"/>
        </w:rPr>
      </w:pPr>
    </w:p>
    <w:p w14:paraId="3E902024" w14:textId="5A64316D" w:rsidR="00F25571" w:rsidRDefault="000D23EF" w:rsidP="005C1EE7">
      <w:pPr>
        <w:widowControl w:val="0"/>
        <w:ind w:left="0" w:firstLine="0"/>
        <w:jc w:val="both"/>
        <w:rPr>
          <w:i/>
          <w:szCs w:val="22"/>
        </w:rPr>
      </w:pPr>
      <w:r w:rsidRPr="005C1EE7">
        <w:rPr>
          <w:i/>
          <w:szCs w:val="22"/>
        </w:rPr>
        <w:t>G</w:t>
      </w:r>
      <w:r w:rsidR="00F25571" w:rsidRPr="000D23EF">
        <w:rPr>
          <w:i/>
          <w:szCs w:val="22"/>
        </w:rPr>
        <w:t>entamycyny</w:t>
      </w:r>
      <w:r w:rsidRPr="000D23EF">
        <w:rPr>
          <w:i/>
          <w:szCs w:val="22"/>
        </w:rPr>
        <w:t xml:space="preserve"> </w:t>
      </w:r>
      <w:r w:rsidRPr="005C1EE7">
        <w:rPr>
          <w:i/>
          <w:szCs w:val="22"/>
        </w:rPr>
        <w:t>siarczan</w:t>
      </w:r>
    </w:p>
    <w:p w14:paraId="3A2DD1F5" w14:textId="77777777" w:rsidR="00CA1030" w:rsidRDefault="00CA1030" w:rsidP="005C1EE7">
      <w:pPr>
        <w:widowControl w:val="0"/>
        <w:ind w:left="0" w:firstLine="0"/>
        <w:jc w:val="both"/>
        <w:rPr>
          <w:i/>
          <w:szCs w:val="22"/>
        </w:rPr>
      </w:pPr>
    </w:p>
    <w:p w14:paraId="0ADC656B" w14:textId="77777777" w:rsidR="00CA1030" w:rsidRPr="00C70256" w:rsidRDefault="00CA1030" w:rsidP="005C1EE7">
      <w:pPr>
        <w:widowControl w:val="0"/>
        <w:ind w:left="0" w:firstLine="0"/>
        <w:jc w:val="both"/>
        <w:rPr>
          <w:szCs w:val="22"/>
          <w:u w:val="single"/>
        </w:rPr>
      </w:pPr>
      <w:r>
        <w:rPr>
          <w:szCs w:val="22"/>
          <w:u w:val="single"/>
        </w:rPr>
        <w:t>Wchłanianie i eliminacja</w:t>
      </w:r>
    </w:p>
    <w:p w14:paraId="442B834D" w14:textId="00CC7D47" w:rsidR="002B5AC2" w:rsidRDefault="000D23EF" w:rsidP="005C1EE7">
      <w:pPr>
        <w:widowControl w:val="0"/>
        <w:ind w:left="0" w:firstLine="0"/>
        <w:rPr>
          <w:szCs w:val="22"/>
        </w:rPr>
      </w:pPr>
      <w:r>
        <w:rPr>
          <w:szCs w:val="22"/>
        </w:rPr>
        <w:t>G</w:t>
      </w:r>
      <w:r w:rsidR="002B5AC2" w:rsidRPr="0039481F">
        <w:rPr>
          <w:szCs w:val="22"/>
        </w:rPr>
        <w:t>entamycyny</w:t>
      </w:r>
      <w:r>
        <w:rPr>
          <w:szCs w:val="22"/>
        </w:rPr>
        <w:t xml:space="preserve"> s</w:t>
      </w:r>
      <w:r w:rsidRPr="002B1635">
        <w:rPr>
          <w:szCs w:val="22"/>
        </w:rPr>
        <w:t>iarczan</w:t>
      </w:r>
      <w:r w:rsidR="002B5AC2" w:rsidRPr="00B35BB6">
        <w:rPr>
          <w:szCs w:val="22"/>
        </w:rPr>
        <w:t xml:space="preserve"> </w:t>
      </w:r>
      <w:r w:rsidR="002B5AC2" w:rsidRPr="008145F6">
        <w:rPr>
          <w:szCs w:val="22"/>
        </w:rPr>
        <w:t xml:space="preserve">po miejscowym zastosowaniu na nieuszkodzoną skórę nie wchłania się, natomiast po stosowaniu na skórę uszkodzoną wchłania się do organizmu i jest wydalany z moczem </w:t>
      </w:r>
      <w:r w:rsidR="00EF6C39" w:rsidRPr="008145F6">
        <w:rPr>
          <w:szCs w:val="22"/>
        </w:rPr>
        <w:t>w</w:t>
      </w:r>
      <w:r w:rsidR="00EF6C39">
        <w:rPr>
          <w:szCs w:val="22"/>
        </w:rPr>
        <w:t> </w:t>
      </w:r>
      <w:r w:rsidR="002B5AC2" w:rsidRPr="008145F6">
        <w:rPr>
          <w:szCs w:val="22"/>
        </w:rPr>
        <w:t>postaci niezmienionej.</w:t>
      </w:r>
    </w:p>
    <w:p w14:paraId="5458FB1C" w14:textId="77777777" w:rsidR="00F25571" w:rsidRDefault="00F25571" w:rsidP="002B5AC2">
      <w:pPr>
        <w:ind w:left="0" w:firstLine="0"/>
        <w:jc w:val="both"/>
        <w:rPr>
          <w:szCs w:val="22"/>
        </w:rPr>
      </w:pPr>
    </w:p>
    <w:p w14:paraId="74A64EB7" w14:textId="77777777" w:rsidR="00F25571" w:rsidRPr="00C70256" w:rsidRDefault="003A7E12" w:rsidP="00F25571">
      <w:pPr>
        <w:ind w:left="0" w:firstLine="0"/>
        <w:jc w:val="both"/>
        <w:rPr>
          <w:i/>
          <w:szCs w:val="22"/>
          <w:u w:val="single"/>
        </w:rPr>
      </w:pPr>
      <w:r w:rsidRPr="00C70256">
        <w:rPr>
          <w:i/>
          <w:szCs w:val="22"/>
          <w:u w:val="single"/>
        </w:rPr>
        <w:t>Dzieci</w:t>
      </w:r>
    </w:p>
    <w:p w14:paraId="2B26B1C0" w14:textId="42D7A552" w:rsidR="00F25571" w:rsidRPr="008145F6" w:rsidRDefault="00F25571" w:rsidP="005C1EE7">
      <w:pPr>
        <w:ind w:left="0" w:firstLine="0"/>
        <w:rPr>
          <w:szCs w:val="22"/>
        </w:rPr>
      </w:pPr>
      <w:r w:rsidRPr="008145F6">
        <w:rPr>
          <w:szCs w:val="22"/>
        </w:rPr>
        <w:t xml:space="preserve">Wchłanianie </w:t>
      </w:r>
      <w:r w:rsidRPr="000D23EF">
        <w:rPr>
          <w:szCs w:val="22"/>
        </w:rPr>
        <w:t xml:space="preserve">betametazonu </w:t>
      </w:r>
      <w:r w:rsidR="000D23EF" w:rsidRPr="005C1EE7">
        <w:rPr>
          <w:szCs w:val="22"/>
        </w:rPr>
        <w:t>dipropionianu</w:t>
      </w:r>
      <w:r w:rsidR="000D23EF" w:rsidRPr="005C1EE7">
        <w:rPr>
          <w:b/>
          <w:szCs w:val="22"/>
        </w:rPr>
        <w:t xml:space="preserve"> </w:t>
      </w:r>
      <w:r w:rsidRPr="008145F6">
        <w:rPr>
          <w:szCs w:val="22"/>
        </w:rPr>
        <w:t>przez skórę u dzieci jest większe niż u dorosłych.</w:t>
      </w:r>
    </w:p>
    <w:p w14:paraId="2668FFDC" w14:textId="77777777" w:rsidR="00A65887" w:rsidRDefault="00A65887" w:rsidP="002B5AC2">
      <w:pPr>
        <w:ind w:left="0" w:firstLine="0"/>
      </w:pPr>
    </w:p>
    <w:p w14:paraId="252C5D16" w14:textId="77777777" w:rsidR="00A65887" w:rsidRDefault="00A65887" w:rsidP="002B5AC2">
      <w:pPr>
        <w:ind w:left="0" w:firstLine="0"/>
        <w:rPr>
          <w:b/>
        </w:rPr>
      </w:pPr>
      <w:r>
        <w:rPr>
          <w:b/>
        </w:rPr>
        <w:t>5.3</w:t>
      </w:r>
      <w:r>
        <w:rPr>
          <w:b/>
        </w:rPr>
        <w:tab/>
        <w:t>Przedkliniczne dane o bezpieczeństwie</w:t>
      </w:r>
    </w:p>
    <w:p w14:paraId="31FBD761" w14:textId="77777777" w:rsidR="003A7E12" w:rsidRDefault="003A7E12" w:rsidP="002B5AC2">
      <w:pPr>
        <w:ind w:left="0" w:firstLine="0"/>
        <w:jc w:val="both"/>
        <w:rPr>
          <w:szCs w:val="22"/>
        </w:rPr>
      </w:pPr>
    </w:p>
    <w:p w14:paraId="6267EC8F" w14:textId="0ED0CDA9" w:rsidR="00BD5B24" w:rsidRPr="007D47B3" w:rsidRDefault="00BD5B24" w:rsidP="00BD5B24">
      <w:pPr>
        <w:ind w:left="0" w:firstLine="0"/>
        <w:rPr>
          <w:noProof/>
          <w:szCs w:val="22"/>
        </w:rPr>
      </w:pPr>
      <w:r w:rsidRPr="007D47B3">
        <w:rPr>
          <w:noProof/>
          <w:szCs w:val="22"/>
        </w:rPr>
        <w:t>Brak przedklinicznych danych istotnych dla lekarza przepisującego produkt</w:t>
      </w:r>
      <w:r w:rsidR="005778B2">
        <w:rPr>
          <w:noProof/>
          <w:szCs w:val="22"/>
        </w:rPr>
        <w:t xml:space="preserve"> leczniczy</w:t>
      </w:r>
      <w:r w:rsidRPr="007D47B3">
        <w:rPr>
          <w:noProof/>
          <w:szCs w:val="22"/>
        </w:rPr>
        <w:t>, które nie byłyby wymienione w innych punktach Charakterystyki Produktu Leczniczego.</w:t>
      </w:r>
    </w:p>
    <w:p w14:paraId="19C9DB56" w14:textId="77777777" w:rsidR="003A7E12" w:rsidRPr="008145F6" w:rsidRDefault="003A7E12" w:rsidP="002B5AC2">
      <w:pPr>
        <w:ind w:left="0" w:firstLine="0"/>
        <w:jc w:val="both"/>
        <w:rPr>
          <w:szCs w:val="22"/>
        </w:rPr>
      </w:pPr>
    </w:p>
    <w:p w14:paraId="6FF03E4B" w14:textId="77777777" w:rsidR="002B5AC2" w:rsidRPr="008145F6" w:rsidRDefault="002B5AC2" w:rsidP="005C1EE7">
      <w:pPr>
        <w:ind w:left="0" w:firstLine="0"/>
        <w:rPr>
          <w:szCs w:val="22"/>
        </w:rPr>
      </w:pPr>
      <w:r w:rsidRPr="008145F6">
        <w:rPr>
          <w:szCs w:val="22"/>
        </w:rPr>
        <w:t>Wykonano jedynie badania tolerancji miejscowej na królikach, w których stwierdzono, że Bedicort G</w:t>
      </w:r>
      <w:r w:rsidR="006375EC">
        <w:rPr>
          <w:szCs w:val="22"/>
        </w:rPr>
        <w:t xml:space="preserve"> </w:t>
      </w:r>
      <w:r w:rsidR="00CA69FC">
        <w:rPr>
          <w:szCs w:val="22"/>
        </w:rPr>
        <w:t>maś</w:t>
      </w:r>
      <w:r w:rsidR="006375EC">
        <w:rPr>
          <w:szCs w:val="22"/>
        </w:rPr>
        <w:t>ć</w:t>
      </w:r>
      <w:r w:rsidRPr="008145F6">
        <w:rPr>
          <w:szCs w:val="22"/>
        </w:rPr>
        <w:t xml:space="preserve"> nie powoduje widocznych makroskopowo zmian na skórze królika ani po zastosowaniu jednorazowym, ani wielokrotnym – przez 5 dni.</w:t>
      </w:r>
    </w:p>
    <w:p w14:paraId="6E92AB18" w14:textId="081F5F19" w:rsidR="00A65887" w:rsidRDefault="00A65887" w:rsidP="000D23EF">
      <w:pPr>
        <w:widowControl w:val="0"/>
        <w:ind w:left="0" w:firstLine="0"/>
      </w:pPr>
    </w:p>
    <w:p w14:paraId="368FFEED" w14:textId="77777777" w:rsidR="000D23EF" w:rsidRDefault="000D23EF" w:rsidP="005C1EE7">
      <w:pPr>
        <w:widowControl w:val="0"/>
        <w:ind w:left="0" w:firstLine="0"/>
      </w:pPr>
    </w:p>
    <w:p w14:paraId="0BBAAEA2" w14:textId="77777777" w:rsidR="00A65887" w:rsidRDefault="00A65887" w:rsidP="005C1EE7">
      <w:pPr>
        <w:widowControl w:val="0"/>
        <w:ind w:left="0" w:firstLine="0"/>
        <w:rPr>
          <w:b/>
        </w:rPr>
      </w:pPr>
      <w:r>
        <w:rPr>
          <w:b/>
        </w:rPr>
        <w:t>6.</w:t>
      </w:r>
      <w:r>
        <w:rPr>
          <w:b/>
        </w:rPr>
        <w:tab/>
        <w:t>DANE FARMACEUTYCZNE</w:t>
      </w:r>
    </w:p>
    <w:p w14:paraId="13CA3A85" w14:textId="77777777" w:rsidR="00A65887" w:rsidRDefault="00A65887" w:rsidP="005C1EE7">
      <w:pPr>
        <w:widowControl w:val="0"/>
        <w:ind w:left="0" w:firstLine="0"/>
      </w:pPr>
    </w:p>
    <w:p w14:paraId="5033C699" w14:textId="77777777" w:rsidR="00A65887" w:rsidRDefault="00A65887" w:rsidP="005C1EE7">
      <w:pPr>
        <w:widowControl w:val="0"/>
        <w:ind w:left="0" w:firstLine="0"/>
        <w:rPr>
          <w:b/>
        </w:rPr>
      </w:pPr>
      <w:r>
        <w:rPr>
          <w:b/>
        </w:rPr>
        <w:t>6.1</w:t>
      </w:r>
      <w:r>
        <w:rPr>
          <w:b/>
        </w:rPr>
        <w:tab/>
        <w:t>Wykaz substancji pomocniczych</w:t>
      </w:r>
    </w:p>
    <w:p w14:paraId="6D56C3F4" w14:textId="77777777" w:rsidR="00C46052" w:rsidRPr="005C1EE7" w:rsidRDefault="00C46052" w:rsidP="005C1EE7">
      <w:pPr>
        <w:widowControl w:val="0"/>
        <w:ind w:left="0" w:firstLine="0"/>
        <w:rPr>
          <w:bCs/>
        </w:rPr>
      </w:pPr>
    </w:p>
    <w:p w14:paraId="34A868D1" w14:textId="134D0776" w:rsidR="00B35BB6" w:rsidRDefault="00CA69FC" w:rsidP="005C1EE7">
      <w:pPr>
        <w:widowControl w:val="0"/>
        <w:ind w:left="0" w:firstLine="0"/>
        <w:jc w:val="both"/>
        <w:rPr>
          <w:szCs w:val="22"/>
        </w:rPr>
      </w:pPr>
      <w:r>
        <w:rPr>
          <w:szCs w:val="22"/>
        </w:rPr>
        <w:t>Parafina ciekła</w:t>
      </w:r>
    </w:p>
    <w:p w14:paraId="3BC9F976" w14:textId="77777777" w:rsidR="00B35BB6" w:rsidRDefault="00B35BB6" w:rsidP="005C1EE7">
      <w:pPr>
        <w:widowControl w:val="0"/>
        <w:ind w:left="0" w:firstLine="0"/>
        <w:jc w:val="both"/>
        <w:rPr>
          <w:szCs w:val="22"/>
        </w:rPr>
      </w:pPr>
      <w:r>
        <w:rPr>
          <w:szCs w:val="22"/>
        </w:rPr>
        <w:t>A</w:t>
      </w:r>
      <w:r w:rsidR="00CA69FC">
        <w:rPr>
          <w:szCs w:val="22"/>
        </w:rPr>
        <w:t>lkohole sterolowe z lanoliny</w:t>
      </w:r>
    </w:p>
    <w:p w14:paraId="4E73EE0C" w14:textId="77777777" w:rsidR="00B35BB6" w:rsidRDefault="00B35BB6" w:rsidP="002B5AC2">
      <w:pPr>
        <w:ind w:left="0" w:firstLine="0"/>
        <w:jc w:val="both"/>
        <w:rPr>
          <w:szCs w:val="22"/>
        </w:rPr>
      </w:pPr>
      <w:r>
        <w:rPr>
          <w:szCs w:val="22"/>
        </w:rPr>
        <w:t xml:space="preserve">Alkohol </w:t>
      </w:r>
      <w:r w:rsidR="00CA69FC">
        <w:rPr>
          <w:szCs w:val="22"/>
        </w:rPr>
        <w:t>cetostearylowy</w:t>
      </w:r>
    </w:p>
    <w:p w14:paraId="50801574" w14:textId="77777777" w:rsidR="00B35BB6" w:rsidRDefault="00B35BB6" w:rsidP="002B5AC2">
      <w:pPr>
        <w:ind w:left="0" w:firstLine="0"/>
        <w:jc w:val="both"/>
        <w:rPr>
          <w:szCs w:val="22"/>
        </w:rPr>
      </w:pPr>
      <w:r>
        <w:rPr>
          <w:szCs w:val="22"/>
        </w:rPr>
        <w:t>Butylohydroksytoluen</w:t>
      </w:r>
      <w:r w:rsidR="00F2161A">
        <w:rPr>
          <w:szCs w:val="22"/>
        </w:rPr>
        <w:t xml:space="preserve"> (E 321)</w:t>
      </w:r>
    </w:p>
    <w:p w14:paraId="5CC3EDD6" w14:textId="77777777" w:rsidR="00B35BB6" w:rsidRDefault="00B35BB6" w:rsidP="002B5AC2">
      <w:pPr>
        <w:ind w:left="0" w:firstLine="0"/>
        <w:jc w:val="both"/>
        <w:rPr>
          <w:szCs w:val="22"/>
        </w:rPr>
      </w:pPr>
      <w:r>
        <w:rPr>
          <w:szCs w:val="22"/>
        </w:rPr>
        <w:t>Butylohydroksyanizol</w:t>
      </w:r>
      <w:r w:rsidR="00F2161A">
        <w:rPr>
          <w:szCs w:val="22"/>
        </w:rPr>
        <w:t xml:space="preserve"> (E 320)</w:t>
      </w:r>
    </w:p>
    <w:p w14:paraId="63881DC1" w14:textId="77777777" w:rsidR="00A65887" w:rsidRDefault="00B35BB6" w:rsidP="002B5AC2">
      <w:pPr>
        <w:ind w:left="0" w:firstLine="0"/>
        <w:jc w:val="both"/>
        <w:rPr>
          <w:b/>
        </w:rPr>
      </w:pPr>
      <w:r>
        <w:rPr>
          <w:szCs w:val="22"/>
        </w:rPr>
        <w:t xml:space="preserve">Wazelina </w:t>
      </w:r>
      <w:r w:rsidR="00CA69FC">
        <w:rPr>
          <w:szCs w:val="22"/>
        </w:rPr>
        <w:t>biała</w:t>
      </w:r>
    </w:p>
    <w:p w14:paraId="77EA6E58" w14:textId="77777777" w:rsidR="00A65887" w:rsidRDefault="00A65887" w:rsidP="00F859C0">
      <w:pPr>
        <w:widowControl w:val="0"/>
        <w:ind w:left="0" w:firstLine="0"/>
      </w:pPr>
    </w:p>
    <w:p w14:paraId="7798221F" w14:textId="77777777" w:rsidR="00A65887" w:rsidRDefault="00A65887" w:rsidP="00F859C0">
      <w:pPr>
        <w:widowControl w:val="0"/>
        <w:ind w:left="0" w:firstLine="0"/>
        <w:rPr>
          <w:b/>
        </w:rPr>
      </w:pPr>
      <w:r>
        <w:rPr>
          <w:b/>
        </w:rPr>
        <w:t>6.2</w:t>
      </w:r>
      <w:r>
        <w:rPr>
          <w:b/>
        </w:rPr>
        <w:tab/>
        <w:t>Niezgodności farmaceutyczne</w:t>
      </w:r>
    </w:p>
    <w:p w14:paraId="2261FEB8" w14:textId="77777777" w:rsidR="00C46052" w:rsidRDefault="00C46052" w:rsidP="00F859C0">
      <w:pPr>
        <w:widowControl w:val="0"/>
        <w:ind w:left="0" w:firstLine="0"/>
        <w:rPr>
          <w:b/>
        </w:rPr>
      </w:pPr>
    </w:p>
    <w:p w14:paraId="24758B46" w14:textId="77777777" w:rsidR="00A65887" w:rsidRDefault="00CA69FC" w:rsidP="00F859C0">
      <w:pPr>
        <w:widowControl w:val="0"/>
        <w:ind w:left="0" w:firstLine="0"/>
      </w:pPr>
      <w:r>
        <w:rPr>
          <w:szCs w:val="22"/>
        </w:rPr>
        <w:t>Maści</w:t>
      </w:r>
      <w:r w:rsidR="002B5AC2" w:rsidRPr="008145F6">
        <w:rPr>
          <w:szCs w:val="22"/>
        </w:rPr>
        <w:t xml:space="preserve"> nie stosować równocześnie z innymi lekami stosowanymi miejscowo</w:t>
      </w:r>
      <w:r w:rsidR="002B5AC2">
        <w:rPr>
          <w:szCs w:val="22"/>
        </w:rPr>
        <w:t>.</w:t>
      </w:r>
    </w:p>
    <w:p w14:paraId="4C6CB945" w14:textId="77777777" w:rsidR="00A65887" w:rsidRDefault="00A65887" w:rsidP="002B5AC2">
      <w:pPr>
        <w:ind w:left="0" w:firstLine="0"/>
      </w:pPr>
    </w:p>
    <w:p w14:paraId="020C78CB" w14:textId="77777777" w:rsidR="00A65887" w:rsidRDefault="00A65887" w:rsidP="002B5AC2">
      <w:pPr>
        <w:ind w:left="0" w:firstLine="0"/>
        <w:rPr>
          <w:b/>
          <w:noProof/>
        </w:rPr>
      </w:pPr>
      <w:r>
        <w:rPr>
          <w:b/>
        </w:rPr>
        <w:t>6.3</w:t>
      </w:r>
      <w:r>
        <w:rPr>
          <w:b/>
        </w:rPr>
        <w:tab/>
        <w:t xml:space="preserve">Okres </w:t>
      </w:r>
      <w:r>
        <w:rPr>
          <w:b/>
          <w:noProof/>
        </w:rPr>
        <w:t>ważności</w:t>
      </w:r>
    </w:p>
    <w:p w14:paraId="3382A65D" w14:textId="77777777" w:rsidR="00C46052" w:rsidRDefault="00C46052" w:rsidP="002B5AC2">
      <w:pPr>
        <w:ind w:left="0" w:firstLine="0"/>
        <w:rPr>
          <w:b/>
        </w:rPr>
      </w:pPr>
    </w:p>
    <w:p w14:paraId="3635147B" w14:textId="7AE89CF1" w:rsidR="00A65887" w:rsidRDefault="0007211C" w:rsidP="002B5AC2">
      <w:pPr>
        <w:ind w:left="0" w:firstLine="0"/>
        <w:rPr>
          <w:szCs w:val="22"/>
        </w:rPr>
      </w:pPr>
      <w:r>
        <w:rPr>
          <w:szCs w:val="22"/>
        </w:rPr>
        <w:t>Przed pierwszym otwarciem</w:t>
      </w:r>
      <w:r w:rsidR="0098650F">
        <w:rPr>
          <w:szCs w:val="22"/>
        </w:rPr>
        <w:t xml:space="preserve"> tuby</w:t>
      </w:r>
      <w:r>
        <w:rPr>
          <w:szCs w:val="22"/>
        </w:rPr>
        <w:t xml:space="preserve">: </w:t>
      </w:r>
      <w:r w:rsidR="002B5AC2" w:rsidRPr="008145F6">
        <w:rPr>
          <w:szCs w:val="22"/>
        </w:rPr>
        <w:t>3 lata</w:t>
      </w:r>
    </w:p>
    <w:p w14:paraId="2D5F833C" w14:textId="52E9AE68" w:rsidR="0007211C" w:rsidRDefault="0007211C" w:rsidP="002B5AC2">
      <w:pPr>
        <w:ind w:left="0" w:firstLine="0"/>
      </w:pPr>
      <w:r>
        <w:rPr>
          <w:szCs w:val="22"/>
        </w:rPr>
        <w:lastRenderedPageBreak/>
        <w:t>Po pierwszym otwarciu</w:t>
      </w:r>
      <w:r w:rsidR="0098650F">
        <w:rPr>
          <w:szCs w:val="22"/>
        </w:rPr>
        <w:t xml:space="preserve"> tuby</w:t>
      </w:r>
      <w:r>
        <w:rPr>
          <w:szCs w:val="22"/>
        </w:rPr>
        <w:t>:</w:t>
      </w:r>
      <w:r w:rsidR="000A7B9C">
        <w:rPr>
          <w:szCs w:val="22"/>
        </w:rPr>
        <w:t xml:space="preserve"> </w:t>
      </w:r>
      <w:r>
        <w:rPr>
          <w:szCs w:val="22"/>
        </w:rPr>
        <w:t>30 dni.</w:t>
      </w:r>
    </w:p>
    <w:p w14:paraId="443A5263" w14:textId="77777777" w:rsidR="00A65887" w:rsidRDefault="00A65887" w:rsidP="002B5AC2">
      <w:pPr>
        <w:ind w:left="0" w:firstLine="0"/>
      </w:pPr>
    </w:p>
    <w:p w14:paraId="0C7785A5" w14:textId="77777777" w:rsidR="00A65887" w:rsidRDefault="00A65887" w:rsidP="002B5AC2">
      <w:pPr>
        <w:ind w:left="0" w:firstLine="0"/>
        <w:rPr>
          <w:b/>
        </w:rPr>
      </w:pPr>
      <w:r>
        <w:rPr>
          <w:b/>
        </w:rPr>
        <w:t>6.4</w:t>
      </w:r>
      <w:r>
        <w:rPr>
          <w:b/>
        </w:rPr>
        <w:tab/>
        <w:t xml:space="preserve">Specjalne środki ostrożności </w:t>
      </w:r>
      <w:r w:rsidR="00664C08">
        <w:rPr>
          <w:b/>
          <w:noProof/>
          <w:szCs w:val="22"/>
        </w:rPr>
        <w:t>podczas</w:t>
      </w:r>
      <w:r>
        <w:rPr>
          <w:b/>
        </w:rPr>
        <w:t xml:space="preserve"> </w:t>
      </w:r>
      <w:r w:rsidR="00664C08">
        <w:rPr>
          <w:b/>
        </w:rPr>
        <w:t>przechowywania</w:t>
      </w:r>
    </w:p>
    <w:p w14:paraId="604ED113" w14:textId="77777777" w:rsidR="00C46052" w:rsidRDefault="00C46052" w:rsidP="002B5AC2">
      <w:pPr>
        <w:ind w:left="0" w:firstLine="0"/>
        <w:rPr>
          <w:b/>
        </w:rPr>
      </w:pPr>
    </w:p>
    <w:p w14:paraId="4AB7A057" w14:textId="77777777" w:rsidR="00A65887" w:rsidRDefault="002B5AC2" w:rsidP="002B5AC2">
      <w:pPr>
        <w:ind w:left="0" w:firstLine="0"/>
        <w:rPr>
          <w:i/>
          <w:iCs/>
        </w:rPr>
      </w:pPr>
      <w:r w:rsidRPr="008145F6">
        <w:rPr>
          <w:szCs w:val="22"/>
        </w:rPr>
        <w:t>Przec</w:t>
      </w:r>
      <w:r>
        <w:rPr>
          <w:szCs w:val="22"/>
        </w:rPr>
        <w:t xml:space="preserve">howywać w temperaturze poniżej </w:t>
      </w:r>
      <w:r w:rsidRPr="008145F6">
        <w:rPr>
          <w:szCs w:val="22"/>
        </w:rPr>
        <w:t>25</w:t>
      </w:r>
      <w:r w:rsidRPr="008145F6">
        <w:rPr>
          <w:szCs w:val="22"/>
          <w:vertAlign w:val="superscript"/>
        </w:rPr>
        <w:sym w:font="Symbol" w:char="F0B0"/>
      </w:r>
      <w:r w:rsidRPr="008145F6">
        <w:rPr>
          <w:szCs w:val="22"/>
        </w:rPr>
        <w:t>C. Nie zamrażać</w:t>
      </w:r>
      <w:r>
        <w:rPr>
          <w:szCs w:val="22"/>
        </w:rPr>
        <w:t>.</w:t>
      </w:r>
    </w:p>
    <w:p w14:paraId="018F0CAA" w14:textId="77777777" w:rsidR="00A65887" w:rsidRDefault="00A65887" w:rsidP="002B5AC2">
      <w:pPr>
        <w:ind w:left="0" w:firstLine="0"/>
      </w:pPr>
    </w:p>
    <w:p w14:paraId="67E58E2D" w14:textId="77777777" w:rsidR="00B913CD" w:rsidRDefault="00B913CD" w:rsidP="002B5AC2">
      <w:pPr>
        <w:ind w:left="0" w:firstLine="0"/>
      </w:pPr>
    </w:p>
    <w:p w14:paraId="6C8C4BEF" w14:textId="77777777" w:rsidR="00A65887" w:rsidRDefault="00A65887" w:rsidP="002B5AC2">
      <w:pPr>
        <w:ind w:left="0" w:firstLine="0"/>
        <w:rPr>
          <w:b/>
        </w:rPr>
      </w:pPr>
      <w:r>
        <w:rPr>
          <w:b/>
        </w:rPr>
        <w:t>6.5</w:t>
      </w:r>
      <w:r>
        <w:rPr>
          <w:b/>
        </w:rPr>
        <w:tab/>
        <w:t>Rodzaj i zawartość opakowania</w:t>
      </w:r>
    </w:p>
    <w:p w14:paraId="5D49F13B" w14:textId="77777777" w:rsidR="00C46052" w:rsidRDefault="00C46052" w:rsidP="002B5AC2">
      <w:pPr>
        <w:ind w:left="0" w:firstLine="0"/>
        <w:rPr>
          <w:b/>
        </w:rPr>
      </w:pPr>
    </w:p>
    <w:p w14:paraId="78B8435D" w14:textId="77777777" w:rsidR="00B913CD" w:rsidRDefault="002B5AC2" w:rsidP="002B5AC2">
      <w:pPr>
        <w:ind w:left="0" w:firstLine="0"/>
        <w:rPr>
          <w:szCs w:val="22"/>
        </w:rPr>
      </w:pPr>
      <w:r w:rsidRPr="008145F6">
        <w:rPr>
          <w:szCs w:val="22"/>
        </w:rPr>
        <w:t xml:space="preserve">Tuba aluminiowa z membraną zabezpieczającą i zakrętką </w:t>
      </w:r>
      <w:r w:rsidR="00B13D77">
        <w:rPr>
          <w:szCs w:val="22"/>
        </w:rPr>
        <w:t xml:space="preserve">z </w:t>
      </w:r>
      <w:r w:rsidRPr="008145F6">
        <w:rPr>
          <w:szCs w:val="22"/>
        </w:rPr>
        <w:t>HDPE</w:t>
      </w:r>
      <w:r w:rsidR="00822C0B">
        <w:rPr>
          <w:szCs w:val="22"/>
        </w:rPr>
        <w:t>, zawierająca 15 g lub 30 g maści, umieszczona</w:t>
      </w:r>
      <w:r w:rsidRPr="008145F6">
        <w:rPr>
          <w:szCs w:val="22"/>
        </w:rPr>
        <w:t xml:space="preserve"> </w:t>
      </w:r>
      <w:r w:rsidR="006375EC">
        <w:rPr>
          <w:szCs w:val="22"/>
        </w:rPr>
        <w:t xml:space="preserve">w tekturowym pudełku. </w:t>
      </w:r>
    </w:p>
    <w:p w14:paraId="4FFD4C4F" w14:textId="77777777" w:rsidR="00A65887" w:rsidRDefault="00A65887" w:rsidP="002B5AC2">
      <w:pPr>
        <w:ind w:left="0" w:firstLine="0"/>
      </w:pPr>
    </w:p>
    <w:p w14:paraId="4365408D" w14:textId="77777777" w:rsidR="00A65887" w:rsidRDefault="00A65887" w:rsidP="002B5AC2">
      <w:pPr>
        <w:ind w:left="0" w:firstLine="0"/>
        <w:rPr>
          <w:b/>
          <w:bCs/>
          <w:noProof/>
          <w:szCs w:val="22"/>
        </w:rPr>
      </w:pPr>
      <w:r>
        <w:rPr>
          <w:b/>
        </w:rPr>
        <w:t>6.6</w:t>
      </w:r>
      <w:r>
        <w:rPr>
          <w:b/>
        </w:rPr>
        <w:tab/>
      </w:r>
      <w:r w:rsidR="00664C08">
        <w:rPr>
          <w:b/>
          <w:bCs/>
          <w:noProof/>
          <w:szCs w:val="22"/>
        </w:rPr>
        <w:t>Specjalne</w:t>
      </w:r>
      <w:r>
        <w:rPr>
          <w:b/>
          <w:bCs/>
          <w:noProof/>
          <w:szCs w:val="22"/>
        </w:rPr>
        <w:t xml:space="preserve"> środki ostrożności dotyczące usuwania</w:t>
      </w:r>
    </w:p>
    <w:p w14:paraId="1E6A3080" w14:textId="77777777" w:rsidR="00C46052" w:rsidRDefault="00C46052" w:rsidP="002B5AC2">
      <w:pPr>
        <w:ind w:left="0" w:firstLine="0"/>
        <w:rPr>
          <w:b/>
        </w:rPr>
      </w:pPr>
    </w:p>
    <w:p w14:paraId="6AD358B8" w14:textId="77777777" w:rsidR="009810F4" w:rsidRPr="00F624FA" w:rsidRDefault="009810F4" w:rsidP="002B5AC2">
      <w:pPr>
        <w:ind w:left="0" w:firstLine="0"/>
      </w:pPr>
      <w:r>
        <w:t>B</w:t>
      </w:r>
      <w:r w:rsidR="00CD1159">
        <w:t xml:space="preserve">ez specjalnych </w:t>
      </w:r>
      <w:r>
        <w:t>wymagań dotyczących usuwania.</w:t>
      </w:r>
      <w:r w:rsidR="00F624FA" w:rsidRPr="00F624FA">
        <w:t xml:space="preserve"> </w:t>
      </w:r>
      <w:r w:rsidR="00F624FA">
        <w:t>Wszelkie niewykorzystane resztki produktu leczniczego lub jego odpady należy usunąć zgodnie z lokalnymi przepisami</w:t>
      </w:r>
      <w:r w:rsidR="008C179C">
        <w:t>.</w:t>
      </w:r>
    </w:p>
    <w:p w14:paraId="48FF69DA" w14:textId="74D7CDBA" w:rsidR="008902EA" w:rsidRDefault="008902EA" w:rsidP="002B5AC2">
      <w:pPr>
        <w:ind w:left="0" w:firstLine="0"/>
      </w:pPr>
    </w:p>
    <w:p w14:paraId="15FC5E52" w14:textId="77777777" w:rsidR="00EF6C39" w:rsidRDefault="00EF6C39" w:rsidP="002B5AC2">
      <w:pPr>
        <w:ind w:left="0" w:firstLine="0"/>
      </w:pPr>
    </w:p>
    <w:p w14:paraId="098CB654" w14:textId="77777777" w:rsidR="00A65887" w:rsidRDefault="00A65887" w:rsidP="00BE19F8">
      <w:pPr>
        <w:keepNext/>
        <w:ind w:left="0" w:firstLine="0"/>
        <w:rPr>
          <w:b/>
        </w:rPr>
      </w:pPr>
      <w:r>
        <w:rPr>
          <w:b/>
        </w:rPr>
        <w:t>7.</w:t>
      </w:r>
      <w:r>
        <w:rPr>
          <w:b/>
        </w:rPr>
        <w:tab/>
        <w:t>PODMIOT ODPOWIEDZIALNY POSIADAJĄCY POZWOLENIE NA DOPUSZCZENIE DO OBROTU</w:t>
      </w:r>
    </w:p>
    <w:p w14:paraId="763B57BB" w14:textId="77777777" w:rsidR="00C46052" w:rsidRDefault="00C46052" w:rsidP="00BE19F8">
      <w:pPr>
        <w:keepNext/>
        <w:ind w:left="0" w:firstLine="0"/>
        <w:rPr>
          <w:b/>
        </w:rPr>
      </w:pPr>
    </w:p>
    <w:p w14:paraId="5DA18902" w14:textId="77777777" w:rsidR="000C212F" w:rsidRPr="00B52F0A" w:rsidRDefault="000C212F" w:rsidP="000C212F">
      <w:pPr>
        <w:rPr>
          <w:szCs w:val="22"/>
          <w:lang w:val="en-US"/>
        </w:rPr>
      </w:pPr>
      <w:r w:rsidRPr="00490C81">
        <w:rPr>
          <w:szCs w:val="22"/>
          <w:lang w:val="en-US"/>
        </w:rPr>
        <w:t>Bausch Health Ireland Limited</w:t>
      </w:r>
    </w:p>
    <w:p w14:paraId="1911F71B" w14:textId="77777777" w:rsidR="000C212F" w:rsidRPr="00490C81" w:rsidRDefault="000C212F" w:rsidP="000C212F">
      <w:pPr>
        <w:rPr>
          <w:szCs w:val="22"/>
          <w:lang w:val="en-US" w:eastAsia="de-DE"/>
        </w:rPr>
      </w:pPr>
      <w:r w:rsidRPr="00490C81">
        <w:rPr>
          <w:szCs w:val="22"/>
          <w:lang w:val="en-US"/>
        </w:rPr>
        <w:t>3013 Lake Drive</w:t>
      </w:r>
    </w:p>
    <w:p w14:paraId="6141976E" w14:textId="77777777" w:rsidR="000C212F" w:rsidRPr="00490C81" w:rsidRDefault="000C212F" w:rsidP="000C212F">
      <w:pPr>
        <w:rPr>
          <w:szCs w:val="22"/>
          <w:lang w:val="en-US"/>
        </w:rPr>
      </w:pPr>
      <w:r w:rsidRPr="00490C81">
        <w:rPr>
          <w:szCs w:val="22"/>
          <w:lang w:val="en-US"/>
        </w:rPr>
        <w:t>Citywest Business Campus</w:t>
      </w:r>
    </w:p>
    <w:p w14:paraId="2C5B41E3" w14:textId="77777777" w:rsidR="000C212F" w:rsidRPr="005C1EE7" w:rsidRDefault="000C212F" w:rsidP="000C212F">
      <w:pPr>
        <w:rPr>
          <w:szCs w:val="22"/>
          <w:lang w:val="en-US"/>
        </w:rPr>
      </w:pPr>
      <w:r w:rsidRPr="00490C81">
        <w:rPr>
          <w:szCs w:val="22"/>
          <w:lang w:val="en-US"/>
        </w:rPr>
        <w:t>Dublin 24, D24PPT3</w:t>
      </w:r>
    </w:p>
    <w:p w14:paraId="43FB5CA9" w14:textId="77777777" w:rsidR="000C212F" w:rsidRPr="00490C81" w:rsidRDefault="000C212F" w:rsidP="000C212F">
      <w:pPr>
        <w:rPr>
          <w:rFonts w:ascii="Arial" w:hAnsi="Arial"/>
          <w:szCs w:val="22"/>
          <w:lang w:val="en-US"/>
        </w:rPr>
      </w:pPr>
      <w:r w:rsidRPr="00490C81">
        <w:rPr>
          <w:szCs w:val="22"/>
          <w:lang w:val="en-US"/>
        </w:rPr>
        <w:t>Irlandia</w:t>
      </w:r>
    </w:p>
    <w:p w14:paraId="1D1E85E8" w14:textId="4C9F1647" w:rsidR="00A65887" w:rsidRDefault="00A65887" w:rsidP="002B5AC2">
      <w:pPr>
        <w:ind w:left="0" w:firstLine="0"/>
        <w:rPr>
          <w:lang w:val="en-US"/>
        </w:rPr>
      </w:pPr>
    </w:p>
    <w:p w14:paraId="0E26780A" w14:textId="77777777" w:rsidR="00EF6C39" w:rsidRPr="00DB4C1D" w:rsidRDefault="00EF6C39" w:rsidP="002B5AC2">
      <w:pPr>
        <w:ind w:left="0" w:firstLine="0"/>
        <w:rPr>
          <w:lang w:val="en-US"/>
        </w:rPr>
      </w:pPr>
    </w:p>
    <w:p w14:paraId="3703C5D6" w14:textId="77777777" w:rsidR="00A65887" w:rsidRDefault="00A65887" w:rsidP="002B5AC2">
      <w:pPr>
        <w:ind w:left="0" w:firstLine="0"/>
        <w:rPr>
          <w:b/>
        </w:rPr>
      </w:pPr>
      <w:r>
        <w:rPr>
          <w:b/>
        </w:rPr>
        <w:t>8.</w:t>
      </w:r>
      <w:r>
        <w:rPr>
          <w:b/>
        </w:rPr>
        <w:tab/>
        <w:t>NUMER POZWOLENIA</w:t>
      </w:r>
      <w:r>
        <w:rPr>
          <w:b/>
          <w:noProof/>
        </w:rPr>
        <w:t xml:space="preserve"> </w:t>
      </w:r>
      <w:r>
        <w:rPr>
          <w:b/>
        </w:rPr>
        <w:t>NA DOPUSZCZENIE DO OBROTU</w:t>
      </w:r>
    </w:p>
    <w:p w14:paraId="6EA7305E" w14:textId="77777777" w:rsidR="00EF6C39" w:rsidRDefault="00EF6C39" w:rsidP="002B5AC2">
      <w:pPr>
        <w:ind w:right="-284"/>
        <w:rPr>
          <w:szCs w:val="22"/>
        </w:rPr>
      </w:pPr>
    </w:p>
    <w:p w14:paraId="26C97132" w14:textId="6803A393" w:rsidR="002B5AC2" w:rsidRPr="008145F6" w:rsidRDefault="002B5AC2" w:rsidP="002B5AC2">
      <w:pPr>
        <w:ind w:right="-284"/>
        <w:rPr>
          <w:szCs w:val="22"/>
        </w:rPr>
      </w:pPr>
      <w:r w:rsidRPr="008145F6">
        <w:rPr>
          <w:szCs w:val="22"/>
        </w:rPr>
        <w:t xml:space="preserve">Pozwolenie </w:t>
      </w:r>
      <w:r w:rsidR="00127AC1">
        <w:rPr>
          <w:szCs w:val="22"/>
        </w:rPr>
        <w:t>n</w:t>
      </w:r>
      <w:r w:rsidR="00127AC1" w:rsidRPr="008145F6">
        <w:rPr>
          <w:szCs w:val="22"/>
        </w:rPr>
        <w:t xml:space="preserve">r </w:t>
      </w:r>
      <w:r w:rsidRPr="008145F6">
        <w:rPr>
          <w:szCs w:val="22"/>
        </w:rPr>
        <w:t>879</w:t>
      </w:r>
      <w:r w:rsidR="00CA69FC">
        <w:rPr>
          <w:szCs w:val="22"/>
        </w:rPr>
        <w:t>7</w:t>
      </w:r>
    </w:p>
    <w:p w14:paraId="19084576" w14:textId="1378061B" w:rsidR="00A65887" w:rsidRDefault="00A65887" w:rsidP="002B5AC2">
      <w:pPr>
        <w:ind w:left="0" w:firstLine="0"/>
      </w:pPr>
    </w:p>
    <w:p w14:paraId="7E8EF021" w14:textId="77777777" w:rsidR="00EF6C39" w:rsidRDefault="00EF6C39" w:rsidP="002B5AC2">
      <w:pPr>
        <w:ind w:left="0" w:firstLine="0"/>
      </w:pPr>
    </w:p>
    <w:p w14:paraId="6D5D7F7B" w14:textId="77777777" w:rsidR="00A65887" w:rsidRDefault="00A65887" w:rsidP="002B5AC2">
      <w:pPr>
        <w:ind w:left="0" w:firstLine="0"/>
        <w:rPr>
          <w:b/>
        </w:rPr>
      </w:pPr>
      <w:r>
        <w:rPr>
          <w:b/>
        </w:rPr>
        <w:t>9.</w:t>
      </w:r>
      <w:r>
        <w:rPr>
          <w:b/>
        </w:rPr>
        <w:tab/>
        <w:t xml:space="preserve">DATA WYDANIA PIERWSZEGO POZWOLENIA NA DOPUSZCZENIE DO OBROTU </w:t>
      </w:r>
      <w:r w:rsidR="00F624FA">
        <w:rPr>
          <w:b/>
        </w:rPr>
        <w:t xml:space="preserve">I </w:t>
      </w:r>
      <w:r>
        <w:rPr>
          <w:b/>
        </w:rPr>
        <w:t>DATA PRZEDŁUŻENIA POZWOLENIA</w:t>
      </w:r>
    </w:p>
    <w:p w14:paraId="36F073B1" w14:textId="77777777" w:rsidR="00C46052" w:rsidRDefault="00C46052" w:rsidP="002B5AC2">
      <w:pPr>
        <w:ind w:left="0" w:firstLine="0"/>
        <w:rPr>
          <w:b/>
        </w:rPr>
      </w:pPr>
    </w:p>
    <w:p w14:paraId="41931741" w14:textId="77777777" w:rsidR="00127AC1" w:rsidRDefault="00127AC1" w:rsidP="002B5AC2">
      <w:pPr>
        <w:ind w:right="-284"/>
        <w:rPr>
          <w:szCs w:val="22"/>
        </w:rPr>
      </w:pPr>
      <w:r>
        <w:rPr>
          <w:szCs w:val="22"/>
        </w:rPr>
        <w:t xml:space="preserve">Data pierwszego pozwolenia na dopuszczenie do obrotu: </w:t>
      </w:r>
      <w:r w:rsidR="002B5AC2" w:rsidRPr="008145F6">
        <w:rPr>
          <w:szCs w:val="22"/>
        </w:rPr>
        <w:t xml:space="preserve">05.06.2001 </w:t>
      </w:r>
    </w:p>
    <w:p w14:paraId="42EFFD2B" w14:textId="77777777" w:rsidR="00127AC1" w:rsidRPr="00B913CD" w:rsidRDefault="00127AC1" w:rsidP="002B5AC2">
      <w:pPr>
        <w:ind w:right="-284"/>
        <w:rPr>
          <w:szCs w:val="22"/>
        </w:rPr>
      </w:pPr>
      <w:r>
        <w:rPr>
          <w:szCs w:val="22"/>
        </w:rPr>
        <w:t xml:space="preserve">Data </w:t>
      </w:r>
      <w:r w:rsidRPr="00B913CD">
        <w:rPr>
          <w:szCs w:val="22"/>
        </w:rPr>
        <w:t>ostatniego przedłużenia pozwolenia:</w:t>
      </w:r>
      <w:r w:rsidR="002906CD" w:rsidRPr="00B913CD">
        <w:rPr>
          <w:szCs w:val="22"/>
        </w:rPr>
        <w:t xml:space="preserve"> </w:t>
      </w:r>
      <w:r w:rsidR="00C70256">
        <w:rPr>
          <w:szCs w:val="22"/>
        </w:rPr>
        <w:t>09.07.2013</w:t>
      </w:r>
      <w:r w:rsidR="002906CD" w:rsidRPr="00B913CD">
        <w:rPr>
          <w:szCs w:val="22"/>
        </w:rPr>
        <w:t xml:space="preserve"> r.</w:t>
      </w:r>
    </w:p>
    <w:p w14:paraId="0BD02B53" w14:textId="1EF76A8E" w:rsidR="00A65887" w:rsidRDefault="00A65887" w:rsidP="00B913CD">
      <w:pPr>
        <w:ind w:right="-284"/>
      </w:pPr>
    </w:p>
    <w:p w14:paraId="14BF8C5A" w14:textId="77777777" w:rsidR="00EF6C39" w:rsidRDefault="00EF6C39" w:rsidP="00B913CD">
      <w:pPr>
        <w:ind w:right="-284"/>
      </w:pPr>
    </w:p>
    <w:p w14:paraId="4C1AB451" w14:textId="77777777" w:rsidR="00A65887" w:rsidRDefault="00A65887" w:rsidP="002B5AC2">
      <w:pPr>
        <w:ind w:left="0" w:firstLine="0"/>
        <w:rPr>
          <w:b/>
        </w:rPr>
      </w:pPr>
      <w:r>
        <w:rPr>
          <w:b/>
        </w:rPr>
        <w:t>10.</w:t>
      </w:r>
      <w:r>
        <w:rPr>
          <w:b/>
        </w:rPr>
        <w:tab/>
        <w:t>DATA ZATWIERDZENIA LUB CZĘŚCIOWEJ ZMIANY TEKSTU CHARAKTERYSTYKI PRODUKTU LECZNICZEGO</w:t>
      </w:r>
    </w:p>
    <w:p w14:paraId="378464DD" w14:textId="69D4B9C6" w:rsidR="00A65887" w:rsidRDefault="00A65887" w:rsidP="008902EA">
      <w:pPr>
        <w:ind w:left="0" w:firstLine="0"/>
        <w:rPr>
          <w:noProof/>
        </w:rPr>
      </w:pPr>
    </w:p>
    <w:sectPr w:rsidR="00A65887">
      <w:footerReference w:type="default" r:id="rId9"/>
      <w:pgSz w:w="11906" w:h="16838"/>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AA5B" w14:textId="77777777" w:rsidR="00E616F2" w:rsidRDefault="00E616F2">
      <w:r>
        <w:separator/>
      </w:r>
    </w:p>
  </w:endnote>
  <w:endnote w:type="continuationSeparator" w:id="0">
    <w:p w14:paraId="4B2AB022" w14:textId="77777777" w:rsidR="00E616F2" w:rsidRDefault="00E6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8AA4" w14:textId="0FD8660F" w:rsidR="00914D33" w:rsidRDefault="00914D33">
    <w:pPr>
      <w:pStyle w:val="Stopka"/>
      <w:jc w:val="center"/>
      <w:rPr>
        <w:rFonts w:ascii="Arial" w:hAnsi="Arial" w:cs="Arial"/>
      </w:rPr>
    </w:pPr>
    <w:r>
      <w:rPr>
        <w:rStyle w:val="Numerstrony"/>
        <w:rFonts w:ascii="Arial" w:hAnsi="Arial" w:cs="Arial"/>
      </w:rPr>
      <w:fldChar w:fldCharType="begin"/>
    </w:r>
    <w:r>
      <w:rPr>
        <w:rStyle w:val="Numerstrony"/>
        <w:rFonts w:ascii="Arial" w:hAnsi="Arial" w:cs="Arial"/>
      </w:rPr>
      <w:instrText xml:space="preserve"> PAGE </w:instrText>
    </w:r>
    <w:r>
      <w:rPr>
        <w:rStyle w:val="Numerstrony"/>
        <w:rFonts w:ascii="Arial" w:hAnsi="Arial" w:cs="Arial"/>
      </w:rPr>
      <w:fldChar w:fldCharType="separate"/>
    </w:r>
    <w:r w:rsidR="000A7B9C">
      <w:rPr>
        <w:rStyle w:val="Numerstrony"/>
        <w:rFonts w:ascii="Arial" w:hAnsi="Arial" w:cs="Arial"/>
        <w:noProof/>
      </w:rPr>
      <w:t>7</w:t>
    </w:r>
    <w:r>
      <w:rPr>
        <w:rStyle w:val="Numerstro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A61" w14:textId="77777777" w:rsidR="00E616F2" w:rsidRDefault="00E616F2">
      <w:r>
        <w:separator/>
      </w:r>
    </w:p>
  </w:footnote>
  <w:footnote w:type="continuationSeparator" w:id="0">
    <w:p w14:paraId="25441B7E" w14:textId="77777777" w:rsidR="00E616F2" w:rsidRDefault="00E6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D2D"/>
    <w:multiLevelType w:val="hybridMultilevel"/>
    <w:tmpl w:val="420E78F4"/>
    <w:lvl w:ilvl="0" w:tplc="FFFFFFFF">
      <w:start w:val="21"/>
      <w:numFmt w:val="bullet"/>
      <w:lvlText w:val="-"/>
      <w:lvlJc w:val="left"/>
      <w:pPr>
        <w:tabs>
          <w:tab w:val="num" w:pos="417"/>
        </w:tabs>
        <w:ind w:left="417"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1250E"/>
    <w:multiLevelType w:val="hybridMultilevel"/>
    <w:tmpl w:val="8C5073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A3744"/>
    <w:multiLevelType w:val="multilevel"/>
    <w:tmpl w:val="F84AF468"/>
    <w:lvl w:ilvl="0">
      <w:start w:val="4"/>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2051B90"/>
    <w:multiLevelType w:val="hybridMultilevel"/>
    <w:tmpl w:val="4522BB9A"/>
    <w:lvl w:ilvl="0" w:tplc="710A0C0E">
      <w:start w:val="5"/>
      <w:numFmt w:val="bullet"/>
      <w:lvlText w:val=""/>
      <w:lvlJc w:val="left"/>
      <w:pPr>
        <w:tabs>
          <w:tab w:val="num" w:pos="454"/>
        </w:tabs>
        <w:ind w:left="454"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A341A"/>
    <w:multiLevelType w:val="hybridMultilevel"/>
    <w:tmpl w:val="1136A6D0"/>
    <w:lvl w:ilvl="0" w:tplc="FFFFFFFF">
      <w:start w:val="21"/>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17285"/>
    <w:multiLevelType w:val="hybridMultilevel"/>
    <w:tmpl w:val="330A6A68"/>
    <w:lvl w:ilvl="0" w:tplc="771CF0AA">
      <w:start w:val="1"/>
      <w:numFmt w:val="bullet"/>
      <w:lvlText w:val="-"/>
      <w:lvlJc w:val="left"/>
      <w:pPr>
        <w:tabs>
          <w:tab w:val="num" w:pos="1440"/>
        </w:tabs>
        <w:ind w:left="144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72ACC"/>
    <w:multiLevelType w:val="hybridMultilevel"/>
    <w:tmpl w:val="1FD6D218"/>
    <w:lvl w:ilvl="0" w:tplc="771CF0AA">
      <w:start w:val="1"/>
      <w:numFmt w:val="bullet"/>
      <w:lvlText w:val="-"/>
      <w:lvlJc w:val="left"/>
      <w:pPr>
        <w:tabs>
          <w:tab w:val="num" w:pos="1440"/>
        </w:tabs>
        <w:ind w:left="144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D0263"/>
    <w:multiLevelType w:val="hybridMultilevel"/>
    <w:tmpl w:val="61EE5D5C"/>
    <w:lvl w:ilvl="0" w:tplc="FFFFFFFF">
      <w:start w:val="2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E8A769C"/>
    <w:multiLevelType w:val="hybridMultilevel"/>
    <w:tmpl w:val="34C61A74"/>
    <w:lvl w:ilvl="0" w:tplc="FFFFFFFF">
      <w:start w:val="21"/>
      <w:numFmt w:val="bullet"/>
      <w:lvlText w:val="-"/>
      <w:lvlJc w:val="left"/>
      <w:pPr>
        <w:tabs>
          <w:tab w:val="num" w:pos="417"/>
        </w:tabs>
        <w:ind w:left="417" w:hanging="360"/>
      </w:pPr>
      <w:rPr>
        <w:rFonts w:hint="default"/>
      </w:rPr>
    </w:lvl>
    <w:lvl w:ilvl="1" w:tplc="FFFFFFFF">
      <w:start w:val="1"/>
      <w:numFmt w:val="bullet"/>
      <w:lvlText w:val="o"/>
      <w:lvlJc w:val="left"/>
      <w:pPr>
        <w:tabs>
          <w:tab w:val="num" w:pos="1497"/>
        </w:tabs>
        <w:ind w:left="1497" w:hanging="360"/>
      </w:pPr>
      <w:rPr>
        <w:rFonts w:ascii="Courier New" w:hAnsi="Courier New" w:cs="Courier New" w:hint="default"/>
      </w:rPr>
    </w:lvl>
    <w:lvl w:ilvl="2" w:tplc="FFFFFFFF">
      <w:start w:val="1"/>
      <w:numFmt w:val="bullet"/>
      <w:lvlText w:val=""/>
      <w:lvlJc w:val="left"/>
      <w:pPr>
        <w:tabs>
          <w:tab w:val="num" w:pos="2217"/>
        </w:tabs>
        <w:ind w:left="2217" w:hanging="360"/>
      </w:pPr>
      <w:rPr>
        <w:rFonts w:ascii="Wingdings" w:hAnsi="Wingdings" w:cs="Times New Roman" w:hint="default"/>
      </w:rPr>
    </w:lvl>
    <w:lvl w:ilvl="3" w:tplc="FFFFFFFF">
      <w:start w:val="1"/>
      <w:numFmt w:val="bullet"/>
      <w:lvlText w:val=""/>
      <w:lvlJc w:val="left"/>
      <w:pPr>
        <w:tabs>
          <w:tab w:val="num" w:pos="2937"/>
        </w:tabs>
        <w:ind w:left="2937" w:hanging="360"/>
      </w:pPr>
      <w:rPr>
        <w:rFonts w:ascii="Symbol" w:hAnsi="Symbol" w:cs="Times New Roman" w:hint="default"/>
      </w:rPr>
    </w:lvl>
    <w:lvl w:ilvl="4" w:tplc="FFFFFFFF">
      <w:start w:val="1"/>
      <w:numFmt w:val="bullet"/>
      <w:lvlText w:val="o"/>
      <w:lvlJc w:val="left"/>
      <w:pPr>
        <w:tabs>
          <w:tab w:val="num" w:pos="3657"/>
        </w:tabs>
        <w:ind w:left="3657" w:hanging="360"/>
      </w:pPr>
      <w:rPr>
        <w:rFonts w:ascii="Courier New" w:hAnsi="Courier New" w:cs="Courier New" w:hint="default"/>
      </w:rPr>
    </w:lvl>
    <w:lvl w:ilvl="5" w:tplc="FFFFFFFF">
      <w:start w:val="1"/>
      <w:numFmt w:val="bullet"/>
      <w:lvlText w:val=""/>
      <w:lvlJc w:val="left"/>
      <w:pPr>
        <w:tabs>
          <w:tab w:val="num" w:pos="4377"/>
        </w:tabs>
        <w:ind w:left="4377" w:hanging="360"/>
      </w:pPr>
      <w:rPr>
        <w:rFonts w:ascii="Wingdings" w:hAnsi="Wingdings" w:cs="Times New Roman" w:hint="default"/>
      </w:rPr>
    </w:lvl>
    <w:lvl w:ilvl="6" w:tplc="FFFFFFFF">
      <w:start w:val="1"/>
      <w:numFmt w:val="bullet"/>
      <w:lvlText w:val=""/>
      <w:lvlJc w:val="left"/>
      <w:pPr>
        <w:tabs>
          <w:tab w:val="num" w:pos="5097"/>
        </w:tabs>
        <w:ind w:left="5097" w:hanging="360"/>
      </w:pPr>
      <w:rPr>
        <w:rFonts w:ascii="Symbol" w:hAnsi="Symbol" w:cs="Times New Roman" w:hint="default"/>
      </w:rPr>
    </w:lvl>
    <w:lvl w:ilvl="7" w:tplc="FFFFFFFF">
      <w:start w:val="1"/>
      <w:numFmt w:val="bullet"/>
      <w:lvlText w:val="o"/>
      <w:lvlJc w:val="left"/>
      <w:pPr>
        <w:tabs>
          <w:tab w:val="num" w:pos="5817"/>
        </w:tabs>
        <w:ind w:left="5817" w:hanging="360"/>
      </w:pPr>
      <w:rPr>
        <w:rFonts w:ascii="Courier New" w:hAnsi="Courier New" w:cs="Courier New" w:hint="default"/>
      </w:rPr>
    </w:lvl>
    <w:lvl w:ilvl="8" w:tplc="FFFFFFFF">
      <w:start w:val="1"/>
      <w:numFmt w:val="bullet"/>
      <w:lvlText w:val=""/>
      <w:lvlJc w:val="left"/>
      <w:pPr>
        <w:tabs>
          <w:tab w:val="num" w:pos="6537"/>
        </w:tabs>
        <w:ind w:left="6537" w:hanging="360"/>
      </w:pPr>
      <w:rPr>
        <w:rFonts w:ascii="Wingdings" w:hAnsi="Wingdings" w:cs="Times New Roman" w:hint="default"/>
      </w:rPr>
    </w:lvl>
  </w:abstractNum>
  <w:num w:numId="1">
    <w:abstractNumId w:val="8"/>
  </w:num>
  <w:num w:numId="2">
    <w:abstractNumId w:val="0"/>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jYxMzc3NzExNzFW0lEKTi0uzszPAykwqwUAvYWEwSwAAAA="/>
    <w:docVar w:name="Registered" w:val="-1"/>
    <w:docVar w:name="Version" w:val="0"/>
  </w:docVars>
  <w:rsids>
    <w:rsidRoot w:val="00A65887"/>
    <w:rsid w:val="000308B2"/>
    <w:rsid w:val="000357FD"/>
    <w:rsid w:val="00052A0B"/>
    <w:rsid w:val="000538F6"/>
    <w:rsid w:val="00054767"/>
    <w:rsid w:val="00057495"/>
    <w:rsid w:val="00067A90"/>
    <w:rsid w:val="0007211C"/>
    <w:rsid w:val="0008292D"/>
    <w:rsid w:val="0008361E"/>
    <w:rsid w:val="00090368"/>
    <w:rsid w:val="00090F8D"/>
    <w:rsid w:val="00091655"/>
    <w:rsid w:val="0009767F"/>
    <w:rsid w:val="000A074F"/>
    <w:rsid w:val="000A30ED"/>
    <w:rsid w:val="000A75D7"/>
    <w:rsid w:val="000A7B9C"/>
    <w:rsid w:val="000B173D"/>
    <w:rsid w:val="000B3E84"/>
    <w:rsid w:val="000C212F"/>
    <w:rsid w:val="000C38C7"/>
    <w:rsid w:val="000C3E1A"/>
    <w:rsid w:val="000D23EF"/>
    <w:rsid w:val="000D4A01"/>
    <w:rsid w:val="000D4ED9"/>
    <w:rsid w:val="000D681B"/>
    <w:rsid w:val="000D7EE1"/>
    <w:rsid w:val="0012744F"/>
    <w:rsid w:val="00127A72"/>
    <w:rsid w:val="00127AC1"/>
    <w:rsid w:val="00127D71"/>
    <w:rsid w:val="00141C53"/>
    <w:rsid w:val="00146144"/>
    <w:rsid w:val="0014622E"/>
    <w:rsid w:val="001473A2"/>
    <w:rsid w:val="00160AD0"/>
    <w:rsid w:val="00161C71"/>
    <w:rsid w:val="001658D1"/>
    <w:rsid w:val="0017267D"/>
    <w:rsid w:val="00176598"/>
    <w:rsid w:val="00182156"/>
    <w:rsid w:val="00191174"/>
    <w:rsid w:val="001925A6"/>
    <w:rsid w:val="00193F0B"/>
    <w:rsid w:val="001A25A3"/>
    <w:rsid w:val="001A4B02"/>
    <w:rsid w:val="001C5228"/>
    <w:rsid w:val="001D4E8C"/>
    <w:rsid w:val="001E02C5"/>
    <w:rsid w:val="001F3D85"/>
    <w:rsid w:val="001F5265"/>
    <w:rsid w:val="001F6F05"/>
    <w:rsid w:val="001F7349"/>
    <w:rsid w:val="001F7C18"/>
    <w:rsid w:val="00201AD2"/>
    <w:rsid w:val="00203706"/>
    <w:rsid w:val="002129D5"/>
    <w:rsid w:val="00227C84"/>
    <w:rsid w:val="002352B7"/>
    <w:rsid w:val="00237ABE"/>
    <w:rsid w:val="00282385"/>
    <w:rsid w:val="002906CD"/>
    <w:rsid w:val="0029112D"/>
    <w:rsid w:val="002B3D9A"/>
    <w:rsid w:val="002B5AC2"/>
    <w:rsid w:val="002B7D7C"/>
    <w:rsid w:val="002C73F3"/>
    <w:rsid w:val="002D447D"/>
    <w:rsid w:val="002E4D0E"/>
    <w:rsid w:val="002F169C"/>
    <w:rsid w:val="002F2A56"/>
    <w:rsid w:val="00301212"/>
    <w:rsid w:val="00312AE2"/>
    <w:rsid w:val="00314F91"/>
    <w:rsid w:val="00314FEB"/>
    <w:rsid w:val="00315919"/>
    <w:rsid w:val="00322474"/>
    <w:rsid w:val="003500A0"/>
    <w:rsid w:val="00357220"/>
    <w:rsid w:val="003617C8"/>
    <w:rsid w:val="0036479C"/>
    <w:rsid w:val="003701A4"/>
    <w:rsid w:val="003746D1"/>
    <w:rsid w:val="0037737C"/>
    <w:rsid w:val="0039481F"/>
    <w:rsid w:val="003A051C"/>
    <w:rsid w:val="003A7AD4"/>
    <w:rsid w:val="003A7E12"/>
    <w:rsid w:val="003B1BEF"/>
    <w:rsid w:val="003B64F1"/>
    <w:rsid w:val="003C4C1C"/>
    <w:rsid w:val="003C7AF8"/>
    <w:rsid w:val="003D1EA8"/>
    <w:rsid w:val="003E4D51"/>
    <w:rsid w:val="003F0770"/>
    <w:rsid w:val="00402B2A"/>
    <w:rsid w:val="00411AA9"/>
    <w:rsid w:val="00412B0C"/>
    <w:rsid w:val="004134A1"/>
    <w:rsid w:val="00417CB4"/>
    <w:rsid w:val="00425ED0"/>
    <w:rsid w:val="00426146"/>
    <w:rsid w:val="0043103E"/>
    <w:rsid w:val="00432524"/>
    <w:rsid w:val="00436C04"/>
    <w:rsid w:val="00446103"/>
    <w:rsid w:val="0045132B"/>
    <w:rsid w:val="00451FE3"/>
    <w:rsid w:val="00461FBD"/>
    <w:rsid w:val="0046735E"/>
    <w:rsid w:val="0047020B"/>
    <w:rsid w:val="004703F9"/>
    <w:rsid w:val="00474664"/>
    <w:rsid w:val="00482803"/>
    <w:rsid w:val="00483DDE"/>
    <w:rsid w:val="00491E64"/>
    <w:rsid w:val="00497CD3"/>
    <w:rsid w:val="004D152F"/>
    <w:rsid w:val="004E624B"/>
    <w:rsid w:val="004E7DA8"/>
    <w:rsid w:val="004F089D"/>
    <w:rsid w:val="004F155D"/>
    <w:rsid w:val="00504CB0"/>
    <w:rsid w:val="00505490"/>
    <w:rsid w:val="00531226"/>
    <w:rsid w:val="005543F4"/>
    <w:rsid w:val="00561A8F"/>
    <w:rsid w:val="00565607"/>
    <w:rsid w:val="00573129"/>
    <w:rsid w:val="00575452"/>
    <w:rsid w:val="005778B2"/>
    <w:rsid w:val="00592C54"/>
    <w:rsid w:val="005963C7"/>
    <w:rsid w:val="00597F33"/>
    <w:rsid w:val="005A16E2"/>
    <w:rsid w:val="005A3CFD"/>
    <w:rsid w:val="005A705A"/>
    <w:rsid w:val="005C09AB"/>
    <w:rsid w:val="005C0D93"/>
    <w:rsid w:val="005C1CD6"/>
    <w:rsid w:val="005C1EE7"/>
    <w:rsid w:val="005C3FA4"/>
    <w:rsid w:val="005C77F7"/>
    <w:rsid w:val="005D7D3C"/>
    <w:rsid w:val="005E3AE4"/>
    <w:rsid w:val="005F0885"/>
    <w:rsid w:val="0060410F"/>
    <w:rsid w:val="00605BF5"/>
    <w:rsid w:val="0061491B"/>
    <w:rsid w:val="00623054"/>
    <w:rsid w:val="00623135"/>
    <w:rsid w:val="0063491F"/>
    <w:rsid w:val="006375EC"/>
    <w:rsid w:val="00637609"/>
    <w:rsid w:val="006404D2"/>
    <w:rsid w:val="00644CCF"/>
    <w:rsid w:val="00647992"/>
    <w:rsid w:val="00653F95"/>
    <w:rsid w:val="00664C08"/>
    <w:rsid w:val="00667B58"/>
    <w:rsid w:val="00672A42"/>
    <w:rsid w:val="006806D5"/>
    <w:rsid w:val="006846AC"/>
    <w:rsid w:val="00694C12"/>
    <w:rsid w:val="0069742B"/>
    <w:rsid w:val="006A3898"/>
    <w:rsid w:val="006B1953"/>
    <w:rsid w:val="006C3587"/>
    <w:rsid w:val="006D1C04"/>
    <w:rsid w:val="006E6A7E"/>
    <w:rsid w:val="0070269C"/>
    <w:rsid w:val="00704603"/>
    <w:rsid w:val="00706CB2"/>
    <w:rsid w:val="0071487E"/>
    <w:rsid w:val="00720969"/>
    <w:rsid w:val="00721F7D"/>
    <w:rsid w:val="007355DB"/>
    <w:rsid w:val="007558CA"/>
    <w:rsid w:val="00774DA3"/>
    <w:rsid w:val="00774DFB"/>
    <w:rsid w:val="0078658C"/>
    <w:rsid w:val="007932E3"/>
    <w:rsid w:val="007B159B"/>
    <w:rsid w:val="007B1800"/>
    <w:rsid w:val="007B4BE7"/>
    <w:rsid w:val="007C6D3C"/>
    <w:rsid w:val="007E35A7"/>
    <w:rsid w:val="007E5258"/>
    <w:rsid w:val="00812CF8"/>
    <w:rsid w:val="00815A34"/>
    <w:rsid w:val="00816D85"/>
    <w:rsid w:val="00820019"/>
    <w:rsid w:val="00822C0B"/>
    <w:rsid w:val="008453EA"/>
    <w:rsid w:val="00846078"/>
    <w:rsid w:val="00850185"/>
    <w:rsid w:val="00863254"/>
    <w:rsid w:val="00865AC9"/>
    <w:rsid w:val="00876312"/>
    <w:rsid w:val="00882346"/>
    <w:rsid w:val="008902EA"/>
    <w:rsid w:val="008910E5"/>
    <w:rsid w:val="008B7615"/>
    <w:rsid w:val="008C179C"/>
    <w:rsid w:val="008E2A8E"/>
    <w:rsid w:val="008E74FC"/>
    <w:rsid w:val="00904392"/>
    <w:rsid w:val="009066E4"/>
    <w:rsid w:val="00907667"/>
    <w:rsid w:val="00914D33"/>
    <w:rsid w:val="00951BAE"/>
    <w:rsid w:val="009562FE"/>
    <w:rsid w:val="00966534"/>
    <w:rsid w:val="00976384"/>
    <w:rsid w:val="009810F4"/>
    <w:rsid w:val="0098650F"/>
    <w:rsid w:val="0098783F"/>
    <w:rsid w:val="00994C75"/>
    <w:rsid w:val="009A3AC7"/>
    <w:rsid w:val="009A3E4D"/>
    <w:rsid w:val="009B34B0"/>
    <w:rsid w:val="009C5FB5"/>
    <w:rsid w:val="009C6130"/>
    <w:rsid w:val="009C75F2"/>
    <w:rsid w:val="009D008F"/>
    <w:rsid w:val="009D1D98"/>
    <w:rsid w:val="009D5116"/>
    <w:rsid w:val="00A00EFD"/>
    <w:rsid w:val="00A162FE"/>
    <w:rsid w:val="00A17C43"/>
    <w:rsid w:val="00A24C3D"/>
    <w:rsid w:val="00A27A12"/>
    <w:rsid w:val="00A35C76"/>
    <w:rsid w:val="00A41E97"/>
    <w:rsid w:val="00A42F21"/>
    <w:rsid w:val="00A65887"/>
    <w:rsid w:val="00A676E2"/>
    <w:rsid w:val="00A738FF"/>
    <w:rsid w:val="00A876E8"/>
    <w:rsid w:val="00A94760"/>
    <w:rsid w:val="00A94D65"/>
    <w:rsid w:val="00A95032"/>
    <w:rsid w:val="00A962EC"/>
    <w:rsid w:val="00AA0896"/>
    <w:rsid w:val="00AA363E"/>
    <w:rsid w:val="00AA5526"/>
    <w:rsid w:val="00AB243C"/>
    <w:rsid w:val="00AC0C6C"/>
    <w:rsid w:val="00AC5BED"/>
    <w:rsid w:val="00AC63F3"/>
    <w:rsid w:val="00AD3946"/>
    <w:rsid w:val="00AE1F84"/>
    <w:rsid w:val="00AF6997"/>
    <w:rsid w:val="00B02B72"/>
    <w:rsid w:val="00B13D77"/>
    <w:rsid w:val="00B146DB"/>
    <w:rsid w:val="00B23089"/>
    <w:rsid w:val="00B301C2"/>
    <w:rsid w:val="00B33193"/>
    <w:rsid w:val="00B35BB6"/>
    <w:rsid w:val="00B43833"/>
    <w:rsid w:val="00B51BF0"/>
    <w:rsid w:val="00B54147"/>
    <w:rsid w:val="00B54D56"/>
    <w:rsid w:val="00B63309"/>
    <w:rsid w:val="00B634F0"/>
    <w:rsid w:val="00B65EB7"/>
    <w:rsid w:val="00B75BFC"/>
    <w:rsid w:val="00B913CD"/>
    <w:rsid w:val="00B931FD"/>
    <w:rsid w:val="00BA1F22"/>
    <w:rsid w:val="00BB2235"/>
    <w:rsid w:val="00BB5F3B"/>
    <w:rsid w:val="00BB7B32"/>
    <w:rsid w:val="00BC33C1"/>
    <w:rsid w:val="00BC6571"/>
    <w:rsid w:val="00BD160F"/>
    <w:rsid w:val="00BD5B24"/>
    <w:rsid w:val="00BE19F8"/>
    <w:rsid w:val="00BF3D42"/>
    <w:rsid w:val="00BF71BC"/>
    <w:rsid w:val="00C015AE"/>
    <w:rsid w:val="00C02F7E"/>
    <w:rsid w:val="00C03C82"/>
    <w:rsid w:val="00C05200"/>
    <w:rsid w:val="00C0674D"/>
    <w:rsid w:val="00C2610F"/>
    <w:rsid w:val="00C34064"/>
    <w:rsid w:val="00C35A86"/>
    <w:rsid w:val="00C41B06"/>
    <w:rsid w:val="00C457CE"/>
    <w:rsid w:val="00C46052"/>
    <w:rsid w:val="00C51E53"/>
    <w:rsid w:val="00C616B6"/>
    <w:rsid w:val="00C623AE"/>
    <w:rsid w:val="00C65E0C"/>
    <w:rsid w:val="00C70256"/>
    <w:rsid w:val="00C72895"/>
    <w:rsid w:val="00C82025"/>
    <w:rsid w:val="00C86719"/>
    <w:rsid w:val="00C90AED"/>
    <w:rsid w:val="00CA04A2"/>
    <w:rsid w:val="00CA0B18"/>
    <w:rsid w:val="00CA1030"/>
    <w:rsid w:val="00CA69FC"/>
    <w:rsid w:val="00CC1B67"/>
    <w:rsid w:val="00CC5D87"/>
    <w:rsid w:val="00CD1159"/>
    <w:rsid w:val="00CD4216"/>
    <w:rsid w:val="00CE15DC"/>
    <w:rsid w:val="00CE2489"/>
    <w:rsid w:val="00CE29CA"/>
    <w:rsid w:val="00CE4177"/>
    <w:rsid w:val="00CE7915"/>
    <w:rsid w:val="00D017E6"/>
    <w:rsid w:val="00D01F6E"/>
    <w:rsid w:val="00D021A1"/>
    <w:rsid w:val="00D26BB8"/>
    <w:rsid w:val="00D31C51"/>
    <w:rsid w:val="00D3309A"/>
    <w:rsid w:val="00D411FD"/>
    <w:rsid w:val="00D669BA"/>
    <w:rsid w:val="00D70FA1"/>
    <w:rsid w:val="00D75F54"/>
    <w:rsid w:val="00D95C43"/>
    <w:rsid w:val="00DA7081"/>
    <w:rsid w:val="00DB105B"/>
    <w:rsid w:val="00DB171F"/>
    <w:rsid w:val="00DB4885"/>
    <w:rsid w:val="00DB4C1D"/>
    <w:rsid w:val="00DB4F92"/>
    <w:rsid w:val="00DB65A0"/>
    <w:rsid w:val="00DB7F73"/>
    <w:rsid w:val="00DD19E2"/>
    <w:rsid w:val="00DE0FF3"/>
    <w:rsid w:val="00DE1976"/>
    <w:rsid w:val="00DF10D4"/>
    <w:rsid w:val="00DF68C0"/>
    <w:rsid w:val="00E05FB6"/>
    <w:rsid w:val="00E13D16"/>
    <w:rsid w:val="00E213F6"/>
    <w:rsid w:val="00E3391E"/>
    <w:rsid w:val="00E4369A"/>
    <w:rsid w:val="00E557BF"/>
    <w:rsid w:val="00E616F2"/>
    <w:rsid w:val="00E65603"/>
    <w:rsid w:val="00E70A04"/>
    <w:rsid w:val="00E86A77"/>
    <w:rsid w:val="00E97E5F"/>
    <w:rsid w:val="00EA75E1"/>
    <w:rsid w:val="00EC0ED2"/>
    <w:rsid w:val="00EC20B8"/>
    <w:rsid w:val="00EC245B"/>
    <w:rsid w:val="00ED25FB"/>
    <w:rsid w:val="00ED262F"/>
    <w:rsid w:val="00EE4206"/>
    <w:rsid w:val="00EE6C4E"/>
    <w:rsid w:val="00EF3506"/>
    <w:rsid w:val="00EF6732"/>
    <w:rsid w:val="00EF6C39"/>
    <w:rsid w:val="00F01297"/>
    <w:rsid w:val="00F113A4"/>
    <w:rsid w:val="00F2161A"/>
    <w:rsid w:val="00F25571"/>
    <w:rsid w:val="00F35835"/>
    <w:rsid w:val="00F42299"/>
    <w:rsid w:val="00F432ED"/>
    <w:rsid w:val="00F45E9D"/>
    <w:rsid w:val="00F47133"/>
    <w:rsid w:val="00F52678"/>
    <w:rsid w:val="00F56D0E"/>
    <w:rsid w:val="00F624FA"/>
    <w:rsid w:val="00F733DE"/>
    <w:rsid w:val="00F74C40"/>
    <w:rsid w:val="00F75066"/>
    <w:rsid w:val="00F8013B"/>
    <w:rsid w:val="00F859C0"/>
    <w:rsid w:val="00F85EA0"/>
    <w:rsid w:val="00F904DD"/>
    <w:rsid w:val="00F92358"/>
    <w:rsid w:val="00F974D8"/>
    <w:rsid w:val="00FB0EA6"/>
    <w:rsid w:val="00FC0869"/>
    <w:rsid w:val="00FC4ED8"/>
    <w:rsid w:val="00FC68A7"/>
    <w:rsid w:val="00FD2661"/>
    <w:rsid w:val="00FD30BC"/>
    <w:rsid w:val="00FD37BB"/>
    <w:rsid w:val="00FD5D72"/>
    <w:rsid w:val="00FE1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15AD9D"/>
  <w15:docId w15:val="{FCDA4923-0D08-433D-9D07-FA8DA622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ind w:left="567" w:hanging="567"/>
    </w:pPr>
    <w:rPr>
      <w:sz w:val="22"/>
      <w:szCs w:val="28"/>
    </w:rPr>
  </w:style>
  <w:style w:type="paragraph" w:styleId="Nagwek1">
    <w:name w:val="heading 1"/>
    <w:basedOn w:val="Normalny"/>
    <w:next w:val="Normalny"/>
    <w:qFormat/>
    <w:pPr>
      <w:tabs>
        <w:tab w:val="left" w:pos="567"/>
      </w:tabs>
      <w:spacing w:before="240" w:after="120" w:line="260" w:lineRule="exact"/>
      <w:ind w:left="357" w:hanging="357"/>
      <w:outlineLvl w:val="0"/>
    </w:pPr>
    <w:rPr>
      <w:b/>
      <w:caps/>
      <w:sz w:val="26"/>
      <w:szCs w:val="20"/>
      <w:lang w:val="en-US" w:eastAsia="en-US"/>
    </w:rPr>
  </w:style>
  <w:style w:type="paragraph" w:styleId="Nagwek2">
    <w:name w:val="heading 2"/>
    <w:basedOn w:val="Normalny"/>
    <w:next w:val="Normalny"/>
    <w:qFormat/>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Nagwek3">
    <w:name w:val="heading 3"/>
    <w:basedOn w:val="Normalny"/>
    <w:next w:val="Normalny"/>
    <w:qFormat/>
    <w:pPr>
      <w:keepNext/>
      <w:keepLines/>
      <w:tabs>
        <w:tab w:val="left" w:pos="567"/>
      </w:tabs>
      <w:spacing w:before="120" w:after="80" w:line="260" w:lineRule="exact"/>
      <w:ind w:left="0" w:firstLine="0"/>
      <w:outlineLvl w:val="2"/>
    </w:pPr>
    <w:rPr>
      <w:b/>
      <w:kern w:val="28"/>
      <w:sz w:val="24"/>
      <w:szCs w:val="20"/>
      <w:lang w:val="en-US" w:eastAsia="en-US"/>
    </w:rPr>
  </w:style>
  <w:style w:type="paragraph" w:styleId="Nagwek4">
    <w:name w:val="heading 4"/>
    <w:basedOn w:val="Normalny"/>
    <w:next w:val="Normalny"/>
    <w:qFormat/>
    <w:pPr>
      <w:keepNext/>
      <w:tabs>
        <w:tab w:val="left" w:pos="567"/>
      </w:tabs>
      <w:spacing w:line="260" w:lineRule="exact"/>
      <w:ind w:left="0" w:firstLine="0"/>
      <w:jc w:val="both"/>
      <w:outlineLvl w:val="3"/>
    </w:pPr>
    <w:rPr>
      <w:b/>
      <w:noProof/>
      <w:szCs w:val="20"/>
      <w:lang w:val="cs-CZ" w:eastAsia="en-US"/>
    </w:rPr>
  </w:style>
  <w:style w:type="paragraph" w:styleId="Nagwek5">
    <w:name w:val="heading 5"/>
    <w:basedOn w:val="Normalny"/>
    <w:next w:val="Normalny"/>
    <w:qFormat/>
    <w:pPr>
      <w:keepNext/>
      <w:tabs>
        <w:tab w:val="left" w:pos="567"/>
      </w:tabs>
      <w:spacing w:line="260" w:lineRule="exact"/>
      <w:ind w:left="0" w:firstLine="0"/>
      <w:jc w:val="both"/>
      <w:outlineLvl w:val="4"/>
    </w:pPr>
    <w:rPr>
      <w:noProof/>
      <w:szCs w:val="20"/>
      <w:lang w:val="cs-CZ" w:eastAsia="en-US"/>
    </w:rPr>
  </w:style>
  <w:style w:type="paragraph" w:styleId="Nagwek6">
    <w:name w:val="heading 6"/>
    <w:basedOn w:val="Normalny"/>
    <w:next w:val="Normalny"/>
    <w:qFormat/>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Nagwek7">
    <w:name w:val="heading 7"/>
    <w:basedOn w:val="Normalny"/>
    <w:next w:val="Normalny"/>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Nagwek8">
    <w:name w:val="heading 8"/>
    <w:basedOn w:val="Normalny"/>
    <w:next w:val="Normalny"/>
    <w:qFormat/>
    <w:pPr>
      <w:keepNext/>
      <w:tabs>
        <w:tab w:val="left" w:pos="567"/>
      </w:tabs>
      <w:spacing w:line="260" w:lineRule="exact"/>
      <w:jc w:val="both"/>
      <w:outlineLvl w:val="7"/>
    </w:pPr>
    <w:rPr>
      <w:b/>
      <w:i/>
      <w:szCs w:val="20"/>
      <w:lang w:val="cs-CZ" w:eastAsia="en-US"/>
    </w:rPr>
  </w:style>
  <w:style w:type="paragraph" w:styleId="Nagwek9">
    <w:name w:val="heading 9"/>
    <w:basedOn w:val="Normalny"/>
    <w:next w:val="Normalny"/>
    <w:qFormat/>
    <w:pPr>
      <w:keepNext/>
      <w:tabs>
        <w:tab w:val="left" w:pos="567"/>
      </w:tabs>
      <w:spacing w:line="260" w:lineRule="exact"/>
      <w:ind w:left="0" w:firstLine="0"/>
      <w:jc w:val="both"/>
      <w:outlineLvl w:val="8"/>
    </w:pPr>
    <w:rPr>
      <w:b/>
      <w:i/>
      <w:szCs w:val="20"/>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left" w:pos="567"/>
        <w:tab w:val="center" w:pos="4536"/>
        <w:tab w:val="center" w:pos="8930"/>
      </w:tabs>
      <w:ind w:left="0" w:firstLine="0"/>
    </w:pPr>
    <w:rPr>
      <w:rFonts w:ascii="Helvetica" w:hAnsi="Helvetica"/>
      <w:sz w:val="16"/>
      <w:szCs w:val="20"/>
      <w:lang w:val="cs-CZ" w:eastAsia="en-US"/>
    </w:rPr>
  </w:style>
  <w:style w:type="character" w:styleId="Numerstrony">
    <w:name w:val="page number"/>
    <w:basedOn w:val="Domylnaczcionkaakapitu"/>
  </w:style>
  <w:style w:type="paragraph" w:styleId="Nagwek">
    <w:name w:val="header"/>
    <w:basedOn w:val="Normalny"/>
    <w:pPr>
      <w:tabs>
        <w:tab w:val="left" w:pos="567"/>
        <w:tab w:val="center" w:pos="4153"/>
        <w:tab w:val="right" w:pos="8306"/>
      </w:tabs>
      <w:ind w:left="0" w:firstLine="0"/>
    </w:pPr>
    <w:rPr>
      <w:rFonts w:ascii="Helvetica" w:hAnsi="Helvetica"/>
      <w:sz w:val="20"/>
      <w:szCs w:val="20"/>
      <w:lang w:val="cs-CZ" w:eastAsia="en-US"/>
    </w:rPr>
  </w:style>
  <w:style w:type="character" w:styleId="Hipercze">
    <w:name w:val="Hyperlink"/>
    <w:rPr>
      <w:color w:val="0000FF"/>
      <w:u w:val="single"/>
    </w:rPr>
  </w:style>
  <w:style w:type="paragraph" w:styleId="Tekstpodstawowy">
    <w:name w:val="Body Text"/>
    <w:basedOn w:val="Normalny"/>
    <w:pPr>
      <w:ind w:left="0" w:firstLine="0"/>
    </w:pPr>
    <w:rPr>
      <w:noProof/>
    </w:r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character" w:styleId="Odwoaniedokomentarza">
    <w:name w:val="annotation reference"/>
    <w:semiHidden/>
    <w:rsid w:val="00127D71"/>
    <w:rPr>
      <w:sz w:val="16"/>
      <w:szCs w:val="16"/>
    </w:rPr>
  </w:style>
  <w:style w:type="paragraph" w:styleId="Tekstkomentarza">
    <w:name w:val="annotation text"/>
    <w:basedOn w:val="Normalny"/>
    <w:link w:val="TekstkomentarzaZnak"/>
    <w:uiPriority w:val="99"/>
    <w:semiHidden/>
    <w:rsid w:val="00127D71"/>
    <w:rPr>
      <w:sz w:val="20"/>
      <w:szCs w:val="20"/>
    </w:rPr>
  </w:style>
  <w:style w:type="paragraph" w:styleId="Tematkomentarza">
    <w:name w:val="annotation subject"/>
    <w:basedOn w:val="Tekstkomentarza"/>
    <w:next w:val="Tekstkomentarza"/>
    <w:semiHidden/>
    <w:rsid w:val="00127D71"/>
    <w:rPr>
      <w:b/>
      <w:bCs/>
    </w:rPr>
  </w:style>
  <w:style w:type="paragraph" w:customStyle="1" w:styleId="Default">
    <w:name w:val="Default"/>
    <w:rsid w:val="00315919"/>
    <w:pPr>
      <w:autoSpaceDE w:val="0"/>
      <w:autoSpaceDN w:val="0"/>
      <w:adjustRightInd w:val="0"/>
    </w:pPr>
    <w:rPr>
      <w:rFonts w:ascii="Verdana" w:hAnsi="Verdana" w:cs="Verdana"/>
      <w:color w:val="000000"/>
      <w:sz w:val="24"/>
      <w:szCs w:val="24"/>
    </w:rPr>
  </w:style>
  <w:style w:type="paragraph" w:styleId="Akapitzlist">
    <w:name w:val="List Paragraph"/>
    <w:basedOn w:val="Normalny"/>
    <w:uiPriority w:val="34"/>
    <w:qFormat/>
    <w:rsid w:val="000D23EF"/>
    <w:pPr>
      <w:ind w:left="720"/>
      <w:contextualSpacing/>
    </w:pPr>
  </w:style>
  <w:style w:type="character" w:styleId="Uwydatnienie">
    <w:name w:val="Emphasis"/>
    <w:basedOn w:val="Domylnaczcionkaakapitu"/>
    <w:uiPriority w:val="20"/>
    <w:qFormat/>
    <w:rsid w:val="00160AD0"/>
    <w:rPr>
      <w:i/>
      <w:iCs/>
    </w:rPr>
  </w:style>
  <w:style w:type="paragraph" w:styleId="Poprawka">
    <w:name w:val="Revision"/>
    <w:hidden/>
    <w:uiPriority w:val="99"/>
    <w:semiHidden/>
    <w:rsid w:val="00161C71"/>
    <w:rPr>
      <w:sz w:val="22"/>
      <w:szCs w:val="28"/>
    </w:rPr>
  </w:style>
  <w:style w:type="character" w:customStyle="1" w:styleId="TekstkomentarzaZnak">
    <w:name w:val="Tekst komentarza Znak"/>
    <w:basedOn w:val="Domylnaczcionkaakapitu"/>
    <w:link w:val="Tekstkomentarza"/>
    <w:uiPriority w:val="99"/>
    <w:semiHidden/>
    <w:rsid w:val="00BD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z.ezdrow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7CF3-18C8-4AD0-B1AE-7445418B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13975</Characters>
  <Application>Microsoft Office Word</Application>
  <DocSecurity>0</DocSecurity>
  <Lines>116</Lines>
  <Paragraphs>31</Paragraphs>
  <ScaleCrop>false</ScaleCrop>
  <HeadingPairs>
    <vt:vector size="2" baseType="variant">
      <vt:variant>
        <vt:lpstr>Tytuł</vt:lpstr>
      </vt:variant>
      <vt:variant>
        <vt:i4>1</vt:i4>
      </vt:variant>
    </vt:vector>
  </HeadingPairs>
  <TitlesOfParts>
    <vt:vector size="1" baseType="lpstr">
      <vt:lpstr>Hreferralspctrackpl</vt:lpstr>
    </vt:vector>
  </TitlesOfParts>
  <Company>EMEA</Company>
  <LinksUpToDate>false</LinksUpToDate>
  <CharactersWithSpaces>15910</CharactersWithSpaces>
  <SharedDoc>false</SharedDoc>
  <HLinks>
    <vt:vector size="6" baseType="variant">
      <vt:variant>
        <vt:i4>6684689</vt:i4>
      </vt:variant>
      <vt:variant>
        <vt:i4>0</vt:i4>
      </vt:variant>
      <vt:variant>
        <vt:i4>0</vt:i4>
      </vt:variant>
      <vt:variant>
        <vt:i4>5</vt:i4>
      </vt:variant>
      <vt:variant>
        <vt:lpwstr>mailto:ndl@urpl.gov.pl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Hreferralspctrackpl</dc:title>
  <dc:subject>General-EMA/53561/2010</dc:subject>
  <dc:creator>Slychan, Marcin</dc:creator>
  <cp:lastModifiedBy>Buszko, Patrycja</cp:lastModifiedBy>
  <cp:revision>60</cp:revision>
  <cp:lastPrinted>2003-12-06T12:34:00Z</cp:lastPrinted>
  <dcterms:created xsi:type="dcterms:W3CDTF">2022-08-19T10:00:00Z</dcterms:created>
  <dcterms:modified xsi:type="dcterms:W3CDTF">2022-09-08T10:52:00Z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53561</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General-EMA/53561/2010</vt:lpwstr>
  </property>
  <property fmtid="{D5CDD505-2E9C-101B-9397-08002B2CF9AE}" pid="30" name="DM_Version">
    <vt:lpwstr>CURRENT,1.6</vt:lpwstr>
  </property>
  <property fmtid="{D5CDD505-2E9C-101B-9397-08002B2CF9AE}" pid="31" name="DM_Name">
    <vt:lpwstr>Hreferralspctrackpl</vt:lpwstr>
  </property>
  <property fmtid="{D5CDD505-2E9C-101B-9397-08002B2CF9AE}" pid="32" name="DM_Creation_Date">
    <vt:lpwstr>11/08/2011 16:49:55</vt:lpwstr>
  </property>
  <property fmtid="{D5CDD505-2E9C-101B-9397-08002B2CF9AE}" pid="33" name="DM_Modify_Date">
    <vt:lpwstr>11/08/2011 16:55:13</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EMA/358517/2011</vt:lpwstr>
  </property>
  <property fmtid="{D5CDD505-2E9C-101B-9397-08002B2CF9AE}" pid="38" name="DM_Category">
    <vt:lpwstr>Product Information</vt:lpwstr>
  </property>
  <property fmtid="{D5CDD505-2E9C-101B-9397-08002B2CF9AE}" pid="39" name="DM_Path">
    <vt:lpwstr>/Old EDMS Structure/Meetings/Scientific Meetings/Q R D - P I Q/14 QRD Templates &amp; Ref. doc on web/00 QRD Ext. website &amp; File new/03 QRD H-Referral templates/03 H Referral template v 2.0/v.2 tracked</vt:lpwstr>
  </property>
  <property fmtid="{D5CDD505-2E9C-101B-9397-08002B2CF9AE}" pid="40" name="DM_emea_doc_ref_id">
    <vt:lpwstr>EMA/358517/2011</vt:lpwstr>
  </property>
  <property fmtid="{D5CDD505-2E9C-101B-9397-08002B2CF9AE}" pid="41" name="DM_Modifer_Name">
    <vt:lpwstr>Espinasse Claire</vt:lpwstr>
  </property>
  <property fmtid="{D5CDD505-2E9C-101B-9397-08002B2CF9AE}" pid="42" name="DM_Modified_Date">
    <vt:lpwstr>11/08/2011 16:55:13</vt:lpwstr>
  </property>
</Properties>
</file>