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8C50" w14:textId="77777777" w:rsidR="00BF76C4" w:rsidRDefault="00BF76C4">
      <w:pPr>
        <w:jc w:val="both"/>
        <w:rPr>
          <w:b/>
          <w:sz w:val="22"/>
          <w:szCs w:val="22"/>
          <w:lang w:val="pl-PL"/>
        </w:rPr>
      </w:pPr>
    </w:p>
    <w:p w14:paraId="2671C017" w14:textId="77777777" w:rsidR="00BF76C4" w:rsidRDefault="00BF76C4" w:rsidP="00CD788D">
      <w:pPr>
        <w:ind w:firstLine="720"/>
        <w:jc w:val="center"/>
        <w:rPr>
          <w:b/>
          <w:sz w:val="22"/>
          <w:szCs w:val="22"/>
          <w:lang w:val="pl-PL"/>
        </w:rPr>
      </w:pPr>
      <w:r>
        <w:rPr>
          <w:b/>
          <w:sz w:val="22"/>
          <w:szCs w:val="22"/>
          <w:lang w:val="pl-PL"/>
        </w:rPr>
        <w:t>CHARAKTERYSTYKA PRODUKTU LECZNICZEGO</w:t>
      </w:r>
    </w:p>
    <w:p w14:paraId="74E302E7" w14:textId="77777777" w:rsidR="00BF76C4" w:rsidRDefault="00BF76C4">
      <w:pPr>
        <w:ind w:firstLine="720"/>
        <w:rPr>
          <w:b/>
          <w:sz w:val="22"/>
          <w:szCs w:val="22"/>
          <w:lang w:val="pl-PL"/>
        </w:rPr>
      </w:pPr>
    </w:p>
    <w:p w14:paraId="43F33BDF" w14:textId="77777777" w:rsidR="00BF76C4" w:rsidRDefault="00BF76C4">
      <w:pPr>
        <w:ind w:firstLine="720"/>
        <w:rPr>
          <w:b/>
          <w:sz w:val="22"/>
          <w:szCs w:val="22"/>
          <w:lang w:val="pl-PL"/>
        </w:rPr>
      </w:pPr>
    </w:p>
    <w:p w14:paraId="654CBFD6" w14:textId="77777777" w:rsidR="00EB67AE" w:rsidRPr="00830004" w:rsidRDefault="00BF76C4" w:rsidP="00EB67AE">
      <w:pPr>
        <w:ind w:right="-710" w:firstLine="11"/>
        <w:rPr>
          <w:b/>
          <w:caps/>
          <w:sz w:val="22"/>
          <w:szCs w:val="22"/>
          <w:lang w:val="pl-PL"/>
        </w:rPr>
      </w:pPr>
      <w:r>
        <w:rPr>
          <w:b/>
          <w:sz w:val="22"/>
          <w:szCs w:val="22"/>
          <w:lang w:val="pl-PL"/>
        </w:rPr>
        <w:t xml:space="preserve">1. </w:t>
      </w:r>
      <w:r>
        <w:rPr>
          <w:b/>
          <w:caps/>
          <w:sz w:val="22"/>
          <w:szCs w:val="22"/>
          <w:lang w:val="pl-PL"/>
        </w:rPr>
        <w:t>Nazwa Produktu leczniczego</w:t>
      </w:r>
    </w:p>
    <w:p w14:paraId="4C686F2D" w14:textId="77777777" w:rsidR="00EB67AE" w:rsidRPr="00070A08" w:rsidRDefault="00EB67AE" w:rsidP="00FC3A5E">
      <w:pPr>
        <w:ind w:right="-710" w:firstLine="11"/>
        <w:rPr>
          <w:lang w:val="pl-PL"/>
        </w:rPr>
      </w:pPr>
    </w:p>
    <w:p w14:paraId="5D7DE38B" w14:textId="77777777" w:rsidR="00BF76C4" w:rsidRPr="00FC3A5E" w:rsidRDefault="00BF76C4">
      <w:pPr>
        <w:pStyle w:val="Heading1"/>
        <w:spacing w:line="240" w:lineRule="auto"/>
        <w:ind w:left="0" w:right="-710"/>
        <w:jc w:val="left"/>
        <w:rPr>
          <w:sz w:val="22"/>
          <w:szCs w:val="22"/>
        </w:rPr>
      </w:pPr>
      <w:r w:rsidRPr="00FC3A5E">
        <w:rPr>
          <w:sz w:val="22"/>
          <w:szCs w:val="22"/>
        </w:rPr>
        <w:t xml:space="preserve">CLOBEDERM </w:t>
      </w:r>
    </w:p>
    <w:p w14:paraId="418F2F4D" w14:textId="77777777" w:rsidR="00BF76C4" w:rsidRPr="00FC3A5E" w:rsidRDefault="00BF76C4">
      <w:pPr>
        <w:pStyle w:val="Heading1"/>
        <w:spacing w:line="240" w:lineRule="auto"/>
        <w:ind w:left="0" w:right="-710"/>
        <w:jc w:val="left"/>
        <w:rPr>
          <w:sz w:val="22"/>
          <w:szCs w:val="22"/>
        </w:rPr>
      </w:pPr>
      <w:r w:rsidRPr="00FC3A5E">
        <w:rPr>
          <w:sz w:val="22"/>
          <w:szCs w:val="22"/>
        </w:rPr>
        <w:t>0,5 mg/g, maść</w:t>
      </w:r>
    </w:p>
    <w:p w14:paraId="2D1674B7" w14:textId="77777777" w:rsidR="00BF76C4" w:rsidRDefault="00BF76C4">
      <w:pPr>
        <w:jc w:val="both"/>
        <w:rPr>
          <w:caps/>
          <w:sz w:val="22"/>
          <w:szCs w:val="22"/>
          <w:lang w:val="pl-PL"/>
        </w:rPr>
      </w:pPr>
    </w:p>
    <w:p w14:paraId="51885EDB" w14:textId="77777777" w:rsidR="00764D9B" w:rsidRDefault="00764D9B">
      <w:pPr>
        <w:jc w:val="both"/>
        <w:rPr>
          <w:caps/>
          <w:sz w:val="22"/>
          <w:szCs w:val="22"/>
          <w:lang w:val="pl-PL"/>
        </w:rPr>
      </w:pPr>
    </w:p>
    <w:p w14:paraId="77ABD13F" w14:textId="77777777" w:rsidR="00BF76C4" w:rsidRDefault="00BF76C4">
      <w:pPr>
        <w:rPr>
          <w:b/>
          <w:caps/>
          <w:sz w:val="22"/>
          <w:szCs w:val="22"/>
          <w:lang w:val="pl-PL"/>
        </w:rPr>
      </w:pPr>
      <w:r>
        <w:rPr>
          <w:b/>
          <w:caps/>
          <w:sz w:val="22"/>
          <w:szCs w:val="22"/>
          <w:lang w:val="pl-PL"/>
        </w:rPr>
        <w:t xml:space="preserve">2. Skład jakościowy i ilościowy </w:t>
      </w:r>
    </w:p>
    <w:p w14:paraId="158747FD" w14:textId="77777777" w:rsidR="00EB67AE" w:rsidRDefault="00EB67AE">
      <w:pPr>
        <w:rPr>
          <w:sz w:val="22"/>
          <w:szCs w:val="22"/>
          <w:lang w:val="pl-PL"/>
        </w:rPr>
      </w:pPr>
    </w:p>
    <w:p w14:paraId="01E1702F" w14:textId="77777777" w:rsidR="00BF76C4" w:rsidRDefault="00BF76C4">
      <w:pPr>
        <w:rPr>
          <w:sz w:val="22"/>
          <w:szCs w:val="22"/>
          <w:lang w:val="pl-PL"/>
        </w:rPr>
      </w:pPr>
      <w:smartTag w:uri="urn:schemas-microsoft-com:office:smarttags" w:element="metricconverter">
        <w:smartTagPr>
          <w:attr w:name="ProductID" w:val="1 g"/>
        </w:smartTagPr>
        <w:r>
          <w:rPr>
            <w:sz w:val="22"/>
            <w:szCs w:val="22"/>
            <w:lang w:val="pl-PL"/>
          </w:rPr>
          <w:t>1 g</w:t>
        </w:r>
      </w:smartTag>
      <w:r>
        <w:rPr>
          <w:sz w:val="22"/>
          <w:szCs w:val="22"/>
          <w:lang w:val="pl-PL"/>
        </w:rPr>
        <w:t xml:space="preserve"> maści zawiera 0,5 mg klobetazolu propionianu (</w:t>
      </w:r>
      <w:r>
        <w:rPr>
          <w:i/>
          <w:sz w:val="22"/>
          <w:szCs w:val="22"/>
          <w:lang w:val="pl-PL"/>
        </w:rPr>
        <w:t>Clobetasoli propionas</w:t>
      </w:r>
      <w:r>
        <w:rPr>
          <w:sz w:val="22"/>
          <w:szCs w:val="22"/>
          <w:lang w:val="pl-PL"/>
        </w:rPr>
        <w:t>)</w:t>
      </w:r>
    </w:p>
    <w:p w14:paraId="40996230" w14:textId="77777777" w:rsidR="007274BD" w:rsidRDefault="007274BD">
      <w:pPr>
        <w:rPr>
          <w:sz w:val="22"/>
          <w:szCs w:val="22"/>
          <w:lang w:val="pl-PL"/>
        </w:rPr>
      </w:pPr>
    </w:p>
    <w:p w14:paraId="57589E3C" w14:textId="77777777" w:rsidR="00BF76C4" w:rsidRDefault="00BF76C4">
      <w:pPr>
        <w:jc w:val="both"/>
        <w:rPr>
          <w:sz w:val="22"/>
          <w:szCs w:val="22"/>
          <w:lang w:val="pl-PL"/>
        </w:rPr>
      </w:pPr>
      <w:r w:rsidRPr="00830004">
        <w:rPr>
          <w:sz w:val="22"/>
          <w:szCs w:val="22"/>
          <w:u w:val="single"/>
          <w:lang w:val="pl-PL"/>
        </w:rPr>
        <w:t>Substancje pomocnicze</w:t>
      </w:r>
      <w:r w:rsidR="00544034" w:rsidRPr="00830004">
        <w:rPr>
          <w:sz w:val="22"/>
          <w:szCs w:val="22"/>
          <w:u w:val="single"/>
          <w:lang w:val="pl-PL"/>
        </w:rPr>
        <w:t xml:space="preserve"> o znanym działaniu</w:t>
      </w:r>
      <w:r w:rsidRPr="00830004">
        <w:rPr>
          <w:sz w:val="22"/>
          <w:szCs w:val="22"/>
          <w:u w:val="single"/>
          <w:lang w:val="pl-PL"/>
        </w:rPr>
        <w:t xml:space="preserve">: </w:t>
      </w:r>
      <w:r>
        <w:rPr>
          <w:sz w:val="22"/>
          <w:szCs w:val="22"/>
          <w:lang w:val="pl-PL"/>
        </w:rPr>
        <w:t>glikol propylenowy</w:t>
      </w:r>
      <w:r w:rsidR="00544034">
        <w:rPr>
          <w:sz w:val="22"/>
          <w:szCs w:val="22"/>
          <w:lang w:val="pl-PL"/>
        </w:rPr>
        <w:t>.</w:t>
      </w:r>
    </w:p>
    <w:p w14:paraId="7DBB499F" w14:textId="77777777" w:rsidR="00BF76C4" w:rsidRDefault="00BF76C4">
      <w:pPr>
        <w:jc w:val="both"/>
        <w:rPr>
          <w:sz w:val="22"/>
          <w:szCs w:val="22"/>
          <w:lang w:val="pl-PL"/>
        </w:rPr>
      </w:pPr>
      <w:r>
        <w:rPr>
          <w:sz w:val="22"/>
          <w:szCs w:val="22"/>
          <w:lang w:val="pl-PL"/>
        </w:rPr>
        <w:t>Pełny wykaz substancji pomocniczych, patrz punkt 6.1</w:t>
      </w:r>
    </w:p>
    <w:p w14:paraId="15045333" w14:textId="77777777" w:rsidR="00764D9B" w:rsidRDefault="00764D9B">
      <w:pPr>
        <w:jc w:val="both"/>
        <w:rPr>
          <w:sz w:val="22"/>
          <w:szCs w:val="22"/>
          <w:lang w:val="pl-PL"/>
        </w:rPr>
      </w:pPr>
    </w:p>
    <w:p w14:paraId="61F87782" w14:textId="77777777" w:rsidR="00BF76C4" w:rsidRDefault="00BF76C4">
      <w:pPr>
        <w:rPr>
          <w:b/>
          <w:caps/>
          <w:sz w:val="22"/>
          <w:szCs w:val="22"/>
          <w:lang w:val="pl-PL"/>
        </w:rPr>
      </w:pPr>
    </w:p>
    <w:p w14:paraId="140DA7F9" w14:textId="77777777" w:rsidR="00BF76C4" w:rsidRDefault="00BF76C4">
      <w:pPr>
        <w:rPr>
          <w:b/>
          <w:caps/>
          <w:sz w:val="22"/>
          <w:szCs w:val="22"/>
          <w:lang w:val="pl-PL"/>
        </w:rPr>
      </w:pPr>
      <w:r>
        <w:rPr>
          <w:b/>
          <w:caps/>
          <w:sz w:val="22"/>
          <w:szCs w:val="22"/>
          <w:lang w:val="pl-PL"/>
        </w:rPr>
        <w:t>3. Postać farmaceutyczna</w:t>
      </w:r>
    </w:p>
    <w:p w14:paraId="6AF1A497" w14:textId="77777777" w:rsidR="00EB67AE" w:rsidRDefault="00EB67AE">
      <w:pPr>
        <w:rPr>
          <w:sz w:val="22"/>
          <w:szCs w:val="22"/>
          <w:lang w:val="pl-PL"/>
        </w:rPr>
      </w:pPr>
    </w:p>
    <w:p w14:paraId="53442A58" w14:textId="77777777" w:rsidR="00BF76C4" w:rsidRDefault="00BF76C4">
      <w:pPr>
        <w:rPr>
          <w:sz w:val="22"/>
          <w:szCs w:val="22"/>
          <w:lang w:val="pl-PL"/>
        </w:rPr>
      </w:pPr>
      <w:r>
        <w:rPr>
          <w:sz w:val="22"/>
          <w:szCs w:val="22"/>
          <w:lang w:val="pl-PL"/>
        </w:rPr>
        <w:t>Maść</w:t>
      </w:r>
    </w:p>
    <w:p w14:paraId="7919449D" w14:textId="77777777" w:rsidR="00BF76C4" w:rsidRDefault="00BF76C4">
      <w:pPr>
        <w:ind w:right="-710" w:firstLine="11"/>
        <w:rPr>
          <w:bCs/>
          <w:sz w:val="22"/>
          <w:szCs w:val="22"/>
          <w:lang w:val="pl-PL"/>
        </w:rPr>
      </w:pPr>
      <w:r>
        <w:rPr>
          <w:bCs/>
          <w:sz w:val="22"/>
          <w:szCs w:val="22"/>
          <w:lang w:val="pl-PL"/>
        </w:rPr>
        <w:t>Biała, półprzezroczysta maść</w:t>
      </w:r>
    </w:p>
    <w:p w14:paraId="596A2249" w14:textId="77777777" w:rsidR="00BF76C4" w:rsidRDefault="00BF76C4">
      <w:pPr>
        <w:ind w:right="-710" w:firstLine="11"/>
        <w:rPr>
          <w:b/>
          <w:caps/>
          <w:sz w:val="22"/>
          <w:szCs w:val="22"/>
          <w:lang w:val="pl-PL"/>
        </w:rPr>
      </w:pPr>
    </w:p>
    <w:p w14:paraId="57B2300C" w14:textId="77777777" w:rsidR="00764D9B" w:rsidRDefault="00764D9B">
      <w:pPr>
        <w:ind w:right="-710" w:firstLine="11"/>
        <w:rPr>
          <w:b/>
          <w:caps/>
          <w:sz w:val="22"/>
          <w:szCs w:val="22"/>
          <w:lang w:val="pl-PL"/>
        </w:rPr>
      </w:pPr>
    </w:p>
    <w:p w14:paraId="69EA1AEB" w14:textId="77777777" w:rsidR="00BF76C4" w:rsidRDefault="00BF76C4">
      <w:pPr>
        <w:ind w:right="-710" w:firstLine="11"/>
        <w:rPr>
          <w:b/>
          <w:caps/>
          <w:sz w:val="22"/>
          <w:szCs w:val="22"/>
          <w:lang w:val="pl-PL"/>
        </w:rPr>
      </w:pPr>
      <w:r>
        <w:rPr>
          <w:b/>
          <w:caps/>
          <w:sz w:val="22"/>
          <w:szCs w:val="22"/>
          <w:lang w:val="pl-PL"/>
        </w:rPr>
        <w:t>4. Szczegółowe dane kliniczne</w:t>
      </w:r>
    </w:p>
    <w:p w14:paraId="55178C0D" w14:textId="77777777" w:rsidR="00764D9B" w:rsidRDefault="00764D9B">
      <w:pPr>
        <w:ind w:right="-710" w:firstLine="11"/>
        <w:rPr>
          <w:b/>
          <w:sz w:val="22"/>
          <w:szCs w:val="22"/>
          <w:lang w:val="pl-PL"/>
        </w:rPr>
      </w:pPr>
    </w:p>
    <w:p w14:paraId="0364B108" w14:textId="77777777" w:rsidR="00BF76C4" w:rsidRDefault="00BF76C4">
      <w:pPr>
        <w:ind w:right="-710" w:firstLine="11"/>
        <w:rPr>
          <w:b/>
          <w:sz w:val="22"/>
          <w:szCs w:val="22"/>
          <w:lang w:val="pl-PL"/>
        </w:rPr>
      </w:pPr>
      <w:r>
        <w:rPr>
          <w:b/>
          <w:sz w:val="22"/>
          <w:szCs w:val="22"/>
          <w:lang w:val="pl-PL"/>
        </w:rPr>
        <w:t>4.1 Wskazania do stosowania</w:t>
      </w:r>
    </w:p>
    <w:p w14:paraId="48E83F5F" w14:textId="77777777" w:rsidR="00EB67AE" w:rsidRDefault="00EB67AE">
      <w:pPr>
        <w:ind w:right="-710" w:firstLine="11"/>
        <w:rPr>
          <w:b/>
          <w:sz w:val="22"/>
          <w:szCs w:val="22"/>
          <w:lang w:val="pl-PL"/>
        </w:rPr>
      </w:pPr>
    </w:p>
    <w:p w14:paraId="10D3F396" w14:textId="77777777" w:rsidR="00BF76C4" w:rsidRDefault="00BF76C4">
      <w:pPr>
        <w:rPr>
          <w:sz w:val="22"/>
          <w:szCs w:val="22"/>
          <w:lang w:val="pl-PL"/>
        </w:rPr>
      </w:pPr>
      <w:r>
        <w:rPr>
          <w:sz w:val="22"/>
          <w:szCs w:val="22"/>
          <w:lang w:val="pl-PL"/>
        </w:rPr>
        <w:t xml:space="preserve">Clobederm w postaci maści jest wskazany w krótkotrwałym miejscowym leczeniu ostrych i ciężkich, nie zakażonych, suchych stanów zapalnych skóry, reagujących na leczenie </w:t>
      </w:r>
      <w:r w:rsidRPr="00BF1BDB">
        <w:rPr>
          <w:sz w:val="22"/>
          <w:szCs w:val="22"/>
          <w:lang w:val="pl-PL"/>
        </w:rPr>
        <w:t>glikokortykosteroidami i przebiegających z uporczywym swędzeniem lub z nadmiernym</w:t>
      </w:r>
      <w:r>
        <w:rPr>
          <w:sz w:val="22"/>
          <w:szCs w:val="22"/>
          <w:lang w:val="pl-PL"/>
        </w:rPr>
        <w:t xml:space="preserve"> rogowaceniem, gdy zawiodło leczenie słabszymi glikokortykosteroidami. </w:t>
      </w:r>
    </w:p>
    <w:p w14:paraId="2E346D54" w14:textId="77777777" w:rsidR="00BF76C4" w:rsidRDefault="00BE1548">
      <w:pPr>
        <w:rPr>
          <w:sz w:val="22"/>
          <w:szCs w:val="22"/>
          <w:lang w:val="pl-PL"/>
        </w:rPr>
      </w:pPr>
      <w:r>
        <w:rPr>
          <w:sz w:val="22"/>
          <w:szCs w:val="22"/>
          <w:lang w:val="pl-PL"/>
        </w:rPr>
        <w:t xml:space="preserve">Maść </w:t>
      </w:r>
      <w:r w:rsidR="00BF76C4">
        <w:rPr>
          <w:sz w:val="22"/>
          <w:szCs w:val="22"/>
          <w:lang w:val="pl-PL"/>
        </w:rPr>
        <w:t>Clobederm wskazany jest w łojotokowym zapaleniu skóry, wyprysku kontaktowym, atopowym zapaleniu skóry, łuszczycy zadawnionej, liszaju rumieniowatym, rumieniu wielopostaciowym, toczniu rumieniowym dyskoidalnym, liszaju płaskim o nasilonym świądzie, wyprysku zliszajowaciałym.</w:t>
      </w:r>
    </w:p>
    <w:p w14:paraId="2C52ECF5" w14:textId="77777777" w:rsidR="00BF76C4" w:rsidRDefault="00BF76C4">
      <w:pPr>
        <w:pStyle w:val="BodyTextIndent"/>
        <w:spacing w:line="240" w:lineRule="auto"/>
        <w:ind w:left="0" w:right="-710"/>
        <w:jc w:val="left"/>
        <w:rPr>
          <w:b/>
          <w:sz w:val="22"/>
          <w:szCs w:val="22"/>
        </w:rPr>
      </w:pPr>
    </w:p>
    <w:p w14:paraId="04594AC0" w14:textId="77777777" w:rsidR="00AC047D" w:rsidRDefault="00BF76C4">
      <w:pPr>
        <w:ind w:right="-710" w:firstLine="11"/>
        <w:rPr>
          <w:b/>
          <w:sz w:val="22"/>
          <w:szCs w:val="22"/>
          <w:lang w:val="pl-PL"/>
        </w:rPr>
      </w:pPr>
      <w:r>
        <w:rPr>
          <w:b/>
          <w:sz w:val="22"/>
          <w:szCs w:val="22"/>
          <w:lang w:val="pl-PL"/>
        </w:rPr>
        <w:t>4.2 Dawkowanie i sposób podawania</w:t>
      </w:r>
    </w:p>
    <w:p w14:paraId="70954FC2" w14:textId="77777777" w:rsidR="006A1D7B" w:rsidRDefault="006A1D7B">
      <w:pPr>
        <w:ind w:right="-710" w:firstLine="11"/>
        <w:rPr>
          <w:b/>
          <w:sz w:val="22"/>
          <w:szCs w:val="22"/>
          <w:lang w:val="pl-PL"/>
        </w:rPr>
      </w:pPr>
    </w:p>
    <w:p w14:paraId="2B21C588" w14:textId="77777777" w:rsidR="00AE0DBC" w:rsidRPr="00AE0DBC" w:rsidRDefault="00AE0DBC" w:rsidP="0007713D">
      <w:pPr>
        <w:pBdr>
          <w:top w:val="single" w:sz="4" w:space="1" w:color="auto"/>
          <w:left w:val="single" w:sz="4" w:space="4" w:color="auto"/>
          <w:bottom w:val="single" w:sz="4" w:space="1" w:color="auto"/>
          <w:right w:val="single" w:sz="4" w:space="4" w:color="auto"/>
        </w:pBdr>
        <w:ind w:right="-2" w:firstLine="11"/>
        <w:rPr>
          <w:b/>
          <w:bCs/>
          <w:sz w:val="22"/>
          <w:lang w:val="pl-PL"/>
        </w:rPr>
      </w:pPr>
      <w:r w:rsidRPr="00AE0DBC">
        <w:rPr>
          <w:b/>
          <w:bCs/>
          <w:sz w:val="22"/>
          <w:lang w:val="pl-PL"/>
        </w:rPr>
        <w:t>Propionian klobetazolu należy do grupy najsilniej działających kortykosteroidów stosowanych miejscowo (grupa IV) i jego długotrwałe stosowanie może powodować ciężkie działania niepożądane (patrz punkt 4.4). Jeśli kontynuowanie leczenia kortykosteroidem stosowanym miejscowo jest klinicznie uzasadnione przez okres dłuższy niż 2 tygodnie, należy rozważyć zastosowanie słabiej działającego kortykosteroidu. Jeśli nastąpi zaostrzenie choroby, propionian klobetazolu można zastosować ponownie, ale przez krótki czas (patrz szczegóły poniżej).</w:t>
      </w:r>
    </w:p>
    <w:p w14:paraId="49A3B637" w14:textId="77777777" w:rsidR="00AE0DBC" w:rsidRDefault="00AE0DBC" w:rsidP="00B355CA">
      <w:pPr>
        <w:ind w:right="-710" w:firstLine="11"/>
        <w:rPr>
          <w:sz w:val="22"/>
          <w:szCs w:val="22"/>
          <w:u w:val="single"/>
          <w:lang w:val="pl-PL"/>
        </w:rPr>
      </w:pPr>
    </w:p>
    <w:p w14:paraId="28924495" w14:textId="77777777" w:rsidR="00BF76C4" w:rsidRPr="00070A08" w:rsidRDefault="00AC047D" w:rsidP="0007713D">
      <w:pPr>
        <w:ind w:right="-2" w:firstLine="11"/>
        <w:rPr>
          <w:lang w:val="pl-PL"/>
        </w:rPr>
      </w:pPr>
      <w:r w:rsidRPr="00FC3A5E">
        <w:rPr>
          <w:sz w:val="22"/>
          <w:szCs w:val="22"/>
          <w:u w:val="single"/>
          <w:lang w:val="pl-PL"/>
        </w:rPr>
        <w:t>Dawkowanie</w:t>
      </w:r>
    </w:p>
    <w:p w14:paraId="0E5DD17D" w14:textId="77777777" w:rsidR="00BF76C4" w:rsidRDefault="00BF76C4">
      <w:pPr>
        <w:pStyle w:val="BodyTextIndent"/>
        <w:spacing w:line="240" w:lineRule="auto"/>
        <w:ind w:left="0" w:right="-710"/>
        <w:jc w:val="left"/>
        <w:rPr>
          <w:sz w:val="22"/>
          <w:szCs w:val="22"/>
        </w:rPr>
      </w:pPr>
      <w:r>
        <w:rPr>
          <w:sz w:val="22"/>
          <w:szCs w:val="22"/>
        </w:rPr>
        <w:t xml:space="preserve">Leczenia nie należy prowadzić bez przerwy dłużej niż 2 tygodnie. </w:t>
      </w:r>
    </w:p>
    <w:p w14:paraId="403A5538" w14:textId="77777777" w:rsidR="00BF76C4" w:rsidRDefault="00BF76C4">
      <w:pPr>
        <w:pStyle w:val="BodyText"/>
        <w:tabs>
          <w:tab w:val="left" w:pos="1418"/>
          <w:tab w:val="left" w:pos="9072"/>
        </w:tabs>
        <w:rPr>
          <w:sz w:val="22"/>
          <w:szCs w:val="22"/>
          <w:lang w:val="pl-PL"/>
        </w:rPr>
      </w:pPr>
      <w:r>
        <w:rPr>
          <w:sz w:val="22"/>
          <w:szCs w:val="22"/>
          <w:lang w:val="pl-PL"/>
        </w:rPr>
        <w:t>Po uzyskaniu poprawy leczenie należy przerwać. Jeżeli niezbędne jest dalsze leczenie kortykosteroidami, należy stosować produkty lecznicze zawierające kortykosteroidy o mniejszej sile działania, zapewniające kontrolowanie objawów choroby.</w:t>
      </w:r>
    </w:p>
    <w:p w14:paraId="18E410A6" w14:textId="77777777" w:rsidR="00286C10" w:rsidRPr="00FC3A5E" w:rsidRDefault="009A2DAE">
      <w:pPr>
        <w:rPr>
          <w:i/>
          <w:sz w:val="22"/>
          <w:szCs w:val="22"/>
          <w:lang w:val="pl-PL"/>
        </w:rPr>
      </w:pPr>
      <w:r w:rsidRPr="00FC3A5E">
        <w:rPr>
          <w:i/>
          <w:sz w:val="22"/>
          <w:szCs w:val="22"/>
          <w:lang w:val="pl-PL"/>
        </w:rPr>
        <w:t>Dzieci i młodzież</w:t>
      </w:r>
    </w:p>
    <w:p w14:paraId="005F78D7" w14:textId="77777777" w:rsidR="00BF76C4" w:rsidRDefault="00BF76C4" w:rsidP="003F36C0">
      <w:pPr>
        <w:spacing w:after="240"/>
        <w:rPr>
          <w:sz w:val="22"/>
          <w:szCs w:val="22"/>
          <w:lang w:val="pl-PL"/>
        </w:rPr>
      </w:pPr>
      <w:r>
        <w:rPr>
          <w:sz w:val="22"/>
          <w:szCs w:val="22"/>
          <w:lang w:val="pl-PL"/>
        </w:rPr>
        <w:t xml:space="preserve">Nie stosować u dzieci w wieku </w:t>
      </w:r>
      <w:r w:rsidR="001C5CA9">
        <w:rPr>
          <w:sz w:val="22"/>
          <w:szCs w:val="22"/>
          <w:lang w:val="pl-PL"/>
        </w:rPr>
        <w:t>poniżej</w:t>
      </w:r>
      <w:r>
        <w:rPr>
          <w:sz w:val="22"/>
          <w:szCs w:val="22"/>
          <w:lang w:val="pl-PL"/>
        </w:rPr>
        <w:t xml:space="preserve"> 12 lat.</w:t>
      </w:r>
    </w:p>
    <w:p w14:paraId="69AB7CFC" w14:textId="77777777" w:rsidR="00BE1548" w:rsidRPr="003F36C0" w:rsidRDefault="00BE1548">
      <w:pPr>
        <w:rPr>
          <w:sz w:val="22"/>
          <w:szCs w:val="22"/>
          <w:u w:val="single"/>
          <w:lang w:val="pl-PL"/>
        </w:rPr>
      </w:pPr>
      <w:r w:rsidRPr="003F36C0">
        <w:rPr>
          <w:sz w:val="22"/>
          <w:szCs w:val="22"/>
          <w:u w:val="single"/>
          <w:lang w:val="pl-PL"/>
        </w:rPr>
        <w:t>Sposób podawania</w:t>
      </w:r>
    </w:p>
    <w:p w14:paraId="72E6C82E" w14:textId="77777777" w:rsidR="00BE1548" w:rsidRDefault="00BE1548" w:rsidP="00BE1548">
      <w:pPr>
        <w:pStyle w:val="BodyTextIndent"/>
        <w:spacing w:line="240" w:lineRule="auto"/>
        <w:ind w:left="0" w:right="-710"/>
        <w:jc w:val="left"/>
        <w:rPr>
          <w:sz w:val="22"/>
          <w:szCs w:val="22"/>
        </w:rPr>
      </w:pPr>
      <w:r>
        <w:rPr>
          <w:sz w:val="22"/>
          <w:szCs w:val="22"/>
        </w:rPr>
        <w:t>Podanie na skórę.</w:t>
      </w:r>
    </w:p>
    <w:p w14:paraId="1A9A85DF" w14:textId="77777777" w:rsidR="00BE1548" w:rsidRDefault="00BE1548" w:rsidP="00BE1548">
      <w:pPr>
        <w:pStyle w:val="BodyTextIndent"/>
        <w:spacing w:line="240" w:lineRule="auto"/>
        <w:ind w:left="0" w:right="-2"/>
        <w:jc w:val="left"/>
        <w:rPr>
          <w:sz w:val="22"/>
          <w:szCs w:val="22"/>
        </w:rPr>
      </w:pPr>
      <w:r>
        <w:rPr>
          <w:sz w:val="22"/>
          <w:szCs w:val="22"/>
        </w:rPr>
        <w:t xml:space="preserve">Lekko wcierać niewielką ilość maści na zmienione chorobowo miejsca na skórze raz lub dwa razy na dobę. </w:t>
      </w:r>
    </w:p>
    <w:p w14:paraId="350E8AEA" w14:textId="77777777" w:rsidR="00BE1548" w:rsidRDefault="00BE1548" w:rsidP="00BE1548">
      <w:pPr>
        <w:pStyle w:val="BodyTextIndent"/>
        <w:spacing w:line="240" w:lineRule="auto"/>
        <w:ind w:left="0" w:right="-710"/>
        <w:jc w:val="left"/>
        <w:rPr>
          <w:sz w:val="22"/>
          <w:szCs w:val="22"/>
        </w:rPr>
      </w:pPr>
      <w:r>
        <w:rPr>
          <w:sz w:val="22"/>
          <w:szCs w:val="22"/>
        </w:rPr>
        <w:lastRenderedPageBreak/>
        <w:t>Nie należy stosować pod opatrunkiem okluzyjnym.</w:t>
      </w:r>
    </w:p>
    <w:p w14:paraId="09F3F0C1" w14:textId="77777777" w:rsidR="00BE1548" w:rsidRDefault="00BE1548" w:rsidP="00CD788D">
      <w:pPr>
        <w:pStyle w:val="BodyTextIndent"/>
        <w:spacing w:line="240" w:lineRule="auto"/>
        <w:ind w:left="0" w:right="-710"/>
        <w:jc w:val="left"/>
      </w:pPr>
      <w:r>
        <w:rPr>
          <w:sz w:val="22"/>
          <w:szCs w:val="22"/>
        </w:rPr>
        <w:t xml:space="preserve">Po zastosowaniu produktu należy umyć ręce. </w:t>
      </w:r>
    </w:p>
    <w:p w14:paraId="6E67C300" w14:textId="77777777" w:rsidR="00BF76C4" w:rsidRDefault="00BF76C4">
      <w:pPr>
        <w:pStyle w:val="BodyTextIndent"/>
        <w:tabs>
          <w:tab w:val="left" w:pos="3465"/>
        </w:tabs>
        <w:spacing w:line="240" w:lineRule="auto"/>
        <w:ind w:left="0" w:right="-710" w:firstLine="0"/>
        <w:jc w:val="left"/>
        <w:rPr>
          <w:sz w:val="22"/>
          <w:szCs w:val="22"/>
        </w:rPr>
      </w:pPr>
    </w:p>
    <w:p w14:paraId="1DB0BB42" w14:textId="77777777" w:rsidR="00BF76C4" w:rsidRDefault="00BF76C4" w:rsidP="00830004">
      <w:pPr>
        <w:keepNext/>
        <w:ind w:right="-710"/>
        <w:rPr>
          <w:b/>
          <w:sz w:val="22"/>
          <w:szCs w:val="22"/>
          <w:lang w:val="pl-PL"/>
        </w:rPr>
      </w:pPr>
      <w:r>
        <w:rPr>
          <w:b/>
          <w:sz w:val="22"/>
          <w:szCs w:val="22"/>
          <w:lang w:val="pl-PL"/>
        </w:rPr>
        <w:t>4.3 Przeciwwskazania</w:t>
      </w:r>
    </w:p>
    <w:p w14:paraId="200C87F4" w14:textId="77777777" w:rsidR="00EB67AE" w:rsidRDefault="00EB67AE" w:rsidP="00830004">
      <w:pPr>
        <w:keepNext/>
        <w:ind w:right="-710"/>
        <w:rPr>
          <w:b/>
          <w:sz w:val="22"/>
          <w:szCs w:val="22"/>
          <w:lang w:val="pl-PL"/>
        </w:rPr>
      </w:pPr>
    </w:p>
    <w:p w14:paraId="1BC85F3A" w14:textId="77777777" w:rsidR="00BF76C4" w:rsidRDefault="00BF76C4" w:rsidP="00830004">
      <w:pPr>
        <w:keepNext/>
        <w:ind w:right="-710" w:firstLine="11"/>
        <w:rPr>
          <w:sz w:val="22"/>
          <w:szCs w:val="22"/>
          <w:lang w:val="pl-PL"/>
        </w:rPr>
      </w:pPr>
      <w:r>
        <w:rPr>
          <w:sz w:val="22"/>
          <w:szCs w:val="22"/>
          <w:lang w:val="pl-PL"/>
        </w:rPr>
        <w:t>Nie należy stosować produktu leczniczego Clobederm maść:</w:t>
      </w:r>
    </w:p>
    <w:p w14:paraId="70FA07C3" w14:textId="77777777" w:rsidR="00BF76C4" w:rsidRDefault="00BF76C4" w:rsidP="00830004">
      <w:pPr>
        <w:keepNext/>
        <w:numPr>
          <w:ilvl w:val="0"/>
          <w:numId w:val="1"/>
        </w:numPr>
        <w:ind w:right="-710"/>
        <w:rPr>
          <w:sz w:val="22"/>
          <w:szCs w:val="22"/>
          <w:lang w:val="pl-PL"/>
        </w:rPr>
      </w:pPr>
      <w:r>
        <w:rPr>
          <w:sz w:val="22"/>
          <w:szCs w:val="22"/>
          <w:lang w:val="pl-PL"/>
        </w:rPr>
        <w:t>w bakteryjnych, wirusowych i grzybiczych zakażeniach skóry</w:t>
      </w:r>
      <w:r w:rsidR="00CC16A9">
        <w:rPr>
          <w:sz w:val="22"/>
          <w:szCs w:val="22"/>
          <w:lang w:val="pl-PL"/>
        </w:rPr>
        <w:t>;</w:t>
      </w:r>
    </w:p>
    <w:p w14:paraId="4308BFEC" w14:textId="77777777" w:rsidR="00BF76C4" w:rsidRDefault="00BF76C4" w:rsidP="00830004">
      <w:pPr>
        <w:keepNext/>
        <w:numPr>
          <w:ilvl w:val="0"/>
          <w:numId w:val="1"/>
        </w:numPr>
        <w:ind w:right="-710"/>
        <w:rPr>
          <w:sz w:val="22"/>
          <w:szCs w:val="22"/>
          <w:lang w:val="pl-PL"/>
        </w:rPr>
      </w:pPr>
      <w:r>
        <w:rPr>
          <w:sz w:val="22"/>
          <w:szCs w:val="22"/>
          <w:lang w:val="pl-PL"/>
        </w:rPr>
        <w:t>w trądziku zwykłym</w:t>
      </w:r>
      <w:r w:rsidR="00CC16A9">
        <w:rPr>
          <w:sz w:val="22"/>
          <w:szCs w:val="22"/>
          <w:lang w:val="pl-PL"/>
        </w:rPr>
        <w:t>;</w:t>
      </w:r>
    </w:p>
    <w:p w14:paraId="41B792C8" w14:textId="77777777" w:rsidR="00BF76C4" w:rsidRDefault="00BF76C4" w:rsidP="00830004">
      <w:pPr>
        <w:keepNext/>
        <w:numPr>
          <w:ilvl w:val="0"/>
          <w:numId w:val="1"/>
        </w:numPr>
        <w:ind w:right="-710"/>
        <w:rPr>
          <w:sz w:val="22"/>
          <w:szCs w:val="22"/>
          <w:lang w:val="pl-PL"/>
        </w:rPr>
      </w:pPr>
      <w:r>
        <w:rPr>
          <w:sz w:val="22"/>
          <w:szCs w:val="22"/>
          <w:lang w:val="pl-PL"/>
        </w:rPr>
        <w:t>w trądziku różowatym</w:t>
      </w:r>
      <w:r w:rsidR="00CC16A9">
        <w:rPr>
          <w:sz w:val="22"/>
          <w:szCs w:val="22"/>
          <w:lang w:val="pl-PL"/>
        </w:rPr>
        <w:t>;</w:t>
      </w:r>
    </w:p>
    <w:p w14:paraId="3A86D886" w14:textId="77777777" w:rsidR="00BF76C4" w:rsidRDefault="00BF76C4" w:rsidP="00830004">
      <w:pPr>
        <w:keepNext/>
        <w:numPr>
          <w:ilvl w:val="0"/>
          <w:numId w:val="1"/>
        </w:numPr>
        <w:ind w:right="-710"/>
        <w:rPr>
          <w:sz w:val="22"/>
          <w:szCs w:val="22"/>
          <w:lang w:val="pl-PL"/>
        </w:rPr>
      </w:pPr>
      <w:r>
        <w:rPr>
          <w:sz w:val="22"/>
          <w:szCs w:val="22"/>
          <w:lang w:val="pl-PL"/>
        </w:rPr>
        <w:t>w zapaleniu skóry dookoła ust (</w:t>
      </w:r>
      <w:r>
        <w:rPr>
          <w:i/>
          <w:sz w:val="22"/>
          <w:szCs w:val="22"/>
          <w:lang w:val="pl-PL"/>
        </w:rPr>
        <w:t>dermatitis perioralis</w:t>
      </w:r>
      <w:r w:rsidR="00CC16A9">
        <w:rPr>
          <w:sz w:val="22"/>
          <w:szCs w:val="22"/>
          <w:lang w:val="pl-PL"/>
        </w:rPr>
        <w:t>);</w:t>
      </w:r>
    </w:p>
    <w:p w14:paraId="622D6CA9" w14:textId="77777777" w:rsidR="00BF76C4" w:rsidRDefault="00BF76C4" w:rsidP="00830004">
      <w:pPr>
        <w:keepNext/>
        <w:numPr>
          <w:ilvl w:val="0"/>
          <w:numId w:val="1"/>
        </w:numPr>
        <w:ind w:right="-710"/>
        <w:rPr>
          <w:sz w:val="22"/>
          <w:szCs w:val="22"/>
          <w:lang w:val="pl-PL"/>
        </w:rPr>
      </w:pPr>
      <w:r>
        <w:rPr>
          <w:sz w:val="22"/>
          <w:szCs w:val="22"/>
          <w:lang w:val="pl-PL"/>
        </w:rPr>
        <w:t>po szczepieniach ochronnych</w:t>
      </w:r>
      <w:r w:rsidR="00CC16A9">
        <w:rPr>
          <w:sz w:val="22"/>
          <w:szCs w:val="22"/>
          <w:lang w:val="pl-PL"/>
        </w:rPr>
        <w:t>;</w:t>
      </w:r>
    </w:p>
    <w:p w14:paraId="03AE8363" w14:textId="77777777" w:rsidR="00BF76C4" w:rsidRDefault="00BF76C4" w:rsidP="00830004">
      <w:pPr>
        <w:keepNext/>
        <w:numPr>
          <w:ilvl w:val="0"/>
          <w:numId w:val="1"/>
        </w:numPr>
        <w:ind w:left="368" w:hanging="357"/>
        <w:rPr>
          <w:sz w:val="22"/>
          <w:szCs w:val="22"/>
          <w:lang w:val="pl-PL"/>
        </w:rPr>
      </w:pPr>
      <w:r>
        <w:rPr>
          <w:sz w:val="22"/>
          <w:szCs w:val="22"/>
          <w:lang w:val="pl-PL"/>
        </w:rPr>
        <w:t xml:space="preserve">w przypadku nadwrażliwości na </w:t>
      </w:r>
      <w:r w:rsidR="006A1D7B">
        <w:rPr>
          <w:sz w:val="22"/>
          <w:szCs w:val="22"/>
          <w:lang w:val="pl-PL"/>
        </w:rPr>
        <w:t xml:space="preserve">propionian </w:t>
      </w:r>
      <w:r>
        <w:rPr>
          <w:sz w:val="22"/>
          <w:szCs w:val="22"/>
          <w:lang w:val="pl-PL"/>
        </w:rPr>
        <w:t>klobetazolu lub inne glikokortykosteroidy oraz w nadwrażliwości na którąkolwiek substancję pomocniczą produktu leczniczego</w:t>
      </w:r>
      <w:r w:rsidR="00CC16A9">
        <w:rPr>
          <w:sz w:val="22"/>
          <w:szCs w:val="22"/>
          <w:lang w:val="pl-PL"/>
        </w:rPr>
        <w:t>;</w:t>
      </w:r>
    </w:p>
    <w:p w14:paraId="58F32755" w14:textId="77777777" w:rsidR="00BF76C4" w:rsidRDefault="00BF76C4" w:rsidP="00BF1BDB">
      <w:pPr>
        <w:tabs>
          <w:tab w:val="left" w:pos="426"/>
        </w:tabs>
        <w:rPr>
          <w:sz w:val="22"/>
          <w:szCs w:val="22"/>
          <w:lang w:val="pl-PL"/>
        </w:rPr>
      </w:pPr>
      <w:r>
        <w:rPr>
          <w:sz w:val="22"/>
          <w:szCs w:val="22"/>
          <w:lang w:val="pl-PL"/>
        </w:rPr>
        <w:t>-</w:t>
      </w:r>
      <w:r w:rsidR="00BF1BDB">
        <w:rPr>
          <w:sz w:val="22"/>
          <w:szCs w:val="22"/>
          <w:lang w:val="pl-PL"/>
        </w:rPr>
        <w:tab/>
      </w:r>
      <w:r>
        <w:rPr>
          <w:sz w:val="22"/>
          <w:szCs w:val="22"/>
          <w:lang w:val="pl-PL"/>
        </w:rPr>
        <w:t>w świądzie odbytu i narządów płciowych</w:t>
      </w:r>
      <w:r w:rsidR="00CC16A9">
        <w:rPr>
          <w:sz w:val="22"/>
          <w:szCs w:val="22"/>
          <w:lang w:val="pl-PL"/>
        </w:rPr>
        <w:t>;</w:t>
      </w:r>
    </w:p>
    <w:p w14:paraId="0338D4D4" w14:textId="77777777" w:rsidR="00BF76C4" w:rsidRDefault="00BF76C4">
      <w:pPr>
        <w:numPr>
          <w:ilvl w:val="0"/>
          <w:numId w:val="1"/>
        </w:numPr>
        <w:ind w:right="-710"/>
        <w:rPr>
          <w:sz w:val="22"/>
          <w:szCs w:val="22"/>
          <w:lang w:val="pl-PL"/>
        </w:rPr>
      </w:pPr>
      <w:r>
        <w:rPr>
          <w:sz w:val="22"/>
          <w:szCs w:val="22"/>
        </w:rPr>
        <w:t>pod opatrunkiem okluzyjnym</w:t>
      </w:r>
      <w:r w:rsidR="00CC16A9">
        <w:rPr>
          <w:sz w:val="22"/>
          <w:szCs w:val="22"/>
        </w:rPr>
        <w:t>;</w:t>
      </w:r>
    </w:p>
    <w:p w14:paraId="3649808A" w14:textId="77777777" w:rsidR="00BF76C4" w:rsidRDefault="00BF76C4">
      <w:pPr>
        <w:numPr>
          <w:ilvl w:val="0"/>
          <w:numId w:val="1"/>
        </w:numPr>
        <w:ind w:right="-710"/>
        <w:rPr>
          <w:sz w:val="22"/>
          <w:szCs w:val="22"/>
          <w:lang w:val="pl-PL"/>
        </w:rPr>
      </w:pPr>
      <w:r>
        <w:rPr>
          <w:sz w:val="22"/>
          <w:szCs w:val="22"/>
          <w:lang w:val="pl-PL"/>
        </w:rPr>
        <w:t>u dzieci poniżej 12 lat</w:t>
      </w:r>
      <w:r w:rsidR="00CC16A9">
        <w:rPr>
          <w:sz w:val="22"/>
          <w:szCs w:val="22"/>
          <w:lang w:val="pl-PL"/>
        </w:rPr>
        <w:t>;</w:t>
      </w:r>
    </w:p>
    <w:p w14:paraId="3CD4F877" w14:textId="77777777" w:rsidR="00BF76C4" w:rsidRDefault="00BF76C4">
      <w:pPr>
        <w:numPr>
          <w:ilvl w:val="0"/>
          <w:numId w:val="1"/>
        </w:numPr>
        <w:ind w:right="-710"/>
        <w:rPr>
          <w:sz w:val="22"/>
          <w:szCs w:val="22"/>
          <w:lang w:val="pl-PL"/>
        </w:rPr>
      </w:pPr>
      <w:r>
        <w:rPr>
          <w:sz w:val="22"/>
          <w:szCs w:val="22"/>
          <w:lang w:val="pl-PL"/>
        </w:rPr>
        <w:t>długotrwale.</w:t>
      </w:r>
    </w:p>
    <w:p w14:paraId="514CBEE7" w14:textId="77777777" w:rsidR="00BF76C4" w:rsidRDefault="00BF76C4">
      <w:pPr>
        <w:ind w:right="-710" w:firstLine="11"/>
        <w:rPr>
          <w:b/>
          <w:sz w:val="22"/>
          <w:szCs w:val="22"/>
          <w:lang w:val="pl-PL"/>
        </w:rPr>
      </w:pPr>
    </w:p>
    <w:p w14:paraId="08447D50" w14:textId="77777777" w:rsidR="00BF76C4" w:rsidRDefault="00BF76C4">
      <w:pPr>
        <w:ind w:right="-710" w:firstLine="11"/>
        <w:rPr>
          <w:b/>
          <w:sz w:val="22"/>
          <w:szCs w:val="22"/>
          <w:lang w:val="pl-PL"/>
        </w:rPr>
      </w:pPr>
      <w:r>
        <w:rPr>
          <w:b/>
          <w:sz w:val="22"/>
          <w:szCs w:val="22"/>
          <w:lang w:val="pl-PL"/>
        </w:rPr>
        <w:t xml:space="preserve">4.4 Specjalne ostrzeżenia i środki ostrożności dotyczące stosowania </w:t>
      </w:r>
    </w:p>
    <w:p w14:paraId="46880DED" w14:textId="77777777" w:rsidR="00785B5A" w:rsidRDefault="00785B5A">
      <w:pPr>
        <w:rPr>
          <w:sz w:val="22"/>
          <w:szCs w:val="22"/>
          <w:lang w:val="pl-PL"/>
        </w:rPr>
      </w:pPr>
    </w:p>
    <w:p w14:paraId="6C8B08D9" w14:textId="77777777" w:rsidR="00BF76C4" w:rsidRDefault="00BF76C4">
      <w:pPr>
        <w:rPr>
          <w:sz w:val="22"/>
          <w:szCs w:val="22"/>
          <w:lang w:val="pl-PL"/>
        </w:rPr>
      </w:pPr>
      <w:r>
        <w:rPr>
          <w:sz w:val="22"/>
          <w:szCs w:val="22"/>
          <w:lang w:val="pl-PL"/>
        </w:rPr>
        <w:t xml:space="preserve">Nie stosować produktu leczniczego bez przerwy dłużej niż 2 tygodnie. </w:t>
      </w:r>
    </w:p>
    <w:p w14:paraId="2CDF5F2D" w14:textId="77777777" w:rsidR="00BF76C4" w:rsidRDefault="00BF76C4">
      <w:pPr>
        <w:rPr>
          <w:sz w:val="22"/>
          <w:szCs w:val="22"/>
          <w:lang w:val="pl-PL"/>
        </w:rPr>
      </w:pPr>
      <w:r>
        <w:rPr>
          <w:sz w:val="22"/>
          <w:szCs w:val="22"/>
          <w:lang w:val="pl-PL"/>
        </w:rPr>
        <w:t>Jeżeli po zastosowaniu produktu leczniczego wystąpią objawy podrażnienia lub skórna reakcja alergiczna, należy natychmiast zaprzestać jego stosowania.</w:t>
      </w:r>
    </w:p>
    <w:p w14:paraId="1052FC05" w14:textId="77777777" w:rsidR="00BF76C4" w:rsidRDefault="00BF76C4">
      <w:pPr>
        <w:rPr>
          <w:sz w:val="22"/>
          <w:szCs w:val="22"/>
          <w:lang w:val="pl-PL"/>
        </w:rPr>
      </w:pPr>
      <w:r>
        <w:rPr>
          <w:sz w:val="22"/>
          <w:szCs w:val="22"/>
          <w:lang w:val="pl-PL"/>
        </w:rPr>
        <w:t>Ze względu na to, że kortykosteroidy wchłaniają się przez skórę, podczas długotrwałego stosowania produktu lub stosowania go na dużą powierzchnię skóry zwiększa się częstość występowania ogólnych działań niepożądanych charakterystycznych dla kortykosteroidów, w tym obrzęków, nadciśnienia tętniczego, hiperglikemii, zmniejszenia odporności.</w:t>
      </w:r>
    </w:p>
    <w:p w14:paraId="5A9B07E8" w14:textId="77777777" w:rsidR="00BF76C4" w:rsidRDefault="00BF76C4">
      <w:pPr>
        <w:rPr>
          <w:sz w:val="22"/>
          <w:szCs w:val="22"/>
          <w:lang w:val="pl-PL"/>
        </w:rPr>
      </w:pPr>
      <w:r>
        <w:rPr>
          <w:sz w:val="22"/>
          <w:szCs w:val="22"/>
          <w:lang w:val="pl-PL"/>
        </w:rPr>
        <w:t xml:space="preserve">Dlatego należy unikać stosowania produktu leczniczego na dużą powierzchnię ciała oraz ostrożnie stosować u dzieci </w:t>
      </w:r>
      <w:r w:rsidR="001C5CA9">
        <w:rPr>
          <w:sz w:val="22"/>
          <w:szCs w:val="22"/>
          <w:lang w:val="pl-PL"/>
        </w:rPr>
        <w:t>w wieku</w:t>
      </w:r>
      <w:r>
        <w:rPr>
          <w:sz w:val="22"/>
          <w:szCs w:val="22"/>
          <w:lang w:val="pl-PL"/>
        </w:rPr>
        <w:t>12 lat</w:t>
      </w:r>
      <w:r w:rsidR="001C5CA9">
        <w:rPr>
          <w:sz w:val="22"/>
          <w:szCs w:val="22"/>
          <w:lang w:val="pl-PL"/>
        </w:rPr>
        <w:t xml:space="preserve"> i powyżej</w:t>
      </w:r>
      <w:r>
        <w:rPr>
          <w:sz w:val="22"/>
          <w:szCs w:val="22"/>
          <w:lang w:val="pl-PL"/>
        </w:rPr>
        <w:t>.</w:t>
      </w:r>
    </w:p>
    <w:p w14:paraId="088B430D" w14:textId="77777777" w:rsidR="00BF76C4" w:rsidRDefault="00BF76C4">
      <w:pPr>
        <w:rPr>
          <w:sz w:val="22"/>
          <w:szCs w:val="22"/>
          <w:lang w:val="pl-PL"/>
        </w:rPr>
      </w:pPr>
      <w:r>
        <w:rPr>
          <w:sz w:val="22"/>
          <w:szCs w:val="22"/>
          <w:lang w:val="pl-PL"/>
        </w:rPr>
        <w:t>U dzieci, ze względu na większy niż u dorosłych stosunek powierzchni ciała do masy ciała, istnieje większe ryzyko wystąpienia wywołanych ogólnoustrojowym działaniem kortykosteroidów zaburzeń czynności osi podwzgórze</w:t>
      </w:r>
      <w:r w:rsidR="00BF1BDB">
        <w:rPr>
          <w:sz w:val="22"/>
          <w:szCs w:val="22"/>
          <w:lang w:val="pl-PL"/>
        </w:rPr>
        <w:t>-</w:t>
      </w:r>
      <w:r>
        <w:rPr>
          <w:sz w:val="22"/>
          <w:szCs w:val="22"/>
          <w:lang w:val="pl-PL"/>
        </w:rPr>
        <w:t xml:space="preserve">przysadka-nadnercza i zespołu Cushinga. Leczenie kortykosteroidami może zaburzać wzrost i rozwój dzieci. </w:t>
      </w:r>
    </w:p>
    <w:p w14:paraId="6197EF2F" w14:textId="77777777" w:rsidR="00BF76C4" w:rsidRDefault="00BF76C4">
      <w:pPr>
        <w:rPr>
          <w:sz w:val="22"/>
          <w:szCs w:val="22"/>
          <w:lang w:val="pl-PL"/>
        </w:rPr>
      </w:pPr>
      <w:r>
        <w:rPr>
          <w:sz w:val="22"/>
          <w:szCs w:val="22"/>
          <w:lang w:val="pl-PL"/>
        </w:rPr>
        <w:t>Wskazana jest okresowa kontrola czynności kory nadnerczy przez oznaczanie kortyzolu we krwi i w moczu po stymulacji nadnerczy przez ACTH.</w:t>
      </w:r>
    </w:p>
    <w:p w14:paraId="1CBFD763" w14:textId="77777777" w:rsidR="00BF76C4" w:rsidRDefault="00BF76C4">
      <w:pPr>
        <w:rPr>
          <w:sz w:val="22"/>
          <w:szCs w:val="22"/>
          <w:lang w:val="pl-PL"/>
        </w:rPr>
      </w:pPr>
      <w:r>
        <w:rPr>
          <w:sz w:val="22"/>
          <w:szCs w:val="22"/>
          <w:lang w:val="pl-PL"/>
        </w:rPr>
        <w:t>Jeśli wystąpi zakażenie w miejscu stosowania produktu leczniczego, należy zastosować odpowiednie leczenie przeciwbakteryjne lub przeciwgrzybicze. Jeżeli objawy zakażenia nie ustąpią, należy przerwać stosowanie produktu leczniczego do czasu wyleczenia zakażenia.</w:t>
      </w:r>
    </w:p>
    <w:p w14:paraId="06B6A75E" w14:textId="77777777" w:rsidR="00BF76C4" w:rsidRDefault="00BF76C4">
      <w:pPr>
        <w:rPr>
          <w:sz w:val="22"/>
          <w:szCs w:val="22"/>
          <w:lang w:val="pl-PL"/>
        </w:rPr>
      </w:pPr>
      <w:r>
        <w:rPr>
          <w:sz w:val="22"/>
          <w:szCs w:val="22"/>
          <w:lang w:val="pl-PL"/>
        </w:rPr>
        <w:t xml:space="preserve">Należy unikać kontaktu produktu z oczami, błonami śluzowymi lub ranami. </w:t>
      </w:r>
    </w:p>
    <w:p w14:paraId="283F6FAE" w14:textId="77777777" w:rsidR="00BF76C4" w:rsidRDefault="00BF76C4">
      <w:pPr>
        <w:rPr>
          <w:sz w:val="22"/>
          <w:szCs w:val="22"/>
          <w:lang w:val="pl-PL"/>
        </w:rPr>
      </w:pPr>
      <w:r>
        <w:rPr>
          <w:sz w:val="22"/>
          <w:szCs w:val="22"/>
          <w:lang w:val="pl-PL"/>
        </w:rPr>
        <w:t xml:space="preserve">Unikać stosowania wokół oczu, ze względu na ryzyko wystąpienia jaskry lub zaćmy. </w:t>
      </w:r>
    </w:p>
    <w:p w14:paraId="24AC3856" w14:textId="77777777" w:rsidR="00BF76C4" w:rsidRDefault="00BF76C4">
      <w:pPr>
        <w:rPr>
          <w:sz w:val="22"/>
          <w:szCs w:val="22"/>
          <w:lang w:val="pl-PL"/>
        </w:rPr>
      </w:pPr>
      <w:r>
        <w:rPr>
          <w:sz w:val="22"/>
          <w:szCs w:val="22"/>
          <w:lang w:val="pl-PL"/>
        </w:rPr>
        <w:t>Należy unikać stosowania na powieki lub na skórę w okolicy powiek zwłaszcza u osób z jaskrą o wąskim lub szerokim kącie przesączania oraz u osób z zaćmą, ze względu na ryzyko nasilenia objawów choroby.</w:t>
      </w:r>
    </w:p>
    <w:p w14:paraId="7DF9F1B6" w14:textId="77777777" w:rsidR="00E20CDF" w:rsidRDefault="00E20CDF">
      <w:pPr>
        <w:rPr>
          <w:sz w:val="22"/>
          <w:szCs w:val="22"/>
          <w:lang w:val="pl-PL"/>
        </w:rPr>
      </w:pPr>
    </w:p>
    <w:p w14:paraId="78BAD557" w14:textId="77777777" w:rsidR="00E20CDF" w:rsidRPr="001009D4" w:rsidRDefault="00E20CDF" w:rsidP="00E20CDF">
      <w:pPr>
        <w:autoSpaceDE w:val="0"/>
        <w:autoSpaceDN w:val="0"/>
        <w:adjustRightInd w:val="0"/>
        <w:rPr>
          <w:sz w:val="22"/>
          <w:szCs w:val="22"/>
          <w:u w:val="single"/>
          <w:lang w:val="pl-PL"/>
        </w:rPr>
      </w:pPr>
      <w:r w:rsidRPr="001009D4">
        <w:rPr>
          <w:sz w:val="22"/>
          <w:szCs w:val="22"/>
          <w:u w:val="single"/>
          <w:lang w:val="pl-PL"/>
        </w:rPr>
        <w:t>Zaburzenie widzenia</w:t>
      </w:r>
    </w:p>
    <w:p w14:paraId="32975F1F" w14:textId="77777777" w:rsidR="00E20CDF" w:rsidRPr="001009D4" w:rsidRDefault="00E20CDF" w:rsidP="00E20CDF">
      <w:pPr>
        <w:autoSpaceDE w:val="0"/>
        <w:autoSpaceDN w:val="0"/>
        <w:adjustRightInd w:val="0"/>
        <w:rPr>
          <w:sz w:val="22"/>
          <w:szCs w:val="22"/>
          <w:lang w:val="pl-PL"/>
        </w:rPr>
      </w:pPr>
      <w:r w:rsidRPr="001009D4">
        <w:rPr>
          <w:sz w:val="22"/>
          <w:szCs w:val="22"/>
          <w:lang w:val="pl-PL"/>
        </w:rPr>
        <w:t>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chorioretinopatia surowicza (</w:t>
      </w:r>
      <w:r w:rsidR="009F4EFB" w:rsidRPr="00830004">
        <w:rPr>
          <w:bCs/>
          <w:i/>
          <w:sz w:val="22"/>
          <w:szCs w:val="18"/>
          <w:lang w:val="pl-PL"/>
        </w:rPr>
        <w:t xml:space="preserve">ang. </w:t>
      </w:r>
      <w:r w:rsidR="009F4EFB" w:rsidRPr="00830004">
        <w:rPr>
          <w:bCs/>
          <w:i/>
          <w:sz w:val="22"/>
          <w:szCs w:val="22"/>
          <w:lang w:val="pl-PL"/>
        </w:rPr>
        <w:t>Central Serous Chorioretinopathy,</w:t>
      </w:r>
      <w:r w:rsidRPr="001009D4">
        <w:rPr>
          <w:sz w:val="22"/>
          <w:szCs w:val="22"/>
          <w:lang w:val="pl-PL"/>
        </w:rPr>
        <w:t>CSCR), którą notowano po ogólnoustrojowym i miejscowym stosowaniu kortykosteroidów.</w:t>
      </w:r>
    </w:p>
    <w:p w14:paraId="7428ED1E" w14:textId="77777777" w:rsidR="00E20CDF" w:rsidRDefault="00E20CDF">
      <w:pPr>
        <w:rPr>
          <w:sz w:val="22"/>
          <w:szCs w:val="22"/>
          <w:lang w:val="pl-PL"/>
        </w:rPr>
      </w:pPr>
    </w:p>
    <w:p w14:paraId="611D9554" w14:textId="77777777" w:rsidR="00AE0DBC" w:rsidRDefault="00AE0DBC" w:rsidP="00AE0DBC">
      <w:pPr>
        <w:ind w:right="-2" w:firstLine="11"/>
        <w:rPr>
          <w:sz w:val="22"/>
          <w:szCs w:val="22"/>
          <w:lang w:val="pl-PL"/>
        </w:rPr>
      </w:pPr>
      <w:r w:rsidRPr="007F624D">
        <w:rPr>
          <w:sz w:val="22"/>
          <w:szCs w:val="22"/>
          <w:lang w:val="pl-PL"/>
        </w:rPr>
        <w:t>Przypadki martwicy kości, ciężkich zakażeń (w tym martwiczego zapalenia powięzi) i</w:t>
      </w:r>
      <w:r>
        <w:rPr>
          <w:sz w:val="22"/>
          <w:szCs w:val="22"/>
          <w:lang w:val="pl-PL"/>
        </w:rPr>
        <w:t> </w:t>
      </w:r>
      <w:r w:rsidRPr="007F624D">
        <w:rPr>
          <w:sz w:val="22"/>
          <w:szCs w:val="22"/>
          <w:lang w:val="pl-PL"/>
        </w:rPr>
        <w:t xml:space="preserve">immunosupresji ogólnoustrojowej (czasami powodujące przemijające zmiany w postaci mięsaka Kaposiego), występowały po długotrwałym stosowaniu klobetazolu propionianu w dawkach większych niż zalecane (patrz punkt 4.2). W niektórych przypadkach pacjenci przyjmowali jednocześnie inne silnie działające kortykosteroidy do stosowania doustnego lub miejscowego lub </w:t>
      </w:r>
      <w:r w:rsidRPr="007F624D">
        <w:rPr>
          <w:sz w:val="22"/>
          <w:szCs w:val="22"/>
          <w:lang w:val="pl-PL"/>
        </w:rPr>
        <w:lastRenderedPageBreak/>
        <w:t xml:space="preserve">immunosupresanty (np. metotreksat, mykofenolan mofetylu). Jeśli leczenie kortykosteroidem stosowanym miejscowo jest klinicznie uzasadnione przez okres dłuższy niż </w:t>
      </w:r>
      <w:r>
        <w:rPr>
          <w:sz w:val="22"/>
          <w:szCs w:val="22"/>
          <w:lang w:val="pl-PL"/>
        </w:rPr>
        <w:t>2</w:t>
      </w:r>
      <w:r w:rsidRPr="007F624D">
        <w:rPr>
          <w:sz w:val="22"/>
          <w:szCs w:val="22"/>
          <w:lang w:val="pl-PL"/>
        </w:rPr>
        <w:t xml:space="preserve"> tygodni</w:t>
      </w:r>
      <w:r>
        <w:rPr>
          <w:sz w:val="22"/>
          <w:szCs w:val="22"/>
          <w:lang w:val="pl-PL"/>
        </w:rPr>
        <w:t>e</w:t>
      </w:r>
      <w:r w:rsidRPr="007F624D">
        <w:rPr>
          <w:sz w:val="22"/>
          <w:szCs w:val="22"/>
          <w:lang w:val="pl-PL"/>
        </w:rPr>
        <w:t>, należy rozważyć zastosowanie słabiej działającego kortykosteroidu.</w:t>
      </w:r>
    </w:p>
    <w:p w14:paraId="46F6940D" w14:textId="77777777" w:rsidR="00AE0DBC" w:rsidRDefault="00AE0DBC">
      <w:pPr>
        <w:rPr>
          <w:sz w:val="22"/>
          <w:szCs w:val="22"/>
          <w:lang w:val="pl-PL"/>
        </w:rPr>
      </w:pPr>
    </w:p>
    <w:p w14:paraId="7C9A9D12" w14:textId="77777777" w:rsidR="00BF76C4" w:rsidRDefault="00BF76C4">
      <w:pPr>
        <w:rPr>
          <w:sz w:val="22"/>
          <w:szCs w:val="22"/>
          <w:lang w:val="pl-PL"/>
        </w:rPr>
      </w:pPr>
      <w:r>
        <w:rPr>
          <w:sz w:val="22"/>
          <w:szCs w:val="22"/>
          <w:lang w:val="pl-PL"/>
        </w:rPr>
        <w:t>Szczególnie ostrożnie stosować u pacjentów z łuszczycą, gdyż miejscowe stosowanie kortykosteroidów w łuszczycy może być niebezpieczne z wielu powodów, w tym ze względu na nawrót choroby spowodowany rozwojem tolerancji, ryzyko wystąpienia uogólnionej łuszczycy krostkowej i ogólne działania toksyczne spowodowane zaburzeniem ciągłości skóry.</w:t>
      </w:r>
    </w:p>
    <w:p w14:paraId="5288C063" w14:textId="77777777" w:rsidR="00BF76C4" w:rsidRDefault="00BF76C4">
      <w:pPr>
        <w:rPr>
          <w:sz w:val="22"/>
          <w:szCs w:val="22"/>
          <w:lang w:val="pl-PL"/>
        </w:rPr>
      </w:pPr>
      <w:r>
        <w:rPr>
          <w:sz w:val="22"/>
          <w:szCs w:val="22"/>
          <w:lang w:val="pl-PL"/>
        </w:rPr>
        <w:t xml:space="preserve">Na skórę twarzy oraz na skórę pach i pachwin stosować tylko w przypadkach bezwzględnie koniecznych, ze względu na zwiększone wchłanianie kortykosteroidu przez delikatną skórę i większe ryzyko wystąpienia objawów niepożądanych (teleangiektazji, </w:t>
      </w:r>
      <w:r>
        <w:rPr>
          <w:i/>
          <w:sz w:val="22"/>
          <w:szCs w:val="22"/>
          <w:lang w:val="pl-PL"/>
        </w:rPr>
        <w:t>dermatitis perioralis</w:t>
      </w:r>
      <w:r>
        <w:rPr>
          <w:sz w:val="22"/>
          <w:szCs w:val="22"/>
          <w:lang w:val="pl-PL"/>
        </w:rPr>
        <w:t>), nawet po krótkim stosowaniu.</w:t>
      </w:r>
    </w:p>
    <w:p w14:paraId="634971C0" w14:textId="77777777" w:rsidR="00BF76C4" w:rsidRDefault="00BF76C4">
      <w:pPr>
        <w:rPr>
          <w:sz w:val="22"/>
          <w:szCs w:val="22"/>
          <w:lang w:val="pl-PL"/>
        </w:rPr>
      </w:pPr>
      <w:r>
        <w:rPr>
          <w:sz w:val="22"/>
          <w:szCs w:val="22"/>
          <w:lang w:val="pl-PL"/>
        </w:rPr>
        <w:t>Ostrożnie stosować w już istniejących stanach zanikowych tkanki podskórnej, zwłaszcza u osób w podeszłym wieku.</w:t>
      </w:r>
    </w:p>
    <w:p w14:paraId="139DC026" w14:textId="77777777" w:rsidR="00BF76C4" w:rsidRDefault="00BF76C4">
      <w:pPr>
        <w:rPr>
          <w:sz w:val="22"/>
          <w:szCs w:val="22"/>
          <w:lang w:val="pl-PL"/>
        </w:rPr>
      </w:pPr>
      <w:r>
        <w:rPr>
          <w:sz w:val="22"/>
          <w:szCs w:val="22"/>
          <w:lang w:val="pl-PL"/>
        </w:rPr>
        <w:t>Ze względu na zawartość glikolu propylenowego produkt leczniczy może powodować podrażnienie skóry.</w:t>
      </w:r>
    </w:p>
    <w:p w14:paraId="25E12CC6" w14:textId="77777777" w:rsidR="00BF76C4" w:rsidRDefault="00BF76C4">
      <w:pPr>
        <w:ind w:right="-710" w:firstLine="11"/>
        <w:rPr>
          <w:b/>
          <w:sz w:val="22"/>
          <w:szCs w:val="22"/>
          <w:lang w:val="pl-PL"/>
        </w:rPr>
      </w:pPr>
    </w:p>
    <w:p w14:paraId="4A7F7FE5" w14:textId="77777777" w:rsidR="00BF76C4" w:rsidRDefault="00BF76C4" w:rsidP="00830004">
      <w:pPr>
        <w:keepNext/>
        <w:ind w:right="-710" w:firstLine="11"/>
        <w:rPr>
          <w:b/>
          <w:sz w:val="22"/>
          <w:szCs w:val="22"/>
          <w:lang w:val="pl-PL"/>
        </w:rPr>
      </w:pPr>
      <w:r>
        <w:rPr>
          <w:b/>
          <w:sz w:val="22"/>
          <w:szCs w:val="22"/>
          <w:lang w:val="pl-PL"/>
        </w:rPr>
        <w:t>4.5 Interakcje z innymi lekami i inne rodzaje interakcji</w:t>
      </w:r>
    </w:p>
    <w:p w14:paraId="185A5779" w14:textId="77777777" w:rsidR="00EB67AE" w:rsidRDefault="00EB67AE" w:rsidP="00830004">
      <w:pPr>
        <w:keepNext/>
        <w:ind w:right="-710" w:firstLine="11"/>
        <w:rPr>
          <w:b/>
          <w:sz w:val="22"/>
          <w:szCs w:val="22"/>
          <w:lang w:val="pl-PL"/>
        </w:rPr>
      </w:pPr>
    </w:p>
    <w:p w14:paraId="5CDA8A48" w14:textId="77777777" w:rsidR="00BF76C4" w:rsidRDefault="00BF76C4" w:rsidP="00830004">
      <w:pPr>
        <w:keepNext/>
        <w:rPr>
          <w:sz w:val="22"/>
          <w:szCs w:val="22"/>
          <w:lang w:val="pl-PL"/>
        </w:rPr>
      </w:pPr>
      <w:r>
        <w:rPr>
          <w:sz w:val="22"/>
          <w:szCs w:val="22"/>
          <w:lang w:val="pl-PL"/>
        </w:rPr>
        <w:t>Nie są znane interakcje podczas miejscowego stosowania kortykosteroidów z innymi lekami.</w:t>
      </w:r>
    </w:p>
    <w:p w14:paraId="46F7D761" w14:textId="77777777" w:rsidR="00BF76C4" w:rsidRDefault="00BF76C4">
      <w:pPr>
        <w:rPr>
          <w:sz w:val="22"/>
          <w:szCs w:val="22"/>
          <w:lang w:val="pl-PL"/>
        </w:rPr>
      </w:pPr>
      <w:r>
        <w:rPr>
          <w:sz w:val="22"/>
          <w:szCs w:val="22"/>
          <w:lang w:val="pl-PL"/>
        </w:rPr>
        <w:t xml:space="preserve">Należy jednak mieć na uwadze, aby nie szczepić pacjentów przeciwko ospie i nie podejmować innych immunizacji, szczególnie w czasie długotrwałego stosowania produktu leczniczego lub stosowania na dużą powierzchnię skóry, ze względu na ryzyko braku prawidłowej odpowiedzi immunologicznej. </w:t>
      </w:r>
    </w:p>
    <w:p w14:paraId="2D0E7B4E" w14:textId="77777777" w:rsidR="00BF76C4" w:rsidRDefault="00BF76C4">
      <w:pPr>
        <w:ind w:right="-2" w:firstLine="11"/>
        <w:rPr>
          <w:i/>
          <w:sz w:val="22"/>
          <w:szCs w:val="22"/>
          <w:lang w:val="pl-PL"/>
        </w:rPr>
      </w:pPr>
      <w:r>
        <w:rPr>
          <w:sz w:val="22"/>
          <w:szCs w:val="22"/>
          <w:lang w:val="pl-PL"/>
        </w:rPr>
        <w:t>Clobederm maść może nasilać działanie leków immunosupresyjnych i osłabiać działanie leków immunostymulujących.</w:t>
      </w:r>
    </w:p>
    <w:p w14:paraId="1F9D3BBA" w14:textId="77777777" w:rsidR="00BF76C4" w:rsidRDefault="00BF76C4">
      <w:pPr>
        <w:ind w:right="-710" w:firstLine="11"/>
        <w:rPr>
          <w:b/>
          <w:sz w:val="22"/>
          <w:szCs w:val="22"/>
          <w:lang w:val="pl-PL"/>
        </w:rPr>
      </w:pPr>
    </w:p>
    <w:p w14:paraId="6E09009F" w14:textId="77777777" w:rsidR="00BF76C4" w:rsidRDefault="00BF76C4">
      <w:pPr>
        <w:pStyle w:val="BodyTextIndent3"/>
        <w:spacing w:line="240" w:lineRule="auto"/>
        <w:jc w:val="left"/>
        <w:rPr>
          <w:sz w:val="22"/>
          <w:szCs w:val="22"/>
        </w:rPr>
      </w:pPr>
      <w:r>
        <w:rPr>
          <w:sz w:val="22"/>
          <w:szCs w:val="22"/>
        </w:rPr>
        <w:t xml:space="preserve">4.6 </w:t>
      </w:r>
      <w:r w:rsidR="00AC047D" w:rsidRPr="00AC047D">
        <w:rPr>
          <w:sz w:val="22"/>
          <w:szCs w:val="22"/>
        </w:rPr>
        <w:t>Wpływ na płodność, ciążę i laktację</w:t>
      </w:r>
    </w:p>
    <w:p w14:paraId="6A69BA7C" w14:textId="77777777" w:rsidR="00EB67AE" w:rsidRDefault="00EB67AE">
      <w:pPr>
        <w:pStyle w:val="BodyTextIndent3"/>
        <w:spacing w:line="240" w:lineRule="auto"/>
        <w:jc w:val="left"/>
        <w:rPr>
          <w:sz w:val="22"/>
          <w:szCs w:val="22"/>
        </w:rPr>
      </w:pPr>
    </w:p>
    <w:p w14:paraId="75242872" w14:textId="77777777" w:rsidR="002D3F54" w:rsidRPr="00FC3A5E" w:rsidRDefault="00AC047D">
      <w:pPr>
        <w:ind w:right="-2" w:firstLine="11"/>
        <w:rPr>
          <w:sz w:val="22"/>
          <w:szCs w:val="22"/>
          <w:u w:val="single"/>
          <w:lang w:val="pl-PL"/>
        </w:rPr>
      </w:pPr>
      <w:r w:rsidRPr="00FC3A5E">
        <w:rPr>
          <w:sz w:val="22"/>
          <w:szCs w:val="22"/>
          <w:u w:val="single"/>
          <w:lang w:val="pl-PL"/>
        </w:rPr>
        <w:t>Ciąża</w:t>
      </w:r>
      <w:r w:rsidRPr="00FC3A5E" w:rsidDel="00AC047D">
        <w:rPr>
          <w:sz w:val="22"/>
          <w:szCs w:val="22"/>
          <w:u w:val="single"/>
          <w:lang w:val="pl-PL"/>
        </w:rPr>
        <w:t xml:space="preserve"> </w:t>
      </w:r>
    </w:p>
    <w:p w14:paraId="073091DB" w14:textId="77777777" w:rsidR="00BF76C4" w:rsidRDefault="00BF76C4">
      <w:pPr>
        <w:ind w:right="-2" w:firstLine="11"/>
        <w:rPr>
          <w:sz w:val="22"/>
          <w:szCs w:val="22"/>
          <w:lang w:val="pl-PL"/>
        </w:rPr>
      </w:pPr>
      <w:r>
        <w:rPr>
          <w:sz w:val="22"/>
          <w:szCs w:val="22"/>
          <w:lang w:val="pl-PL"/>
        </w:rPr>
        <w:t xml:space="preserve">W badaniach na zwierzętach stwierdzono, że glikokortykosteroidy wykazują działanie teratogenne nawet po stosowaniu małych dawek doustnie. Działanie teratogenne stwierdzono także u zwierząt po stosowaniu na skórę silnych glikokortykosteroidów. Nie przeprowadzono kontrolowanych badań w zakresie możliwości działania teratogennego po miejscowym stosowaniu na skórę </w:t>
      </w:r>
      <w:r w:rsidR="00AD6566">
        <w:rPr>
          <w:sz w:val="22"/>
          <w:szCs w:val="22"/>
          <w:lang w:val="pl-PL"/>
        </w:rPr>
        <w:t xml:space="preserve">propionianu </w:t>
      </w:r>
      <w:r>
        <w:rPr>
          <w:sz w:val="22"/>
          <w:szCs w:val="22"/>
          <w:lang w:val="pl-PL"/>
        </w:rPr>
        <w:t>klobetazolu u kobiet ciężarnych.</w:t>
      </w:r>
      <w:r w:rsidR="00BE1548">
        <w:rPr>
          <w:sz w:val="22"/>
          <w:szCs w:val="22"/>
          <w:lang w:val="pl-PL"/>
        </w:rPr>
        <w:t xml:space="preserve"> </w:t>
      </w:r>
      <w:r w:rsidR="00AD6566">
        <w:rPr>
          <w:sz w:val="22"/>
          <w:szCs w:val="22"/>
          <w:lang w:val="pl-PL"/>
        </w:rPr>
        <w:t>Propionian k</w:t>
      </w:r>
      <w:r>
        <w:rPr>
          <w:sz w:val="22"/>
          <w:szCs w:val="22"/>
          <w:lang w:val="pl-PL"/>
        </w:rPr>
        <w:t>lobetazolu jest glikokortykosteroidem o bardzo silnym działaniu i dlatego  nie należy stosować produktu leczniczego Clobederm maść u kobiet w ciąży, jeśli nie jest to bezwzględnie konieczne.</w:t>
      </w:r>
    </w:p>
    <w:p w14:paraId="6D583C86" w14:textId="77777777" w:rsidR="00BF76C4" w:rsidRDefault="00BF76C4">
      <w:pPr>
        <w:ind w:right="-710" w:firstLine="11"/>
        <w:rPr>
          <w:b/>
          <w:sz w:val="22"/>
          <w:szCs w:val="22"/>
          <w:lang w:val="pl-PL"/>
        </w:rPr>
      </w:pPr>
    </w:p>
    <w:p w14:paraId="6D16C2D5" w14:textId="77777777" w:rsidR="002D3F54" w:rsidRPr="00FC3A5E" w:rsidRDefault="00AC047D">
      <w:pPr>
        <w:ind w:right="-2" w:firstLine="11"/>
        <w:rPr>
          <w:sz w:val="22"/>
          <w:szCs w:val="22"/>
          <w:u w:val="single"/>
          <w:lang w:val="pl-PL"/>
        </w:rPr>
      </w:pPr>
      <w:r w:rsidRPr="00FC3A5E">
        <w:rPr>
          <w:sz w:val="22"/>
          <w:szCs w:val="22"/>
          <w:u w:val="single"/>
          <w:lang w:val="pl-PL"/>
        </w:rPr>
        <w:t>Karmienie piersią</w:t>
      </w:r>
      <w:r w:rsidRPr="00FC3A5E" w:rsidDel="00AC047D">
        <w:rPr>
          <w:sz w:val="22"/>
          <w:szCs w:val="22"/>
          <w:u w:val="single"/>
          <w:lang w:val="pl-PL"/>
        </w:rPr>
        <w:t xml:space="preserve"> </w:t>
      </w:r>
    </w:p>
    <w:p w14:paraId="1D3D63C9" w14:textId="77777777" w:rsidR="00BF76C4" w:rsidRDefault="00BF76C4">
      <w:pPr>
        <w:ind w:right="-2" w:firstLine="11"/>
        <w:rPr>
          <w:sz w:val="22"/>
          <w:szCs w:val="22"/>
          <w:lang w:val="pl-PL"/>
        </w:rPr>
      </w:pPr>
      <w:r>
        <w:rPr>
          <w:sz w:val="22"/>
          <w:szCs w:val="22"/>
          <w:lang w:val="pl-PL"/>
        </w:rPr>
        <w:t xml:space="preserve">Nie jest wiadomo w jakim stopniu </w:t>
      </w:r>
      <w:r w:rsidR="00B63032">
        <w:rPr>
          <w:sz w:val="22"/>
          <w:szCs w:val="22"/>
          <w:lang w:val="pl-PL"/>
        </w:rPr>
        <w:t xml:space="preserve">propionian </w:t>
      </w:r>
      <w:r>
        <w:rPr>
          <w:sz w:val="22"/>
          <w:szCs w:val="22"/>
          <w:lang w:val="pl-PL"/>
        </w:rPr>
        <w:t xml:space="preserve">klobetazolu po zastosowaniu miejscowym może przenikać do mleka u kobiet karmiących piersią. </w:t>
      </w:r>
    </w:p>
    <w:p w14:paraId="5729D9FA" w14:textId="77777777" w:rsidR="00BF76C4" w:rsidRDefault="00B63032" w:rsidP="00D17407">
      <w:pPr>
        <w:ind w:right="-2" w:firstLine="11"/>
        <w:rPr>
          <w:sz w:val="22"/>
          <w:szCs w:val="22"/>
          <w:lang w:val="pl-PL"/>
        </w:rPr>
      </w:pPr>
      <w:r>
        <w:rPr>
          <w:sz w:val="22"/>
          <w:szCs w:val="22"/>
          <w:lang w:val="pl-PL"/>
        </w:rPr>
        <w:t>Propionian k</w:t>
      </w:r>
      <w:r w:rsidR="00BF76C4">
        <w:rPr>
          <w:sz w:val="22"/>
          <w:szCs w:val="22"/>
          <w:lang w:val="pl-PL"/>
        </w:rPr>
        <w:t>lobetazolu jest glikokortykosteroidem o bardzo silnym działaniu i dlatego nie zaleca się stosowania produktu leczniczego Clobederm maść u kobiet w okresie karmienia piersią.</w:t>
      </w:r>
    </w:p>
    <w:p w14:paraId="7B9C425B" w14:textId="77777777" w:rsidR="00BF76C4" w:rsidRDefault="00BF76C4" w:rsidP="00D17407">
      <w:pPr>
        <w:ind w:right="-710" w:firstLine="11"/>
        <w:rPr>
          <w:b/>
          <w:sz w:val="22"/>
          <w:szCs w:val="22"/>
          <w:lang w:val="pl-PL"/>
        </w:rPr>
      </w:pPr>
    </w:p>
    <w:p w14:paraId="34AA8489" w14:textId="77777777" w:rsidR="002D3F54" w:rsidRDefault="00BF76C4" w:rsidP="00D17407">
      <w:pPr>
        <w:pStyle w:val="BodyTextIndent3"/>
        <w:spacing w:line="240" w:lineRule="auto"/>
        <w:ind w:right="-2"/>
        <w:jc w:val="left"/>
        <w:rPr>
          <w:sz w:val="22"/>
          <w:szCs w:val="22"/>
        </w:rPr>
      </w:pPr>
      <w:r>
        <w:rPr>
          <w:sz w:val="22"/>
          <w:szCs w:val="22"/>
        </w:rPr>
        <w:t xml:space="preserve">4.7 </w:t>
      </w:r>
      <w:r w:rsidR="00AC047D" w:rsidRPr="00AC047D">
        <w:rPr>
          <w:sz w:val="22"/>
          <w:szCs w:val="22"/>
        </w:rPr>
        <w:t>Wpływ na zdolność prowadzenia pojazdów i obsługiwania maszyn</w:t>
      </w:r>
      <w:r w:rsidR="00AC047D" w:rsidRPr="00AC047D" w:rsidDel="00AC047D">
        <w:rPr>
          <w:sz w:val="22"/>
          <w:szCs w:val="22"/>
        </w:rPr>
        <w:t xml:space="preserve"> </w:t>
      </w:r>
    </w:p>
    <w:p w14:paraId="0CAB4FC5" w14:textId="77777777" w:rsidR="00D17407" w:rsidRDefault="00D17407" w:rsidP="00D17407">
      <w:pPr>
        <w:ind w:right="-710" w:firstLine="11"/>
        <w:rPr>
          <w:sz w:val="22"/>
          <w:szCs w:val="22"/>
          <w:lang w:val="pl-PL"/>
        </w:rPr>
      </w:pPr>
    </w:p>
    <w:p w14:paraId="231FDD6F" w14:textId="77777777" w:rsidR="00BF76C4" w:rsidRPr="008E0359" w:rsidRDefault="00B63032" w:rsidP="00D17407">
      <w:pPr>
        <w:ind w:right="-710" w:firstLine="11"/>
        <w:rPr>
          <w:sz w:val="22"/>
          <w:szCs w:val="22"/>
          <w:lang w:val="pl-PL"/>
        </w:rPr>
      </w:pPr>
      <w:r w:rsidRPr="00070A08">
        <w:rPr>
          <w:sz w:val="22"/>
          <w:szCs w:val="22"/>
          <w:lang w:val="pl-PL"/>
        </w:rPr>
        <w:t>Clobederm maść nie ma wpływu na zdolność prowadzenia pojazdów i obsługiwania maszyn.</w:t>
      </w:r>
    </w:p>
    <w:p w14:paraId="187EACE4" w14:textId="77777777" w:rsidR="00D17407" w:rsidRDefault="00D17407" w:rsidP="00D17407">
      <w:pPr>
        <w:ind w:right="-710" w:firstLine="11"/>
        <w:rPr>
          <w:b/>
          <w:sz w:val="22"/>
          <w:szCs w:val="22"/>
          <w:lang w:val="pl-PL"/>
        </w:rPr>
      </w:pPr>
    </w:p>
    <w:p w14:paraId="4EBB57D5" w14:textId="77777777" w:rsidR="00BF76C4" w:rsidRDefault="00BF76C4" w:rsidP="00D17407">
      <w:pPr>
        <w:ind w:right="-710" w:firstLine="11"/>
        <w:rPr>
          <w:b/>
          <w:sz w:val="22"/>
          <w:szCs w:val="22"/>
          <w:lang w:val="pl-PL"/>
        </w:rPr>
      </w:pPr>
      <w:r>
        <w:rPr>
          <w:b/>
          <w:sz w:val="22"/>
          <w:szCs w:val="22"/>
          <w:lang w:val="pl-PL"/>
        </w:rPr>
        <w:t>4.8 Działania niepożądane</w:t>
      </w:r>
    </w:p>
    <w:p w14:paraId="04255848" w14:textId="77777777" w:rsidR="00EB67AE" w:rsidRDefault="00EB67AE" w:rsidP="00D17407">
      <w:pPr>
        <w:ind w:right="-710" w:firstLine="11"/>
        <w:rPr>
          <w:b/>
          <w:sz w:val="22"/>
          <w:szCs w:val="22"/>
          <w:lang w:val="pl-PL"/>
        </w:rPr>
      </w:pPr>
    </w:p>
    <w:p w14:paraId="27B863BA" w14:textId="77777777" w:rsidR="00DB160B" w:rsidRPr="00830004" w:rsidRDefault="00DB160B" w:rsidP="00D17407">
      <w:pPr>
        <w:shd w:val="clear" w:color="auto" w:fill="FFFFFF"/>
        <w:ind w:left="77" w:hanging="77"/>
        <w:rPr>
          <w:sz w:val="22"/>
          <w:szCs w:val="22"/>
          <w:lang w:val="pl-PL"/>
        </w:rPr>
      </w:pPr>
      <w:r w:rsidRPr="00830004">
        <w:rPr>
          <w:sz w:val="22"/>
          <w:szCs w:val="22"/>
          <w:lang w:val="pl-PL"/>
        </w:rPr>
        <w:t xml:space="preserve">Częstość występowania działań niepożądanych została określona w następujący sposób: </w:t>
      </w:r>
    </w:p>
    <w:p w14:paraId="67D6986E" w14:textId="77777777" w:rsidR="00DB160B" w:rsidRPr="00830004" w:rsidRDefault="00DB160B" w:rsidP="00DB160B">
      <w:pPr>
        <w:rPr>
          <w:sz w:val="22"/>
          <w:szCs w:val="22"/>
          <w:lang w:val="pl-PL"/>
        </w:rPr>
      </w:pPr>
      <w:r w:rsidRPr="00830004">
        <w:rPr>
          <w:sz w:val="22"/>
          <w:szCs w:val="22"/>
          <w:lang w:val="pl-PL"/>
        </w:rPr>
        <w:t>Bardzo często: (&gt; 1/10)</w:t>
      </w:r>
    </w:p>
    <w:p w14:paraId="2EA2A734" w14:textId="77777777" w:rsidR="00DB160B" w:rsidRPr="00830004" w:rsidRDefault="00DB160B" w:rsidP="00DB160B">
      <w:pPr>
        <w:rPr>
          <w:sz w:val="22"/>
          <w:szCs w:val="22"/>
          <w:lang w:val="pl-PL"/>
        </w:rPr>
      </w:pPr>
      <w:r w:rsidRPr="00830004">
        <w:rPr>
          <w:sz w:val="22"/>
          <w:szCs w:val="22"/>
          <w:lang w:val="pl-PL"/>
        </w:rPr>
        <w:t>Często: (&gt; 1/100, &lt; 1/10)</w:t>
      </w:r>
    </w:p>
    <w:p w14:paraId="30F5374E" w14:textId="77777777" w:rsidR="00DB160B" w:rsidRPr="00830004" w:rsidRDefault="00DB160B" w:rsidP="00DB160B">
      <w:pPr>
        <w:rPr>
          <w:sz w:val="22"/>
          <w:szCs w:val="22"/>
          <w:lang w:val="pl-PL"/>
        </w:rPr>
      </w:pPr>
      <w:r w:rsidRPr="00830004">
        <w:rPr>
          <w:sz w:val="22"/>
          <w:szCs w:val="22"/>
          <w:lang w:val="pl-PL"/>
        </w:rPr>
        <w:t>Niezbyt często: (&gt; 1/1 000, &lt; 1/100)</w:t>
      </w:r>
    </w:p>
    <w:p w14:paraId="4A5774C4" w14:textId="77777777" w:rsidR="00DB160B" w:rsidRPr="00830004" w:rsidRDefault="00DB160B" w:rsidP="00DB160B">
      <w:pPr>
        <w:rPr>
          <w:sz w:val="22"/>
          <w:szCs w:val="22"/>
          <w:lang w:val="pl-PL"/>
        </w:rPr>
      </w:pPr>
      <w:r w:rsidRPr="00830004">
        <w:rPr>
          <w:sz w:val="22"/>
          <w:szCs w:val="22"/>
          <w:lang w:val="pl-PL"/>
        </w:rPr>
        <w:t>Rzadko: (&gt; 1/10 000, &lt; 1/1 000)</w:t>
      </w:r>
    </w:p>
    <w:p w14:paraId="18275D58" w14:textId="77777777" w:rsidR="00DB160B" w:rsidRPr="00830004" w:rsidRDefault="00DB160B" w:rsidP="00DB160B">
      <w:pPr>
        <w:rPr>
          <w:sz w:val="22"/>
          <w:szCs w:val="22"/>
          <w:lang w:val="pl-PL"/>
        </w:rPr>
      </w:pPr>
      <w:r w:rsidRPr="00830004">
        <w:rPr>
          <w:sz w:val="22"/>
          <w:szCs w:val="22"/>
          <w:lang w:val="pl-PL"/>
        </w:rPr>
        <w:t>Bardzo rzadko: (&lt; 1/10 000) w tym pojedyncze przypadki</w:t>
      </w:r>
    </w:p>
    <w:p w14:paraId="3934C027" w14:textId="77777777" w:rsidR="00DB160B" w:rsidRPr="00830004" w:rsidRDefault="00DB160B" w:rsidP="00DB160B">
      <w:pPr>
        <w:rPr>
          <w:sz w:val="22"/>
          <w:szCs w:val="22"/>
          <w:lang w:val="pl-PL"/>
        </w:rPr>
      </w:pPr>
      <w:r w:rsidRPr="00830004">
        <w:rPr>
          <w:sz w:val="22"/>
          <w:szCs w:val="22"/>
          <w:lang w:val="pl-PL"/>
        </w:rPr>
        <w:t>Częstość nieznana (częstość nie może być określona na podstawie dostępnych danych)</w:t>
      </w:r>
    </w:p>
    <w:p w14:paraId="37BC6113" w14:textId="77777777" w:rsidR="00DB160B" w:rsidRDefault="00DB160B">
      <w:pPr>
        <w:pStyle w:val="BodyText"/>
        <w:tabs>
          <w:tab w:val="left" w:pos="1418"/>
          <w:tab w:val="left" w:pos="1560"/>
          <w:tab w:val="left" w:pos="9356"/>
        </w:tabs>
        <w:rPr>
          <w:sz w:val="22"/>
          <w:szCs w:val="22"/>
          <w:lang w:val="pl-PL"/>
        </w:rPr>
      </w:pPr>
    </w:p>
    <w:p w14:paraId="50E4E5A0" w14:textId="77777777" w:rsidR="00D17407" w:rsidRDefault="00D17407">
      <w:pPr>
        <w:pStyle w:val="BodyText"/>
        <w:tabs>
          <w:tab w:val="left" w:pos="1418"/>
          <w:tab w:val="left" w:pos="1560"/>
          <w:tab w:val="left" w:pos="9356"/>
        </w:tabs>
        <w:rPr>
          <w:sz w:val="22"/>
          <w:szCs w:val="22"/>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073"/>
        <w:gridCol w:w="4199"/>
      </w:tblGrid>
      <w:tr w:rsidR="006D6E90" w:rsidRPr="000975DB" w14:paraId="4120FB51" w14:textId="77777777" w:rsidTr="00890D48">
        <w:tc>
          <w:tcPr>
            <w:tcW w:w="2450" w:type="dxa"/>
            <w:shd w:val="clear" w:color="auto" w:fill="auto"/>
            <w:vAlign w:val="center"/>
          </w:tcPr>
          <w:p w14:paraId="784A0F27" w14:textId="77777777" w:rsidR="006D6E90" w:rsidRPr="000975DB" w:rsidRDefault="006D6E90" w:rsidP="00890D48">
            <w:pPr>
              <w:rPr>
                <w:b/>
                <w:bCs/>
                <w:sz w:val="22"/>
                <w:szCs w:val="22"/>
              </w:rPr>
            </w:pPr>
            <w:r w:rsidRPr="000975DB">
              <w:rPr>
                <w:b/>
                <w:bCs/>
                <w:sz w:val="22"/>
                <w:szCs w:val="22"/>
              </w:rPr>
              <w:t xml:space="preserve">Klasyfikacja układów </w:t>
            </w:r>
          </w:p>
          <w:p w14:paraId="4C3437D0" w14:textId="77777777" w:rsidR="006D6E90" w:rsidRPr="000975DB" w:rsidRDefault="006D6E90" w:rsidP="00890D48">
            <w:pPr>
              <w:rPr>
                <w:b/>
                <w:bCs/>
                <w:sz w:val="22"/>
                <w:szCs w:val="22"/>
              </w:rPr>
            </w:pPr>
            <w:r w:rsidRPr="000975DB">
              <w:rPr>
                <w:b/>
                <w:bCs/>
                <w:sz w:val="22"/>
                <w:szCs w:val="22"/>
              </w:rPr>
              <w:t>i narządów</w:t>
            </w:r>
          </w:p>
        </w:tc>
        <w:tc>
          <w:tcPr>
            <w:tcW w:w="2073" w:type="dxa"/>
            <w:shd w:val="clear" w:color="auto" w:fill="auto"/>
            <w:vAlign w:val="center"/>
          </w:tcPr>
          <w:p w14:paraId="0A4E0F17" w14:textId="77777777" w:rsidR="006D6E90" w:rsidRPr="000975DB" w:rsidRDefault="006D6E90" w:rsidP="00890D48">
            <w:pPr>
              <w:rPr>
                <w:b/>
                <w:bCs/>
                <w:sz w:val="22"/>
                <w:szCs w:val="22"/>
              </w:rPr>
            </w:pPr>
            <w:r w:rsidRPr="000975DB">
              <w:rPr>
                <w:b/>
                <w:bCs/>
                <w:sz w:val="22"/>
                <w:szCs w:val="22"/>
              </w:rPr>
              <w:t>Częstość występowania</w:t>
            </w:r>
          </w:p>
        </w:tc>
        <w:tc>
          <w:tcPr>
            <w:tcW w:w="4199" w:type="dxa"/>
            <w:shd w:val="clear" w:color="auto" w:fill="auto"/>
            <w:vAlign w:val="center"/>
          </w:tcPr>
          <w:p w14:paraId="6FA5A7BD" w14:textId="77777777" w:rsidR="006D6E90" w:rsidRPr="000975DB" w:rsidRDefault="006D6E90" w:rsidP="00890D48">
            <w:pPr>
              <w:rPr>
                <w:b/>
                <w:bCs/>
                <w:sz w:val="22"/>
                <w:szCs w:val="22"/>
              </w:rPr>
            </w:pPr>
            <w:r w:rsidRPr="000975DB">
              <w:rPr>
                <w:b/>
                <w:bCs/>
                <w:sz w:val="22"/>
                <w:szCs w:val="22"/>
              </w:rPr>
              <w:t>Działanie niepożądane</w:t>
            </w:r>
          </w:p>
        </w:tc>
      </w:tr>
      <w:tr w:rsidR="006D6E90" w:rsidRPr="0042219A" w14:paraId="167730C9" w14:textId="77777777" w:rsidTr="00890D48">
        <w:tc>
          <w:tcPr>
            <w:tcW w:w="2450" w:type="dxa"/>
            <w:shd w:val="clear" w:color="auto" w:fill="auto"/>
            <w:vAlign w:val="center"/>
          </w:tcPr>
          <w:p w14:paraId="29561D6E" w14:textId="77777777" w:rsidR="006D6E90" w:rsidRPr="000975DB" w:rsidRDefault="006D6E90" w:rsidP="00890D48">
            <w:pPr>
              <w:rPr>
                <w:bCs/>
                <w:sz w:val="22"/>
                <w:szCs w:val="22"/>
              </w:rPr>
            </w:pPr>
            <w:r w:rsidRPr="000975DB">
              <w:rPr>
                <w:bCs/>
                <w:sz w:val="22"/>
                <w:szCs w:val="22"/>
              </w:rPr>
              <w:t>Zaburzenia oka</w:t>
            </w:r>
          </w:p>
        </w:tc>
        <w:tc>
          <w:tcPr>
            <w:tcW w:w="2073" w:type="dxa"/>
            <w:shd w:val="clear" w:color="auto" w:fill="auto"/>
            <w:vAlign w:val="center"/>
          </w:tcPr>
          <w:p w14:paraId="67B3D7FB" w14:textId="77777777" w:rsidR="006D6E90" w:rsidRPr="000975DB" w:rsidRDefault="006D6E90" w:rsidP="00890D48">
            <w:pPr>
              <w:rPr>
                <w:bCs/>
                <w:sz w:val="22"/>
                <w:szCs w:val="22"/>
              </w:rPr>
            </w:pPr>
            <w:r>
              <w:rPr>
                <w:bCs/>
                <w:sz w:val="22"/>
                <w:szCs w:val="22"/>
              </w:rPr>
              <w:t>Nieznana</w:t>
            </w:r>
          </w:p>
        </w:tc>
        <w:tc>
          <w:tcPr>
            <w:tcW w:w="4199" w:type="dxa"/>
            <w:shd w:val="clear" w:color="auto" w:fill="auto"/>
            <w:vAlign w:val="center"/>
          </w:tcPr>
          <w:p w14:paraId="79719BE9" w14:textId="77777777" w:rsidR="006D6E90" w:rsidRPr="00830004" w:rsidRDefault="006D6E90" w:rsidP="00830004">
            <w:pPr>
              <w:spacing w:after="240"/>
              <w:rPr>
                <w:bCs/>
                <w:sz w:val="22"/>
                <w:szCs w:val="22"/>
                <w:lang w:val="pl-PL"/>
              </w:rPr>
            </w:pPr>
            <w:r w:rsidRPr="00830004">
              <w:rPr>
                <w:bCs/>
                <w:sz w:val="22"/>
                <w:szCs w:val="22"/>
                <w:lang w:val="pl-PL"/>
              </w:rPr>
              <w:t>Nieostre widzenie (patrz także punkt 4.4).</w:t>
            </w:r>
            <w:r>
              <w:rPr>
                <w:bCs/>
                <w:sz w:val="22"/>
                <w:szCs w:val="22"/>
                <w:lang w:val="pl-PL"/>
              </w:rPr>
              <w:t xml:space="preserve"> </w:t>
            </w:r>
            <w:r>
              <w:rPr>
                <w:sz w:val="22"/>
                <w:szCs w:val="22"/>
                <w:lang w:val="pl-PL"/>
              </w:rPr>
              <w:t>W razie stosowania miejscowego na skórę powiek, niekiedy może wystąpić jaskra lub zaćma.</w:t>
            </w:r>
          </w:p>
        </w:tc>
      </w:tr>
      <w:tr w:rsidR="006D6E90" w:rsidRPr="0042219A" w14:paraId="54296C5B" w14:textId="77777777" w:rsidTr="00890D48">
        <w:tc>
          <w:tcPr>
            <w:tcW w:w="2450" w:type="dxa"/>
            <w:shd w:val="clear" w:color="auto" w:fill="auto"/>
            <w:vAlign w:val="center"/>
          </w:tcPr>
          <w:p w14:paraId="75973B4D" w14:textId="77777777" w:rsidR="006D6E90" w:rsidRPr="00830004" w:rsidRDefault="006D6E90" w:rsidP="00890D48">
            <w:pPr>
              <w:rPr>
                <w:bCs/>
                <w:sz w:val="22"/>
                <w:szCs w:val="22"/>
                <w:lang w:val="pl-PL"/>
              </w:rPr>
            </w:pPr>
            <w:r w:rsidRPr="00830004">
              <w:rPr>
                <w:bCs/>
                <w:sz w:val="22"/>
                <w:szCs w:val="22"/>
                <w:lang w:val="pl-PL"/>
              </w:rPr>
              <w:t>Zaburzenia skóry i tkanki podskórnej</w:t>
            </w:r>
          </w:p>
        </w:tc>
        <w:tc>
          <w:tcPr>
            <w:tcW w:w="2073" w:type="dxa"/>
            <w:shd w:val="clear" w:color="auto" w:fill="auto"/>
            <w:vAlign w:val="center"/>
          </w:tcPr>
          <w:p w14:paraId="45CAE039" w14:textId="77777777" w:rsidR="006D6E90" w:rsidRPr="004333A4" w:rsidRDefault="006D6E90" w:rsidP="00890D48">
            <w:pPr>
              <w:rPr>
                <w:bCs/>
                <w:sz w:val="22"/>
                <w:szCs w:val="22"/>
              </w:rPr>
            </w:pPr>
            <w:r w:rsidRPr="004333A4">
              <w:rPr>
                <w:bCs/>
                <w:sz w:val="22"/>
                <w:szCs w:val="22"/>
              </w:rPr>
              <w:t>Nieznana</w:t>
            </w:r>
          </w:p>
        </w:tc>
        <w:tc>
          <w:tcPr>
            <w:tcW w:w="4199" w:type="dxa"/>
            <w:shd w:val="clear" w:color="auto" w:fill="auto"/>
            <w:vAlign w:val="center"/>
          </w:tcPr>
          <w:p w14:paraId="1308D03D" w14:textId="77777777" w:rsidR="006D6E90" w:rsidRPr="00830004" w:rsidRDefault="006D6E90" w:rsidP="00890D48">
            <w:pPr>
              <w:rPr>
                <w:b/>
                <w:bCs/>
                <w:sz w:val="22"/>
                <w:szCs w:val="22"/>
                <w:lang w:val="pl-PL"/>
              </w:rPr>
            </w:pPr>
            <w:r>
              <w:rPr>
                <w:sz w:val="22"/>
                <w:szCs w:val="22"/>
                <w:lang w:val="pl-PL"/>
              </w:rPr>
              <w:t>zmiany trądzikopodobne, plamica posteroidowa, zahamowanie wzrostu naskórka, pieczenie, świąd, podrażnienie, wysypka, zaniki tkanki podskórnej, suchość skóry, nadmierne owłosienie lub łysienie, odbarwienie lub przebarwienie skóry, zanik i rozstępy skóry, teleangiektazje, stan zapalny skóry dookoła ust, zapalenie mieszków włosowych skóry, rozstępy, wtórne zakażenia, uogólniona łuszczyca krostkowa. Niekiedy może wystąpić pokrzywka lub wysypka plamisto-grudkowa albo zaostrzenie istniejących zmian chorobowych</w:t>
            </w:r>
            <w:r w:rsidRPr="00E20CDF">
              <w:rPr>
                <w:sz w:val="22"/>
                <w:szCs w:val="22"/>
                <w:lang w:val="pl-PL"/>
              </w:rPr>
              <w:t xml:space="preserve"> </w:t>
            </w:r>
          </w:p>
        </w:tc>
      </w:tr>
      <w:tr w:rsidR="006D6E90" w:rsidRPr="0042219A" w14:paraId="54C11203" w14:textId="77777777" w:rsidTr="00890D48">
        <w:tc>
          <w:tcPr>
            <w:tcW w:w="2450" w:type="dxa"/>
            <w:shd w:val="clear" w:color="auto" w:fill="auto"/>
            <w:vAlign w:val="center"/>
          </w:tcPr>
          <w:p w14:paraId="542EC1BD" w14:textId="77777777" w:rsidR="006D6E90" w:rsidRPr="00830004" w:rsidRDefault="006D6E90" w:rsidP="00890D48">
            <w:pPr>
              <w:rPr>
                <w:bCs/>
                <w:sz w:val="22"/>
                <w:szCs w:val="22"/>
                <w:lang w:val="pl-PL"/>
              </w:rPr>
            </w:pPr>
            <w:r w:rsidRPr="00830004">
              <w:rPr>
                <w:bCs/>
                <w:sz w:val="22"/>
                <w:szCs w:val="22"/>
                <w:lang w:val="pl-PL"/>
              </w:rPr>
              <w:t>Zaburzenia ogólne i stany w miejscu podania</w:t>
            </w:r>
          </w:p>
        </w:tc>
        <w:tc>
          <w:tcPr>
            <w:tcW w:w="2073" w:type="dxa"/>
            <w:shd w:val="clear" w:color="auto" w:fill="auto"/>
            <w:vAlign w:val="center"/>
          </w:tcPr>
          <w:p w14:paraId="20CB51F8" w14:textId="77777777" w:rsidR="006D6E90" w:rsidRDefault="006D6E90" w:rsidP="00890D48">
            <w:pPr>
              <w:rPr>
                <w:bCs/>
                <w:sz w:val="22"/>
                <w:szCs w:val="22"/>
              </w:rPr>
            </w:pPr>
            <w:r>
              <w:rPr>
                <w:bCs/>
                <w:sz w:val="22"/>
                <w:szCs w:val="22"/>
              </w:rPr>
              <w:t>Nieznana</w:t>
            </w:r>
          </w:p>
        </w:tc>
        <w:tc>
          <w:tcPr>
            <w:tcW w:w="4199" w:type="dxa"/>
            <w:shd w:val="clear" w:color="auto" w:fill="auto"/>
            <w:vAlign w:val="center"/>
          </w:tcPr>
          <w:p w14:paraId="3314568F" w14:textId="77777777" w:rsidR="006D6E90" w:rsidRPr="00830004" w:rsidRDefault="00D52CCE" w:rsidP="00890D48">
            <w:pPr>
              <w:shd w:val="clear" w:color="auto" w:fill="FFFFFF"/>
              <w:ind w:left="29"/>
              <w:rPr>
                <w:sz w:val="22"/>
                <w:szCs w:val="22"/>
                <w:lang w:val="pl-PL"/>
              </w:rPr>
            </w:pPr>
            <w:r>
              <w:rPr>
                <w:sz w:val="22"/>
                <w:szCs w:val="22"/>
                <w:lang w:val="pl-PL"/>
              </w:rPr>
              <w:t xml:space="preserve">zahamowanie czynności osi podwzgórze–przysadka–nadnercza, zespół Cushinga, hamowanie wzrostu i rozwoju u dzieci, </w:t>
            </w:r>
            <w:r>
              <w:rPr>
                <w:spacing w:val="-3"/>
                <w:kern w:val="2"/>
                <w:sz w:val="22"/>
                <w:szCs w:val="22"/>
                <w:lang w:val="pl-PL"/>
              </w:rPr>
              <w:t xml:space="preserve">hiperglikemia, cukromocz, obrzęki, nadciśnienie tętnicze, zmniejszenie odporności </w:t>
            </w:r>
            <w:r w:rsidR="006D6E90" w:rsidRPr="00830004">
              <w:rPr>
                <w:sz w:val="22"/>
                <w:szCs w:val="22"/>
                <w:lang w:val="pl-PL"/>
              </w:rPr>
              <w:t xml:space="preserve"> </w:t>
            </w:r>
          </w:p>
          <w:p w14:paraId="2E498005" w14:textId="77777777" w:rsidR="006D6E90" w:rsidRPr="00830004" w:rsidRDefault="006D6E90" w:rsidP="00890D48">
            <w:pPr>
              <w:rPr>
                <w:bCs/>
                <w:sz w:val="22"/>
                <w:szCs w:val="22"/>
                <w:lang w:val="pl-PL"/>
              </w:rPr>
            </w:pPr>
          </w:p>
        </w:tc>
      </w:tr>
    </w:tbl>
    <w:p w14:paraId="0DDCE0E6" w14:textId="77777777" w:rsidR="00BF76C4" w:rsidRDefault="00BF76C4">
      <w:pPr>
        <w:pStyle w:val="BodyText"/>
        <w:tabs>
          <w:tab w:val="left" w:pos="1418"/>
          <w:tab w:val="left" w:pos="1560"/>
          <w:tab w:val="left" w:pos="9356"/>
        </w:tabs>
        <w:rPr>
          <w:sz w:val="22"/>
          <w:szCs w:val="22"/>
          <w:lang w:val="pl-PL"/>
        </w:rPr>
      </w:pPr>
    </w:p>
    <w:p w14:paraId="6DAC88EE" w14:textId="77777777" w:rsidR="00D17407" w:rsidRDefault="00D17407">
      <w:pPr>
        <w:pStyle w:val="BodyText"/>
        <w:tabs>
          <w:tab w:val="left" w:pos="1418"/>
          <w:tab w:val="left" w:pos="1560"/>
          <w:tab w:val="left" w:pos="9356"/>
        </w:tabs>
        <w:rPr>
          <w:sz w:val="22"/>
          <w:szCs w:val="22"/>
          <w:lang w:val="pl-PL"/>
        </w:rPr>
      </w:pPr>
    </w:p>
    <w:p w14:paraId="0F0E0734" w14:textId="77777777" w:rsidR="00D52CCE" w:rsidRDefault="00BF76C4" w:rsidP="00D52CCE">
      <w:pPr>
        <w:overflowPunct w:val="0"/>
        <w:autoSpaceDE w:val="0"/>
        <w:autoSpaceDN w:val="0"/>
        <w:adjustRightInd w:val="0"/>
        <w:rPr>
          <w:sz w:val="22"/>
          <w:szCs w:val="22"/>
          <w:lang w:val="pl-PL"/>
        </w:rPr>
      </w:pPr>
      <w:r>
        <w:rPr>
          <w:spacing w:val="-3"/>
          <w:kern w:val="2"/>
          <w:sz w:val="22"/>
          <w:szCs w:val="22"/>
          <w:lang w:val="pl-PL"/>
        </w:rPr>
        <w:t>W wyniku wchłaniania substancji czynnych do krwi mogą wystąpić ogólnoustrojowe działania niepożądane klobetazolu</w:t>
      </w:r>
      <w:r w:rsidR="00D52CCE">
        <w:rPr>
          <w:spacing w:val="-3"/>
          <w:kern w:val="2"/>
          <w:sz w:val="22"/>
          <w:szCs w:val="22"/>
          <w:lang w:val="pl-PL"/>
        </w:rPr>
        <w:t xml:space="preserve">, charakterystyczne dla kortykosteroidów, </w:t>
      </w:r>
      <w:r w:rsidR="00D52CCE">
        <w:rPr>
          <w:snapToGrid w:val="0"/>
          <w:sz w:val="22"/>
          <w:szCs w:val="22"/>
          <w:lang w:val="pl-PL"/>
        </w:rPr>
        <w:t>przede wszystkim w przypadku długotrwałego stosowania produktu leczniczego, stosowania go na dużą powierzchnię skóry, pod opatrunkiem okluzyjnym lub w przypadku stosowania u dzieci.</w:t>
      </w:r>
    </w:p>
    <w:p w14:paraId="2837095E" w14:textId="77777777" w:rsidR="00D52CCE" w:rsidRDefault="00D52CCE">
      <w:pPr>
        <w:tabs>
          <w:tab w:val="left" w:pos="3686"/>
        </w:tabs>
        <w:ind w:firstLine="11"/>
        <w:rPr>
          <w:sz w:val="22"/>
          <w:szCs w:val="22"/>
          <w:lang w:val="pl-PL"/>
        </w:rPr>
      </w:pPr>
    </w:p>
    <w:p w14:paraId="626F2CD2" w14:textId="77777777" w:rsidR="00BF76C4" w:rsidRDefault="00BF76C4">
      <w:pPr>
        <w:tabs>
          <w:tab w:val="left" w:pos="3686"/>
        </w:tabs>
        <w:ind w:firstLine="11"/>
        <w:rPr>
          <w:spacing w:val="-3"/>
          <w:kern w:val="2"/>
          <w:sz w:val="22"/>
          <w:szCs w:val="22"/>
          <w:lang w:val="pl-PL"/>
        </w:rPr>
      </w:pPr>
      <w:r>
        <w:rPr>
          <w:sz w:val="22"/>
          <w:szCs w:val="22"/>
          <w:lang w:val="pl-PL"/>
        </w:rPr>
        <w:t xml:space="preserve">Ogólnoustrojowe objawy niepożądane klobetazolu charakterystyczne dla kortykosteroidów, to m.in. zahamowanie czynności osi podwzgórze–przysadka–nadnercza, zespół Cushinga, hamowanie wzrostu i rozwoju u dzieci, </w:t>
      </w:r>
      <w:r>
        <w:rPr>
          <w:spacing w:val="-3"/>
          <w:kern w:val="2"/>
          <w:sz w:val="22"/>
          <w:szCs w:val="22"/>
          <w:lang w:val="pl-PL"/>
        </w:rPr>
        <w:t xml:space="preserve">hiperglikemia, cukromocz, obrzęki, nadciśnienie tętnicze, zmniejszenie odporności. </w:t>
      </w:r>
    </w:p>
    <w:p w14:paraId="5E174DAD" w14:textId="77777777" w:rsidR="00B63032" w:rsidRDefault="00B63032">
      <w:pPr>
        <w:tabs>
          <w:tab w:val="left" w:pos="3686"/>
        </w:tabs>
        <w:ind w:firstLine="11"/>
        <w:rPr>
          <w:spacing w:val="-3"/>
          <w:kern w:val="2"/>
          <w:sz w:val="22"/>
          <w:szCs w:val="22"/>
          <w:lang w:val="pl-PL"/>
        </w:rPr>
      </w:pPr>
    </w:p>
    <w:p w14:paraId="3F0BDA70" w14:textId="77777777" w:rsidR="00B63032" w:rsidRPr="0079226E" w:rsidRDefault="00B63032" w:rsidP="00830004">
      <w:pPr>
        <w:keepNext/>
        <w:tabs>
          <w:tab w:val="left" w:pos="3686"/>
        </w:tabs>
        <w:ind w:firstLine="11"/>
        <w:rPr>
          <w:sz w:val="22"/>
          <w:u w:val="single"/>
          <w:lang w:val="pl-PL"/>
        </w:rPr>
      </w:pPr>
      <w:r w:rsidRPr="0079226E">
        <w:rPr>
          <w:sz w:val="22"/>
          <w:u w:val="single"/>
          <w:lang w:val="pl-PL"/>
        </w:rPr>
        <w:t>Zgłaszanie podejrzewanych działań niepożądanych</w:t>
      </w:r>
    </w:p>
    <w:p w14:paraId="44C7C671" w14:textId="77777777" w:rsidR="00B63032" w:rsidRPr="00316DB6" w:rsidRDefault="00B63032" w:rsidP="00830004">
      <w:pPr>
        <w:keepNext/>
        <w:tabs>
          <w:tab w:val="left" w:pos="3686"/>
        </w:tabs>
        <w:ind w:firstLine="11"/>
        <w:rPr>
          <w:sz w:val="22"/>
          <w:lang w:val="pl-PL"/>
        </w:rPr>
      </w:pPr>
      <w:r w:rsidRPr="00C467E5">
        <w:rPr>
          <w:sz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316DB6">
        <w:rPr>
          <w:sz w:val="22"/>
          <w:lang w:val="pl-PL"/>
        </w:rPr>
        <w:t>Departamentu Monitorowania Niepożądanych Działań Produktów Leczniczych Urzędu Rejestracji Produktów Leczniczych, Wyrobów Medycznych i Produktów Biobójczych</w:t>
      </w:r>
    </w:p>
    <w:p w14:paraId="3F14A907" w14:textId="77777777" w:rsidR="00027668" w:rsidRPr="00830004" w:rsidRDefault="00027668" w:rsidP="00027668">
      <w:pPr>
        <w:rPr>
          <w:sz w:val="22"/>
          <w:szCs w:val="22"/>
          <w:lang w:val="pl-PL"/>
        </w:rPr>
      </w:pPr>
      <w:r w:rsidRPr="00830004">
        <w:rPr>
          <w:sz w:val="22"/>
          <w:szCs w:val="22"/>
          <w:lang w:val="pl-PL"/>
        </w:rPr>
        <w:t xml:space="preserve">Al. Jerozolimskie </w:t>
      </w:r>
      <w:smartTag w:uri="urn:schemas-microsoft-com:office:smarttags" w:element="metricconverter">
        <w:smartTagPr>
          <w:attr w:name="ProductID" w:val="181C"/>
        </w:smartTagPr>
        <w:smartTag w:uri="urn:schemas-microsoft-com:office:smarttags" w:element="metricconverter">
          <w:smartTagPr>
            <w:attr w:name="ProductID" w:val="181C"/>
          </w:smartTagPr>
          <w:r w:rsidRPr="00830004">
            <w:rPr>
              <w:sz w:val="22"/>
              <w:szCs w:val="22"/>
              <w:lang w:val="pl-PL"/>
            </w:rPr>
            <w:t>181C</w:t>
          </w:r>
        </w:smartTag>
        <w:r w:rsidRPr="00830004">
          <w:rPr>
            <w:sz w:val="22"/>
            <w:szCs w:val="22"/>
            <w:lang w:val="pl-PL"/>
          </w:rPr>
          <w:t xml:space="preserve">, </w:t>
        </w:r>
      </w:smartTag>
      <w:r w:rsidRPr="00830004">
        <w:rPr>
          <w:sz w:val="22"/>
          <w:szCs w:val="22"/>
          <w:lang w:val="pl-PL"/>
        </w:rPr>
        <w:t>02-222 Warszawa</w:t>
      </w:r>
      <w:r>
        <w:rPr>
          <w:sz w:val="22"/>
          <w:szCs w:val="22"/>
          <w:lang w:val="pl-PL"/>
        </w:rPr>
        <w:t>,</w:t>
      </w:r>
      <w:r w:rsidRPr="00830004">
        <w:rPr>
          <w:sz w:val="22"/>
          <w:szCs w:val="22"/>
          <w:lang w:val="pl-PL"/>
        </w:rPr>
        <w:t xml:space="preserve"> tel.: + 48 22 49 21 301, fax: + 48 22 49 21 309</w:t>
      </w:r>
    </w:p>
    <w:p w14:paraId="16A5526E" w14:textId="77777777" w:rsidR="00027668" w:rsidRPr="0007713D" w:rsidRDefault="001C548F" w:rsidP="00027668">
      <w:pPr>
        <w:rPr>
          <w:sz w:val="22"/>
          <w:szCs w:val="22"/>
          <w:lang w:val="pl-PL"/>
        </w:rPr>
      </w:pPr>
      <w:r w:rsidRPr="0007713D">
        <w:rPr>
          <w:sz w:val="22"/>
          <w:szCs w:val="22"/>
          <w:lang w:val="pl-PL"/>
        </w:rPr>
        <w:t>Strona internetowa: https://smz.ezdrowie.gov.pl</w:t>
      </w:r>
    </w:p>
    <w:p w14:paraId="5F57F41D" w14:textId="77777777" w:rsidR="00BF76C4" w:rsidRPr="00830004" w:rsidRDefault="00027668">
      <w:pPr>
        <w:tabs>
          <w:tab w:val="left" w:pos="3686"/>
        </w:tabs>
        <w:ind w:right="-710" w:firstLine="11"/>
        <w:rPr>
          <w:sz w:val="22"/>
          <w:szCs w:val="22"/>
          <w:lang w:val="pl-PL"/>
        </w:rPr>
      </w:pPr>
      <w:r w:rsidRPr="00830004">
        <w:rPr>
          <w:sz w:val="22"/>
          <w:szCs w:val="22"/>
          <w:lang w:val="pl-PL"/>
        </w:rPr>
        <w:t>Działania niepożądane można zgłas</w:t>
      </w:r>
      <w:r w:rsidR="00A91C93">
        <w:rPr>
          <w:sz w:val="22"/>
          <w:szCs w:val="22"/>
          <w:lang w:val="pl-PL"/>
        </w:rPr>
        <w:t>z</w:t>
      </w:r>
      <w:r w:rsidRPr="00830004">
        <w:rPr>
          <w:sz w:val="22"/>
          <w:szCs w:val="22"/>
          <w:lang w:val="pl-PL"/>
        </w:rPr>
        <w:t>ać również podmiotowi odpo</w:t>
      </w:r>
      <w:r>
        <w:rPr>
          <w:sz w:val="22"/>
          <w:szCs w:val="22"/>
          <w:lang w:val="pl-PL"/>
        </w:rPr>
        <w:t>wiedzialnemu.</w:t>
      </w:r>
    </w:p>
    <w:p w14:paraId="4C3CF88B" w14:textId="77777777" w:rsidR="00027668" w:rsidRPr="00830004" w:rsidRDefault="00027668">
      <w:pPr>
        <w:tabs>
          <w:tab w:val="left" w:pos="3686"/>
        </w:tabs>
        <w:ind w:right="-710" w:firstLine="11"/>
        <w:rPr>
          <w:b/>
          <w:sz w:val="22"/>
          <w:szCs w:val="22"/>
          <w:lang w:val="pl-PL"/>
        </w:rPr>
      </w:pPr>
    </w:p>
    <w:p w14:paraId="5A17B793" w14:textId="77777777" w:rsidR="00BF76C4" w:rsidRDefault="00BF76C4">
      <w:pPr>
        <w:ind w:right="-710" w:firstLine="11"/>
        <w:rPr>
          <w:b/>
          <w:sz w:val="22"/>
          <w:szCs w:val="22"/>
          <w:lang w:val="pl-PL"/>
        </w:rPr>
      </w:pPr>
      <w:r>
        <w:rPr>
          <w:b/>
          <w:sz w:val="22"/>
          <w:szCs w:val="22"/>
          <w:lang w:val="pl-PL"/>
        </w:rPr>
        <w:t>4.9 Przedawkowanie</w:t>
      </w:r>
    </w:p>
    <w:p w14:paraId="5AEA5C64" w14:textId="77777777" w:rsidR="00EB67AE" w:rsidRDefault="00EB67AE">
      <w:pPr>
        <w:ind w:right="-710" w:firstLine="11"/>
        <w:rPr>
          <w:b/>
          <w:sz w:val="22"/>
          <w:szCs w:val="22"/>
          <w:lang w:val="pl-PL"/>
        </w:rPr>
      </w:pPr>
    </w:p>
    <w:p w14:paraId="6BE747EF" w14:textId="77777777" w:rsidR="00BF76C4" w:rsidRDefault="00BF76C4">
      <w:pPr>
        <w:rPr>
          <w:sz w:val="22"/>
          <w:szCs w:val="22"/>
          <w:lang w:val="pl-PL"/>
        </w:rPr>
      </w:pPr>
      <w:r>
        <w:rPr>
          <w:sz w:val="22"/>
          <w:szCs w:val="22"/>
          <w:lang w:val="pl-PL"/>
        </w:rPr>
        <w:t>Po długotrwałym stosowaniu lub stosowaniu na duże powierzchnie skóry mogą pojawić się objawy przedawkowania w postaci obrzęków, nadciśnienia, hiperglikemii, zmniejszenia odporności, objawy choroby Cushinga. Należy wówczas zastosować słabiej działające glikokortykosteroidy.</w:t>
      </w:r>
    </w:p>
    <w:p w14:paraId="22BF9356" w14:textId="77777777" w:rsidR="00BF76C4" w:rsidRDefault="00BF76C4">
      <w:pPr>
        <w:ind w:right="-710" w:firstLine="11"/>
        <w:rPr>
          <w:sz w:val="22"/>
          <w:szCs w:val="22"/>
          <w:lang w:val="pl-PL"/>
        </w:rPr>
      </w:pPr>
    </w:p>
    <w:p w14:paraId="2A84194B" w14:textId="77777777" w:rsidR="00EB67AE" w:rsidRDefault="00EB67AE">
      <w:pPr>
        <w:ind w:right="-710" w:firstLine="11"/>
        <w:rPr>
          <w:sz w:val="22"/>
          <w:szCs w:val="22"/>
          <w:lang w:val="pl-PL"/>
        </w:rPr>
      </w:pPr>
    </w:p>
    <w:p w14:paraId="28CB1DED" w14:textId="77777777" w:rsidR="00BF76C4" w:rsidRDefault="00BF76C4">
      <w:pPr>
        <w:ind w:right="-710" w:firstLine="11"/>
        <w:rPr>
          <w:b/>
          <w:caps/>
          <w:sz w:val="22"/>
          <w:szCs w:val="22"/>
          <w:lang w:val="pl-PL"/>
        </w:rPr>
      </w:pPr>
      <w:r>
        <w:rPr>
          <w:b/>
          <w:caps/>
          <w:sz w:val="22"/>
          <w:szCs w:val="22"/>
          <w:lang w:val="pl-PL"/>
        </w:rPr>
        <w:t>5. Właściwości farmakologiczne</w:t>
      </w:r>
    </w:p>
    <w:p w14:paraId="1347D21C" w14:textId="77777777" w:rsidR="00EB67AE" w:rsidRDefault="00EB67AE">
      <w:pPr>
        <w:ind w:right="-710" w:firstLine="11"/>
        <w:rPr>
          <w:b/>
          <w:sz w:val="22"/>
          <w:szCs w:val="22"/>
          <w:lang w:val="pl-PL"/>
        </w:rPr>
      </w:pPr>
    </w:p>
    <w:p w14:paraId="45543AD0" w14:textId="77777777" w:rsidR="00BF76C4" w:rsidRDefault="00BF76C4">
      <w:pPr>
        <w:ind w:right="-2" w:firstLine="11"/>
        <w:rPr>
          <w:b/>
          <w:sz w:val="22"/>
          <w:szCs w:val="22"/>
          <w:lang w:val="pl-PL"/>
        </w:rPr>
      </w:pPr>
      <w:r>
        <w:rPr>
          <w:b/>
          <w:sz w:val="22"/>
          <w:szCs w:val="22"/>
          <w:lang w:val="pl-PL"/>
        </w:rPr>
        <w:t>5.1 Właściwości farmakodynamiczne</w:t>
      </w:r>
    </w:p>
    <w:p w14:paraId="4B6111B5" w14:textId="77777777" w:rsidR="00EB67AE" w:rsidRDefault="00EB67AE">
      <w:pPr>
        <w:ind w:right="-2" w:firstLine="11"/>
        <w:rPr>
          <w:b/>
          <w:sz w:val="22"/>
          <w:szCs w:val="22"/>
          <w:lang w:val="pl-PL"/>
        </w:rPr>
      </w:pPr>
    </w:p>
    <w:p w14:paraId="65F125EB" w14:textId="77777777" w:rsidR="00BF76C4" w:rsidRDefault="00BF76C4">
      <w:pPr>
        <w:ind w:firstLine="11"/>
        <w:rPr>
          <w:b/>
          <w:sz w:val="22"/>
          <w:szCs w:val="22"/>
          <w:lang w:val="pl-PL"/>
        </w:rPr>
      </w:pPr>
      <w:r w:rsidRPr="00FC3A5E">
        <w:rPr>
          <w:sz w:val="22"/>
          <w:szCs w:val="22"/>
          <w:lang w:val="pl-PL"/>
        </w:rPr>
        <w:t>Grupa farmakoterapeutyczna:</w:t>
      </w:r>
      <w:r>
        <w:rPr>
          <w:b/>
          <w:sz w:val="22"/>
          <w:szCs w:val="22"/>
          <w:lang w:val="pl-PL"/>
        </w:rPr>
        <w:t xml:space="preserve"> </w:t>
      </w:r>
      <w:r>
        <w:rPr>
          <w:sz w:val="22"/>
          <w:szCs w:val="22"/>
          <w:lang w:val="pl-PL"/>
        </w:rPr>
        <w:t>kortykosteroidy</w:t>
      </w:r>
      <w:r>
        <w:rPr>
          <w:b/>
          <w:sz w:val="22"/>
          <w:szCs w:val="22"/>
          <w:lang w:val="pl-PL"/>
        </w:rPr>
        <w:t xml:space="preserve"> </w:t>
      </w:r>
      <w:r>
        <w:rPr>
          <w:sz w:val="22"/>
          <w:szCs w:val="22"/>
          <w:lang w:val="pl-PL"/>
        </w:rPr>
        <w:t>o bardzo silnym działaniu do stosowania miejscowego</w:t>
      </w:r>
    </w:p>
    <w:p w14:paraId="6F48880D" w14:textId="77777777" w:rsidR="00BF76C4" w:rsidRPr="00070A08" w:rsidRDefault="00BF76C4">
      <w:pPr>
        <w:ind w:right="-710" w:firstLine="11"/>
        <w:rPr>
          <w:sz w:val="22"/>
          <w:szCs w:val="22"/>
          <w:lang w:val="pl-PL"/>
        </w:rPr>
      </w:pPr>
      <w:r w:rsidRPr="00070A08">
        <w:rPr>
          <w:sz w:val="22"/>
          <w:szCs w:val="22"/>
          <w:lang w:val="pl-PL"/>
        </w:rPr>
        <w:t>Kod ATC: D 07 AD</w:t>
      </w:r>
    </w:p>
    <w:p w14:paraId="4C985933" w14:textId="77777777" w:rsidR="00BF76C4" w:rsidRPr="00070A08" w:rsidRDefault="00BF76C4">
      <w:pPr>
        <w:ind w:right="-710" w:firstLine="11"/>
        <w:rPr>
          <w:b/>
          <w:sz w:val="22"/>
          <w:szCs w:val="22"/>
          <w:lang w:val="pl-PL"/>
        </w:rPr>
      </w:pPr>
    </w:p>
    <w:p w14:paraId="0BA2EABF" w14:textId="77777777" w:rsidR="00BF76C4" w:rsidRDefault="00B63032">
      <w:pPr>
        <w:ind w:right="-2" w:firstLine="11"/>
        <w:rPr>
          <w:sz w:val="22"/>
          <w:szCs w:val="22"/>
          <w:lang w:val="pl-PL"/>
        </w:rPr>
      </w:pPr>
      <w:r>
        <w:rPr>
          <w:sz w:val="22"/>
          <w:szCs w:val="22"/>
          <w:lang w:val="pl-PL"/>
        </w:rPr>
        <w:t>Propionian k</w:t>
      </w:r>
      <w:r w:rsidR="00BF76C4">
        <w:rPr>
          <w:sz w:val="22"/>
          <w:szCs w:val="22"/>
          <w:lang w:val="pl-PL"/>
        </w:rPr>
        <w:t xml:space="preserve">lobetazolu jest najsilniej działającym syntetycznym glikokortykosteroidem do stosowania miejscowego na skórę. Zastosowana miejscowo na skórę maść o stężeniu 0,05% wykazuje bardzo silne działanie przeciwzapalne, przeciwświądowe, przeciwalergiczne i obkurczające naczynia krwionośne. Wykazuje właściwości lipofilne i łatwo przenika przez skórę do organizmu. Już po zastosowaniu </w:t>
      </w:r>
      <w:smartTag w:uri="urn:schemas-microsoft-com:office:smarttags" w:element="metricconverter">
        <w:smartTagPr>
          <w:attr w:name="ProductID" w:val="2 g"/>
        </w:smartTagPr>
        <w:r w:rsidR="00BF76C4">
          <w:rPr>
            <w:sz w:val="22"/>
            <w:szCs w:val="22"/>
            <w:lang w:val="pl-PL"/>
          </w:rPr>
          <w:t>2 g</w:t>
        </w:r>
      </w:smartTag>
      <w:r w:rsidR="00BF76C4">
        <w:rPr>
          <w:sz w:val="22"/>
          <w:szCs w:val="22"/>
          <w:lang w:val="pl-PL"/>
        </w:rPr>
        <w:t xml:space="preserve"> maści może zmniejszać wydzielanie przez przysadkę hormonu adrenokortykotropowego (ACTH) przez hamowanie osi nadnerczowo-przysadkowej. </w:t>
      </w:r>
    </w:p>
    <w:p w14:paraId="04146679" w14:textId="77777777" w:rsidR="00BF76C4" w:rsidRDefault="00BF76C4">
      <w:pPr>
        <w:ind w:right="-2" w:firstLine="11"/>
        <w:rPr>
          <w:sz w:val="22"/>
          <w:szCs w:val="22"/>
          <w:lang w:val="pl-PL"/>
        </w:rPr>
      </w:pPr>
    </w:p>
    <w:p w14:paraId="1DABF591" w14:textId="77777777" w:rsidR="00BF76C4" w:rsidRDefault="00BF76C4">
      <w:pPr>
        <w:ind w:right="-710" w:firstLine="11"/>
        <w:rPr>
          <w:b/>
          <w:sz w:val="22"/>
          <w:szCs w:val="22"/>
          <w:lang w:val="pl-PL"/>
        </w:rPr>
      </w:pPr>
      <w:r>
        <w:rPr>
          <w:b/>
          <w:sz w:val="22"/>
          <w:szCs w:val="22"/>
          <w:lang w:val="pl-PL"/>
        </w:rPr>
        <w:t>5.2 Właściwości farmakokinetyczne</w:t>
      </w:r>
    </w:p>
    <w:p w14:paraId="68F88BB2" w14:textId="77777777" w:rsidR="00EB67AE" w:rsidRDefault="00EB67AE">
      <w:pPr>
        <w:ind w:right="-710" w:firstLine="11"/>
        <w:rPr>
          <w:b/>
          <w:sz w:val="22"/>
          <w:szCs w:val="22"/>
          <w:lang w:val="pl-PL"/>
        </w:rPr>
      </w:pPr>
    </w:p>
    <w:p w14:paraId="22142B92" w14:textId="77777777" w:rsidR="00BF76C4" w:rsidRDefault="008363F3">
      <w:pPr>
        <w:ind w:right="-2" w:firstLine="11"/>
        <w:rPr>
          <w:sz w:val="22"/>
          <w:szCs w:val="22"/>
          <w:lang w:val="pl-PL"/>
        </w:rPr>
      </w:pPr>
      <w:r>
        <w:rPr>
          <w:sz w:val="22"/>
          <w:szCs w:val="22"/>
          <w:lang w:val="pl-PL"/>
        </w:rPr>
        <w:t>Propionian k</w:t>
      </w:r>
      <w:r w:rsidR="00BF76C4">
        <w:rPr>
          <w:sz w:val="22"/>
          <w:szCs w:val="22"/>
          <w:lang w:val="pl-PL"/>
        </w:rPr>
        <w:t xml:space="preserve">lobetazolu łatwo przenika do skóry przez warstwę rogową. Nie ulega metabolizmowi w skórze i przenika przez skórę do organizmu. </w:t>
      </w:r>
      <w:r>
        <w:rPr>
          <w:sz w:val="22"/>
          <w:szCs w:val="22"/>
          <w:lang w:val="pl-PL"/>
        </w:rPr>
        <w:t>Propionian k</w:t>
      </w:r>
      <w:r w:rsidR="00BF76C4">
        <w:rPr>
          <w:sz w:val="22"/>
          <w:szCs w:val="22"/>
          <w:lang w:val="pl-PL"/>
        </w:rPr>
        <w:t xml:space="preserve">lobetazolu jest metabolizowany głównie w wątrobie, wydalany w postaci glukuronidów. W niewielkiej ilości jest wydalany w postaci nie zmienionej głównie z moczem. </w:t>
      </w:r>
    </w:p>
    <w:p w14:paraId="7AD835D6" w14:textId="77777777" w:rsidR="00BF76C4" w:rsidRDefault="00BF76C4">
      <w:pPr>
        <w:ind w:right="-2" w:firstLine="11"/>
        <w:rPr>
          <w:sz w:val="22"/>
          <w:szCs w:val="22"/>
          <w:lang w:val="pl-PL"/>
        </w:rPr>
      </w:pPr>
      <w:r>
        <w:rPr>
          <w:sz w:val="22"/>
          <w:szCs w:val="22"/>
          <w:lang w:val="pl-PL"/>
        </w:rPr>
        <w:t xml:space="preserve">Wchłanianie </w:t>
      </w:r>
      <w:r w:rsidR="008363F3">
        <w:rPr>
          <w:sz w:val="22"/>
          <w:szCs w:val="22"/>
          <w:lang w:val="pl-PL"/>
        </w:rPr>
        <w:t xml:space="preserve">propionianu </w:t>
      </w:r>
      <w:r>
        <w:rPr>
          <w:sz w:val="22"/>
          <w:szCs w:val="22"/>
          <w:lang w:val="pl-PL"/>
        </w:rPr>
        <w:t xml:space="preserve">klobetazolu przez skórę zwiększa się po zastosowaniu go na delikatną skórę w okolicy fałdów, po zastosowaniu na skórę z uszkodzonym naskórkiem lub uszkodzoną procesem zapalnym. Opatrunek okluzyjny powodujący wzrost temperatury i wilgotności skóry, również zwiększa wchłanianie </w:t>
      </w:r>
      <w:r w:rsidR="008363F3">
        <w:rPr>
          <w:sz w:val="22"/>
          <w:szCs w:val="22"/>
          <w:lang w:val="pl-PL"/>
        </w:rPr>
        <w:t xml:space="preserve">propionianu </w:t>
      </w:r>
      <w:r>
        <w:rPr>
          <w:sz w:val="22"/>
          <w:szCs w:val="22"/>
          <w:lang w:val="pl-PL"/>
        </w:rPr>
        <w:t xml:space="preserve">klobetazolu. Ponadto wchłanianie leku ulega zwiększeniu w razie częstego stosowania lub po zastosowaniu go na dużą powierzchnię skóry. Wchłanianie </w:t>
      </w:r>
      <w:r w:rsidR="008363F3">
        <w:rPr>
          <w:sz w:val="22"/>
          <w:szCs w:val="22"/>
          <w:lang w:val="pl-PL"/>
        </w:rPr>
        <w:t xml:space="preserve">propionianu </w:t>
      </w:r>
      <w:r>
        <w:rPr>
          <w:sz w:val="22"/>
          <w:szCs w:val="22"/>
          <w:lang w:val="pl-PL"/>
        </w:rPr>
        <w:t>klobetazolu przez skórę u dzieci jest większe niż u dorosłych.</w:t>
      </w:r>
    </w:p>
    <w:p w14:paraId="53963C9D" w14:textId="77777777" w:rsidR="00BF76C4" w:rsidRDefault="00BF76C4">
      <w:pPr>
        <w:ind w:left="709" w:firstLine="11"/>
        <w:rPr>
          <w:sz w:val="22"/>
          <w:szCs w:val="22"/>
          <w:lang w:val="pl-PL"/>
        </w:rPr>
      </w:pPr>
    </w:p>
    <w:p w14:paraId="45A04633" w14:textId="77777777" w:rsidR="00BF76C4" w:rsidRDefault="00BF76C4">
      <w:pPr>
        <w:ind w:firstLine="11"/>
        <w:rPr>
          <w:b/>
          <w:sz w:val="22"/>
          <w:szCs w:val="22"/>
          <w:lang w:val="pl-PL"/>
        </w:rPr>
      </w:pPr>
      <w:r>
        <w:rPr>
          <w:b/>
          <w:sz w:val="22"/>
          <w:szCs w:val="22"/>
          <w:lang w:val="pl-PL"/>
        </w:rPr>
        <w:t>5.3 Przedkliniczne dane o bezpieczeństwie</w:t>
      </w:r>
    </w:p>
    <w:p w14:paraId="30B1F356" w14:textId="77777777" w:rsidR="00EB67AE" w:rsidRDefault="00EB67AE">
      <w:pPr>
        <w:ind w:firstLine="11"/>
        <w:rPr>
          <w:b/>
          <w:sz w:val="22"/>
          <w:szCs w:val="22"/>
          <w:lang w:val="pl-PL"/>
        </w:rPr>
      </w:pPr>
    </w:p>
    <w:p w14:paraId="35D0F7CB" w14:textId="77777777" w:rsidR="00BF76C4" w:rsidRDefault="00BF76C4">
      <w:pPr>
        <w:pStyle w:val="BodyTextIndent"/>
        <w:spacing w:line="240" w:lineRule="auto"/>
        <w:ind w:left="0"/>
        <w:jc w:val="left"/>
        <w:rPr>
          <w:sz w:val="22"/>
          <w:szCs w:val="22"/>
        </w:rPr>
      </w:pPr>
      <w:r>
        <w:rPr>
          <w:sz w:val="22"/>
          <w:szCs w:val="22"/>
        </w:rPr>
        <w:t>Brak danych.</w:t>
      </w:r>
    </w:p>
    <w:p w14:paraId="2CBF0083" w14:textId="77777777" w:rsidR="00BF76C4" w:rsidRDefault="00BF76C4">
      <w:pPr>
        <w:pStyle w:val="BodyTextIndent"/>
        <w:spacing w:line="240" w:lineRule="auto"/>
        <w:ind w:left="0"/>
        <w:jc w:val="left"/>
        <w:rPr>
          <w:sz w:val="22"/>
          <w:szCs w:val="22"/>
        </w:rPr>
      </w:pPr>
      <w:r>
        <w:rPr>
          <w:sz w:val="22"/>
          <w:szCs w:val="22"/>
        </w:rPr>
        <w:t>W badaniach tolerancji miejscowej na królikach stwierdzono, że Clobederm maść nie powoduje żadnych widocznych zmian na skórze i oku królika.</w:t>
      </w:r>
    </w:p>
    <w:p w14:paraId="36836C4B" w14:textId="77777777" w:rsidR="00BF76C4" w:rsidRDefault="00BF76C4">
      <w:pPr>
        <w:ind w:firstLine="11"/>
        <w:rPr>
          <w:sz w:val="22"/>
          <w:szCs w:val="22"/>
          <w:lang w:val="pl-PL"/>
        </w:rPr>
      </w:pPr>
    </w:p>
    <w:p w14:paraId="6ADE56C1" w14:textId="77777777" w:rsidR="00EB67AE" w:rsidRDefault="00EB67AE">
      <w:pPr>
        <w:ind w:firstLine="11"/>
        <w:rPr>
          <w:sz w:val="22"/>
          <w:szCs w:val="22"/>
          <w:lang w:val="pl-PL"/>
        </w:rPr>
      </w:pPr>
    </w:p>
    <w:p w14:paraId="6EB31E53" w14:textId="77777777" w:rsidR="00BF76C4" w:rsidRDefault="00BF76C4" w:rsidP="00830004">
      <w:pPr>
        <w:keepNext/>
        <w:ind w:right="-710" w:firstLine="11"/>
        <w:rPr>
          <w:b/>
          <w:caps/>
          <w:sz w:val="22"/>
          <w:szCs w:val="22"/>
          <w:lang w:val="pl-PL"/>
        </w:rPr>
      </w:pPr>
      <w:r>
        <w:rPr>
          <w:b/>
          <w:caps/>
          <w:sz w:val="22"/>
          <w:szCs w:val="22"/>
          <w:lang w:val="pl-PL"/>
        </w:rPr>
        <w:t>6. Dane farmaceutyczne</w:t>
      </w:r>
    </w:p>
    <w:p w14:paraId="689F4BDD" w14:textId="77777777" w:rsidR="00EB67AE" w:rsidRDefault="00EB67AE" w:rsidP="00830004">
      <w:pPr>
        <w:keepNext/>
        <w:ind w:right="-710" w:firstLine="11"/>
        <w:rPr>
          <w:b/>
          <w:sz w:val="22"/>
          <w:szCs w:val="22"/>
          <w:lang w:val="pl-PL"/>
        </w:rPr>
      </w:pPr>
    </w:p>
    <w:p w14:paraId="422E44E9" w14:textId="77777777" w:rsidR="00BF76C4" w:rsidRDefault="00BF76C4" w:rsidP="00830004">
      <w:pPr>
        <w:keepNext/>
        <w:ind w:right="-710" w:firstLine="11"/>
        <w:rPr>
          <w:b/>
          <w:sz w:val="22"/>
          <w:szCs w:val="22"/>
          <w:lang w:val="pl-PL"/>
        </w:rPr>
      </w:pPr>
      <w:r>
        <w:rPr>
          <w:b/>
          <w:sz w:val="22"/>
          <w:szCs w:val="22"/>
          <w:lang w:val="pl-PL"/>
        </w:rPr>
        <w:t>6.1 Wykaz substancji pomocniczych</w:t>
      </w:r>
    </w:p>
    <w:p w14:paraId="04168081" w14:textId="77777777" w:rsidR="00EB67AE" w:rsidRDefault="00EB67AE" w:rsidP="00830004">
      <w:pPr>
        <w:keepNext/>
        <w:ind w:right="-710" w:firstLine="11"/>
        <w:rPr>
          <w:b/>
          <w:sz w:val="22"/>
          <w:szCs w:val="22"/>
          <w:lang w:val="pl-PL"/>
        </w:rPr>
      </w:pPr>
    </w:p>
    <w:p w14:paraId="6E4C90E1" w14:textId="77777777" w:rsidR="00CC16A9" w:rsidRDefault="00BF76C4" w:rsidP="00830004">
      <w:pPr>
        <w:keepNext/>
        <w:ind w:right="-567"/>
        <w:jc w:val="both"/>
        <w:rPr>
          <w:sz w:val="22"/>
          <w:szCs w:val="22"/>
          <w:lang w:val="pl-PL"/>
        </w:rPr>
      </w:pPr>
      <w:r>
        <w:rPr>
          <w:sz w:val="22"/>
          <w:szCs w:val="22"/>
          <w:lang w:val="pl-PL"/>
        </w:rPr>
        <w:t xml:space="preserve">Glikol propylenowy </w:t>
      </w:r>
    </w:p>
    <w:p w14:paraId="0A5EF48A" w14:textId="77777777" w:rsidR="00CC16A9" w:rsidRDefault="00884814" w:rsidP="00830004">
      <w:pPr>
        <w:keepNext/>
        <w:ind w:right="-567"/>
        <w:jc w:val="both"/>
        <w:rPr>
          <w:sz w:val="22"/>
          <w:szCs w:val="22"/>
          <w:lang w:val="pl-PL"/>
        </w:rPr>
      </w:pPr>
      <w:r>
        <w:rPr>
          <w:sz w:val="22"/>
          <w:szCs w:val="22"/>
          <w:lang w:val="pl-PL"/>
        </w:rPr>
        <w:t>Sorbitanu seskwioleinian</w:t>
      </w:r>
      <w:r w:rsidR="00BF76C4">
        <w:rPr>
          <w:sz w:val="22"/>
          <w:szCs w:val="22"/>
          <w:lang w:val="pl-PL"/>
        </w:rPr>
        <w:t xml:space="preserve"> </w:t>
      </w:r>
    </w:p>
    <w:p w14:paraId="77D7FBB7" w14:textId="77777777" w:rsidR="00BF76C4" w:rsidRDefault="00CC16A9">
      <w:pPr>
        <w:ind w:right="-567"/>
        <w:jc w:val="both"/>
        <w:rPr>
          <w:sz w:val="22"/>
          <w:szCs w:val="22"/>
          <w:lang w:val="pl-PL"/>
        </w:rPr>
      </w:pPr>
      <w:r>
        <w:rPr>
          <w:sz w:val="22"/>
          <w:szCs w:val="22"/>
          <w:lang w:val="pl-PL"/>
        </w:rPr>
        <w:t xml:space="preserve">Wazelina </w:t>
      </w:r>
      <w:r w:rsidR="00BF76C4">
        <w:rPr>
          <w:sz w:val="22"/>
          <w:szCs w:val="22"/>
          <w:lang w:val="pl-PL"/>
        </w:rPr>
        <w:t xml:space="preserve">biała </w:t>
      </w:r>
    </w:p>
    <w:p w14:paraId="33E0946A" w14:textId="77777777" w:rsidR="00BF76C4" w:rsidRDefault="00BF76C4">
      <w:pPr>
        <w:ind w:firstLine="11"/>
        <w:rPr>
          <w:b/>
          <w:sz w:val="22"/>
          <w:szCs w:val="22"/>
          <w:lang w:val="pl-PL"/>
        </w:rPr>
      </w:pPr>
    </w:p>
    <w:p w14:paraId="49AA86F1" w14:textId="77777777" w:rsidR="00BF76C4" w:rsidRDefault="00BF76C4">
      <w:pPr>
        <w:ind w:firstLine="11"/>
        <w:rPr>
          <w:b/>
          <w:sz w:val="22"/>
          <w:szCs w:val="22"/>
          <w:lang w:val="pl-PL"/>
        </w:rPr>
      </w:pPr>
      <w:r>
        <w:rPr>
          <w:b/>
          <w:sz w:val="22"/>
          <w:szCs w:val="22"/>
          <w:lang w:val="pl-PL"/>
        </w:rPr>
        <w:t>6.2. Niezgodności farmaceutyczne</w:t>
      </w:r>
    </w:p>
    <w:p w14:paraId="10CE8FF6" w14:textId="77777777" w:rsidR="00B84BAE" w:rsidRDefault="00B84BAE">
      <w:pPr>
        <w:ind w:firstLine="11"/>
        <w:rPr>
          <w:sz w:val="22"/>
          <w:szCs w:val="22"/>
          <w:lang w:val="pl-PL"/>
        </w:rPr>
      </w:pPr>
    </w:p>
    <w:p w14:paraId="2E079CA0" w14:textId="6980E498" w:rsidR="00BF76C4" w:rsidRDefault="008363F3">
      <w:pPr>
        <w:ind w:firstLine="11"/>
        <w:rPr>
          <w:sz w:val="22"/>
          <w:szCs w:val="22"/>
          <w:lang w:val="pl-PL"/>
        </w:rPr>
      </w:pPr>
      <w:r w:rsidRPr="008363F3">
        <w:rPr>
          <w:sz w:val="22"/>
          <w:szCs w:val="22"/>
          <w:lang w:val="pl-PL"/>
        </w:rPr>
        <w:t>Nie n</w:t>
      </w:r>
      <w:r>
        <w:rPr>
          <w:sz w:val="22"/>
          <w:szCs w:val="22"/>
          <w:lang w:val="pl-PL"/>
        </w:rPr>
        <w:t>ależy stosować produktu lecznic</w:t>
      </w:r>
      <w:r w:rsidRPr="008363F3">
        <w:rPr>
          <w:sz w:val="22"/>
          <w:szCs w:val="22"/>
          <w:lang w:val="pl-PL"/>
        </w:rPr>
        <w:t>zego Clobederm</w:t>
      </w:r>
      <w:r>
        <w:rPr>
          <w:sz w:val="22"/>
          <w:szCs w:val="22"/>
          <w:lang w:val="pl-PL"/>
        </w:rPr>
        <w:t xml:space="preserve"> maść</w:t>
      </w:r>
      <w:r w:rsidRPr="008363F3">
        <w:rPr>
          <w:sz w:val="22"/>
          <w:szCs w:val="22"/>
          <w:lang w:val="pl-PL"/>
        </w:rPr>
        <w:t xml:space="preserve"> </w:t>
      </w:r>
      <w:r>
        <w:rPr>
          <w:sz w:val="22"/>
          <w:szCs w:val="22"/>
          <w:lang w:val="pl-PL"/>
        </w:rPr>
        <w:t>r</w:t>
      </w:r>
      <w:r w:rsidR="00BF76C4">
        <w:rPr>
          <w:sz w:val="22"/>
          <w:szCs w:val="22"/>
          <w:lang w:val="pl-PL"/>
        </w:rPr>
        <w:t xml:space="preserve">ównocześnie z innymi </w:t>
      </w:r>
      <w:r>
        <w:rPr>
          <w:sz w:val="22"/>
          <w:szCs w:val="22"/>
          <w:lang w:val="pl-PL"/>
        </w:rPr>
        <w:t xml:space="preserve">produktami </w:t>
      </w:r>
      <w:r w:rsidR="008E0359">
        <w:rPr>
          <w:sz w:val="22"/>
          <w:szCs w:val="22"/>
          <w:lang w:val="pl-PL"/>
        </w:rPr>
        <w:t xml:space="preserve">leczniczymi </w:t>
      </w:r>
      <w:r w:rsidR="00BF76C4">
        <w:rPr>
          <w:sz w:val="22"/>
          <w:szCs w:val="22"/>
          <w:lang w:val="pl-PL"/>
        </w:rPr>
        <w:t xml:space="preserve">stosowanymi miejscowo. </w:t>
      </w:r>
    </w:p>
    <w:p w14:paraId="75106E21" w14:textId="77777777" w:rsidR="00BF76C4" w:rsidRDefault="00BF76C4">
      <w:pPr>
        <w:ind w:firstLine="11"/>
        <w:rPr>
          <w:b/>
          <w:sz w:val="22"/>
          <w:szCs w:val="22"/>
          <w:lang w:val="pl-PL"/>
        </w:rPr>
      </w:pPr>
    </w:p>
    <w:p w14:paraId="125DD72F" w14:textId="77777777" w:rsidR="00BF76C4" w:rsidRDefault="00BF76C4">
      <w:pPr>
        <w:ind w:firstLine="11"/>
        <w:rPr>
          <w:b/>
          <w:sz w:val="22"/>
          <w:szCs w:val="22"/>
          <w:lang w:val="pl-PL"/>
        </w:rPr>
      </w:pPr>
      <w:r>
        <w:rPr>
          <w:b/>
          <w:sz w:val="22"/>
          <w:szCs w:val="22"/>
          <w:lang w:val="pl-PL"/>
        </w:rPr>
        <w:t>6.3. Okres ważności</w:t>
      </w:r>
    </w:p>
    <w:p w14:paraId="3514EED5" w14:textId="77777777" w:rsidR="00EB67AE" w:rsidRDefault="00EB67AE">
      <w:pPr>
        <w:ind w:firstLine="11"/>
        <w:rPr>
          <w:b/>
          <w:sz w:val="22"/>
          <w:szCs w:val="22"/>
          <w:lang w:val="pl-PL"/>
        </w:rPr>
      </w:pPr>
    </w:p>
    <w:p w14:paraId="7F1B232A" w14:textId="77777777" w:rsidR="00BF76C4" w:rsidRDefault="00882959">
      <w:pPr>
        <w:ind w:firstLine="11"/>
        <w:rPr>
          <w:b/>
          <w:sz w:val="22"/>
          <w:szCs w:val="22"/>
          <w:lang w:val="pl-PL"/>
        </w:rPr>
      </w:pPr>
      <w:r>
        <w:rPr>
          <w:sz w:val="22"/>
          <w:szCs w:val="22"/>
          <w:lang w:val="pl-PL"/>
        </w:rPr>
        <w:t xml:space="preserve">2 </w:t>
      </w:r>
      <w:r w:rsidR="00BF76C4">
        <w:rPr>
          <w:sz w:val="22"/>
          <w:szCs w:val="22"/>
          <w:lang w:val="pl-PL"/>
        </w:rPr>
        <w:t>lata.</w:t>
      </w:r>
    </w:p>
    <w:p w14:paraId="4E42C623" w14:textId="664993DD" w:rsidR="00A455C3" w:rsidRPr="00A455C3" w:rsidRDefault="006B1DEC" w:rsidP="00A455C3">
      <w:pPr>
        <w:ind w:right="-1134"/>
        <w:rPr>
          <w:sz w:val="22"/>
          <w:szCs w:val="22"/>
          <w:lang w:val="pl-PL"/>
        </w:rPr>
      </w:pPr>
      <w:r>
        <w:rPr>
          <w:sz w:val="22"/>
          <w:szCs w:val="22"/>
          <w:lang w:val="pl-PL"/>
        </w:rPr>
        <w:t>P</w:t>
      </w:r>
      <w:r w:rsidR="00A455C3" w:rsidRPr="00A455C3">
        <w:rPr>
          <w:sz w:val="22"/>
          <w:szCs w:val="22"/>
          <w:lang w:val="pl-PL"/>
        </w:rPr>
        <w:t>o pierwszym otwarciu tuby: 3 miesiące.</w:t>
      </w:r>
    </w:p>
    <w:p w14:paraId="4F20EE87" w14:textId="77777777" w:rsidR="00BF76C4" w:rsidRPr="00A455C3" w:rsidRDefault="00BF76C4">
      <w:pPr>
        <w:ind w:firstLine="11"/>
        <w:rPr>
          <w:b/>
          <w:sz w:val="22"/>
          <w:szCs w:val="22"/>
          <w:lang w:val="pl-PL"/>
        </w:rPr>
      </w:pPr>
    </w:p>
    <w:p w14:paraId="3D6B9D04" w14:textId="77777777" w:rsidR="00D973FF" w:rsidRDefault="00BF76C4" w:rsidP="00A455C3">
      <w:pPr>
        <w:keepNext/>
        <w:ind w:firstLine="11"/>
        <w:rPr>
          <w:b/>
          <w:sz w:val="22"/>
          <w:szCs w:val="22"/>
          <w:lang w:val="pl-PL"/>
        </w:rPr>
      </w:pPr>
      <w:r>
        <w:rPr>
          <w:b/>
          <w:sz w:val="22"/>
          <w:szCs w:val="22"/>
          <w:lang w:val="pl-PL"/>
        </w:rPr>
        <w:lastRenderedPageBreak/>
        <w:t xml:space="preserve">6.4. </w:t>
      </w:r>
      <w:r w:rsidR="00AC047D" w:rsidRPr="00AC047D">
        <w:rPr>
          <w:b/>
          <w:sz w:val="22"/>
          <w:szCs w:val="22"/>
          <w:lang w:val="pl-PL"/>
        </w:rPr>
        <w:t xml:space="preserve">Specjalne środki ostrożności </w:t>
      </w:r>
      <w:r w:rsidR="008E0359">
        <w:rPr>
          <w:b/>
          <w:sz w:val="22"/>
          <w:szCs w:val="22"/>
          <w:lang w:val="pl-PL"/>
        </w:rPr>
        <w:t>przy przechowywaniu</w:t>
      </w:r>
      <w:r w:rsidR="00AC047D" w:rsidRPr="00AC047D" w:rsidDel="00AC047D">
        <w:rPr>
          <w:b/>
          <w:sz w:val="22"/>
          <w:szCs w:val="22"/>
          <w:lang w:val="pl-PL"/>
        </w:rPr>
        <w:t xml:space="preserve"> </w:t>
      </w:r>
    </w:p>
    <w:p w14:paraId="6442A7D2" w14:textId="77777777" w:rsidR="00A455C3" w:rsidRDefault="00A455C3" w:rsidP="00A455C3">
      <w:pPr>
        <w:keepNext/>
        <w:ind w:firstLine="11"/>
        <w:rPr>
          <w:sz w:val="22"/>
          <w:szCs w:val="22"/>
          <w:lang w:val="pl-PL"/>
        </w:rPr>
      </w:pPr>
    </w:p>
    <w:p w14:paraId="6473727A" w14:textId="25DE828A" w:rsidR="00BF76C4" w:rsidRDefault="00BF76C4" w:rsidP="00A455C3">
      <w:pPr>
        <w:keepNext/>
        <w:ind w:firstLine="11"/>
        <w:rPr>
          <w:sz w:val="22"/>
          <w:szCs w:val="22"/>
          <w:lang w:val="pl-PL"/>
        </w:rPr>
      </w:pPr>
      <w:r>
        <w:rPr>
          <w:sz w:val="22"/>
          <w:szCs w:val="22"/>
          <w:lang w:val="pl-PL"/>
        </w:rPr>
        <w:t xml:space="preserve">Przechowywać w temperaturze poniżej </w:t>
      </w:r>
      <w:smartTag w:uri="urn:schemas-microsoft-com:office:smarttags" w:element="metricconverter">
        <w:smartTagPr>
          <w:attr w:name="ProductID" w:val="25ﾰC"/>
        </w:smartTagPr>
        <w:r>
          <w:rPr>
            <w:sz w:val="22"/>
            <w:szCs w:val="22"/>
            <w:lang w:val="pl-PL"/>
          </w:rPr>
          <w:t>25°C</w:t>
        </w:r>
      </w:smartTag>
      <w:r>
        <w:rPr>
          <w:sz w:val="22"/>
          <w:szCs w:val="22"/>
          <w:lang w:val="pl-PL"/>
        </w:rPr>
        <w:t>.</w:t>
      </w:r>
    </w:p>
    <w:p w14:paraId="3BFB8BDC" w14:textId="77777777" w:rsidR="00BF76C4" w:rsidRDefault="00BF76C4" w:rsidP="00A455C3">
      <w:pPr>
        <w:keepNext/>
        <w:rPr>
          <w:sz w:val="22"/>
          <w:szCs w:val="22"/>
          <w:lang w:val="pl-PL"/>
        </w:rPr>
      </w:pPr>
    </w:p>
    <w:p w14:paraId="3C315316" w14:textId="77777777" w:rsidR="00BF76C4" w:rsidRDefault="00BF76C4" w:rsidP="00A455C3">
      <w:pPr>
        <w:keepNext/>
        <w:ind w:firstLine="11"/>
        <w:rPr>
          <w:b/>
          <w:sz w:val="22"/>
          <w:szCs w:val="22"/>
          <w:lang w:val="pl-PL"/>
        </w:rPr>
      </w:pPr>
      <w:r>
        <w:rPr>
          <w:b/>
          <w:sz w:val="22"/>
          <w:szCs w:val="22"/>
          <w:lang w:val="pl-PL"/>
        </w:rPr>
        <w:t>6.5. Rodzaj i zawartość opakowania</w:t>
      </w:r>
    </w:p>
    <w:p w14:paraId="4B4D3681" w14:textId="77777777" w:rsidR="00EB67AE" w:rsidRDefault="00EB67AE" w:rsidP="00A455C3">
      <w:pPr>
        <w:keepNext/>
        <w:ind w:firstLine="11"/>
        <w:rPr>
          <w:b/>
          <w:sz w:val="22"/>
          <w:szCs w:val="22"/>
          <w:lang w:val="pl-PL"/>
        </w:rPr>
      </w:pPr>
    </w:p>
    <w:p w14:paraId="6C30BF96" w14:textId="77777777" w:rsidR="00BF76C4" w:rsidRDefault="00BF76C4" w:rsidP="00A455C3">
      <w:pPr>
        <w:keepNext/>
        <w:ind w:firstLine="11"/>
        <w:rPr>
          <w:sz w:val="22"/>
          <w:szCs w:val="22"/>
          <w:lang w:val="pl-PL"/>
        </w:rPr>
      </w:pPr>
      <w:r>
        <w:rPr>
          <w:sz w:val="22"/>
          <w:szCs w:val="22"/>
          <w:lang w:val="pl-PL"/>
        </w:rPr>
        <w:t>Tuba aluminiowa z membraną zabezpieczającą</w:t>
      </w:r>
      <w:r w:rsidR="0095297A">
        <w:rPr>
          <w:sz w:val="22"/>
          <w:szCs w:val="22"/>
          <w:lang w:val="pl-PL"/>
        </w:rPr>
        <w:t>, nasadką</w:t>
      </w:r>
      <w:r>
        <w:rPr>
          <w:sz w:val="22"/>
          <w:szCs w:val="22"/>
          <w:lang w:val="pl-PL"/>
        </w:rPr>
        <w:t xml:space="preserve"> i zakrętką </w:t>
      </w:r>
      <w:r w:rsidR="00D973FF">
        <w:rPr>
          <w:sz w:val="22"/>
          <w:szCs w:val="22"/>
          <w:lang w:val="pl-PL"/>
        </w:rPr>
        <w:t xml:space="preserve">z </w:t>
      </w:r>
      <w:r>
        <w:rPr>
          <w:sz w:val="22"/>
          <w:szCs w:val="22"/>
          <w:lang w:val="pl-PL"/>
        </w:rPr>
        <w:t>HDPE</w:t>
      </w:r>
      <w:r w:rsidR="008363F3">
        <w:rPr>
          <w:sz w:val="22"/>
          <w:szCs w:val="22"/>
          <w:lang w:val="pl-PL"/>
        </w:rPr>
        <w:t>,</w:t>
      </w:r>
      <w:r w:rsidR="00A91C93">
        <w:rPr>
          <w:sz w:val="22"/>
          <w:szCs w:val="22"/>
          <w:lang w:val="pl-PL"/>
        </w:rPr>
        <w:t xml:space="preserve"> </w:t>
      </w:r>
      <w:r>
        <w:rPr>
          <w:sz w:val="22"/>
          <w:szCs w:val="22"/>
          <w:lang w:val="pl-PL"/>
        </w:rPr>
        <w:t>w tekturowym pudełku.</w:t>
      </w:r>
    </w:p>
    <w:p w14:paraId="2532DDB2" w14:textId="77777777" w:rsidR="003B2841" w:rsidRDefault="003B2841" w:rsidP="00A455C3">
      <w:pPr>
        <w:keepNext/>
        <w:ind w:firstLine="11"/>
        <w:rPr>
          <w:b/>
          <w:sz w:val="22"/>
          <w:szCs w:val="22"/>
          <w:lang w:val="pl-PL"/>
        </w:rPr>
      </w:pPr>
      <w:r>
        <w:rPr>
          <w:sz w:val="22"/>
          <w:szCs w:val="22"/>
          <w:lang w:val="pl-PL"/>
        </w:rPr>
        <w:t>1 tuba po 25g</w:t>
      </w:r>
    </w:p>
    <w:p w14:paraId="2B6FC76A" w14:textId="77777777" w:rsidR="00BF76C4" w:rsidRDefault="00BF76C4">
      <w:pPr>
        <w:jc w:val="both"/>
        <w:rPr>
          <w:b/>
          <w:sz w:val="22"/>
          <w:szCs w:val="22"/>
          <w:lang w:val="pl-PL"/>
        </w:rPr>
      </w:pPr>
    </w:p>
    <w:p w14:paraId="7A41E780" w14:textId="77777777" w:rsidR="00BF76C4" w:rsidRDefault="00BF76C4">
      <w:pPr>
        <w:jc w:val="both"/>
        <w:rPr>
          <w:b/>
          <w:sz w:val="22"/>
          <w:szCs w:val="22"/>
          <w:lang w:val="pl-PL"/>
        </w:rPr>
      </w:pPr>
      <w:r>
        <w:rPr>
          <w:b/>
          <w:sz w:val="22"/>
          <w:szCs w:val="22"/>
          <w:lang w:val="pl-PL"/>
        </w:rPr>
        <w:t xml:space="preserve">6.6 </w:t>
      </w:r>
      <w:r w:rsidR="008363F3">
        <w:rPr>
          <w:b/>
          <w:bCs/>
          <w:noProof/>
          <w:sz w:val="22"/>
          <w:szCs w:val="22"/>
          <w:lang w:val="pl-PL"/>
        </w:rPr>
        <w:t xml:space="preserve">Specjalne </w:t>
      </w:r>
      <w:r>
        <w:rPr>
          <w:b/>
          <w:bCs/>
          <w:noProof/>
          <w:sz w:val="22"/>
          <w:szCs w:val="22"/>
          <w:lang w:val="pl-PL"/>
        </w:rPr>
        <w:t>środki ostrożności dotyczące usuwania</w:t>
      </w:r>
      <w:r>
        <w:rPr>
          <w:b/>
          <w:sz w:val="22"/>
          <w:szCs w:val="22"/>
          <w:lang w:val="pl-PL"/>
        </w:rPr>
        <w:t xml:space="preserve"> </w:t>
      </w:r>
      <w:r>
        <w:rPr>
          <w:b/>
          <w:bCs/>
          <w:sz w:val="22"/>
          <w:szCs w:val="22"/>
          <w:lang w:val="pl-PL"/>
        </w:rPr>
        <w:t xml:space="preserve">i </w:t>
      </w:r>
      <w:r>
        <w:rPr>
          <w:b/>
          <w:sz w:val="22"/>
          <w:szCs w:val="22"/>
          <w:lang w:val="pl-PL"/>
        </w:rPr>
        <w:t xml:space="preserve">przygotowania </w:t>
      </w:r>
      <w:r w:rsidR="00AC047D" w:rsidRPr="00AC047D">
        <w:rPr>
          <w:b/>
          <w:sz w:val="22"/>
          <w:szCs w:val="22"/>
          <w:lang w:val="pl-PL"/>
        </w:rPr>
        <w:t>produktu leczniczego</w:t>
      </w:r>
      <w:r>
        <w:rPr>
          <w:b/>
          <w:sz w:val="22"/>
          <w:szCs w:val="22"/>
          <w:lang w:val="pl-PL"/>
        </w:rPr>
        <w:t xml:space="preserve"> do stosowania</w:t>
      </w:r>
    </w:p>
    <w:p w14:paraId="4D5B09F8" w14:textId="77777777" w:rsidR="00BF76C4" w:rsidRPr="002476EC" w:rsidRDefault="008363F3">
      <w:pPr>
        <w:jc w:val="both"/>
        <w:rPr>
          <w:sz w:val="22"/>
          <w:szCs w:val="22"/>
          <w:lang w:val="pl-PL"/>
        </w:rPr>
      </w:pPr>
      <w:r w:rsidRPr="002476EC">
        <w:rPr>
          <w:sz w:val="22"/>
          <w:szCs w:val="22"/>
          <w:lang w:val="pl-PL"/>
        </w:rPr>
        <w:t xml:space="preserve">Bez </w:t>
      </w:r>
      <w:r w:rsidR="007274BD" w:rsidRPr="002476EC">
        <w:rPr>
          <w:sz w:val="22"/>
          <w:szCs w:val="22"/>
          <w:lang w:val="pl-PL"/>
        </w:rPr>
        <w:t xml:space="preserve">specjalnych </w:t>
      </w:r>
      <w:r w:rsidR="00BF76C4" w:rsidRPr="002476EC">
        <w:rPr>
          <w:sz w:val="22"/>
          <w:szCs w:val="22"/>
          <w:lang w:val="pl-PL"/>
        </w:rPr>
        <w:t>wymagań.</w:t>
      </w:r>
      <w:r w:rsidR="00E5452F" w:rsidRPr="002476EC">
        <w:rPr>
          <w:sz w:val="22"/>
          <w:szCs w:val="22"/>
          <w:lang w:val="pl-PL"/>
        </w:rPr>
        <w:t xml:space="preserve"> Wszelkie niewykorzystane resztki produktu leczniczego lub jego odpady należy usunąć zgodnie z lokalnymi przepisami.</w:t>
      </w:r>
    </w:p>
    <w:p w14:paraId="389A3B4C" w14:textId="77777777" w:rsidR="00BF76C4" w:rsidRDefault="00BF76C4">
      <w:pPr>
        <w:ind w:firstLine="11"/>
        <w:rPr>
          <w:sz w:val="22"/>
          <w:szCs w:val="22"/>
          <w:lang w:val="pl-PL"/>
        </w:rPr>
      </w:pPr>
    </w:p>
    <w:p w14:paraId="0FE1A209" w14:textId="77777777" w:rsidR="00EB67AE" w:rsidRDefault="00EB67AE">
      <w:pPr>
        <w:ind w:firstLine="11"/>
        <w:rPr>
          <w:sz w:val="22"/>
          <w:szCs w:val="22"/>
          <w:lang w:val="pl-PL"/>
        </w:rPr>
      </w:pPr>
    </w:p>
    <w:p w14:paraId="5E11FB6D" w14:textId="77777777" w:rsidR="00BF76C4" w:rsidRDefault="00BF76C4" w:rsidP="009716DD">
      <w:pPr>
        <w:keepNext/>
        <w:ind w:left="180" w:hanging="180"/>
        <w:jc w:val="both"/>
        <w:rPr>
          <w:b/>
          <w:sz w:val="22"/>
          <w:szCs w:val="22"/>
          <w:lang w:val="pl-PL"/>
        </w:rPr>
      </w:pPr>
      <w:r>
        <w:rPr>
          <w:b/>
          <w:sz w:val="22"/>
          <w:szCs w:val="22"/>
          <w:lang w:val="pl-PL"/>
        </w:rPr>
        <w:t xml:space="preserve">7. PODMIOT ODPOWIEDZIALNY POSIADAJĄCY POZWOLENIE NA </w:t>
      </w:r>
    </w:p>
    <w:p w14:paraId="72E75B5D" w14:textId="77777777" w:rsidR="00BF76C4" w:rsidRDefault="00BF76C4" w:rsidP="009716DD">
      <w:pPr>
        <w:keepNext/>
        <w:ind w:firstLine="11"/>
        <w:rPr>
          <w:b/>
          <w:sz w:val="22"/>
          <w:szCs w:val="22"/>
          <w:lang w:val="pl-PL"/>
        </w:rPr>
      </w:pPr>
      <w:r>
        <w:rPr>
          <w:b/>
          <w:sz w:val="22"/>
          <w:szCs w:val="22"/>
          <w:lang w:val="pl-PL"/>
        </w:rPr>
        <w:t xml:space="preserve">    DOPUSZCZENIE DO OBROTU</w:t>
      </w:r>
    </w:p>
    <w:p w14:paraId="30A8E5AA" w14:textId="77777777" w:rsidR="00EB67AE" w:rsidRDefault="00EB67AE" w:rsidP="009716DD">
      <w:pPr>
        <w:keepNext/>
        <w:ind w:firstLine="11"/>
        <w:rPr>
          <w:sz w:val="22"/>
          <w:szCs w:val="22"/>
          <w:lang w:val="pl-PL"/>
        </w:rPr>
      </w:pPr>
    </w:p>
    <w:p w14:paraId="5A7F6D5E" w14:textId="77777777" w:rsidR="009D54F8" w:rsidRPr="00FD342B" w:rsidRDefault="009D54F8" w:rsidP="009716DD">
      <w:pPr>
        <w:keepNext/>
        <w:ind w:right="-1134"/>
        <w:rPr>
          <w:rFonts w:eastAsia="SimSun"/>
          <w:sz w:val="22"/>
          <w:szCs w:val="22"/>
          <w:lang w:val="en-US" w:eastAsia="zh-CN"/>
        </w:rPr>
      </w:pPr>
      <w:r w:rsidRPr="00FD342B">
        <w:rPr>
          <w:rFonts w:eastAsia="SimSun"/>
          <w:sz w:val="22"/>
          <w:szCs w:val="22"/>
          <w:lang w:val="en-US" w:eastAsia="zh-CN"/>
        </w:rPr>
        <w:t>Bausch Health Ireland Limited</w:t>
      </w:r>
    </w:p>
    <w:p w14:paraId="65939B58" w14:textId="77777777" w:rsidR="009D54F8" w:rsidRPr="00FD342B" w:rsidRDefault="009D54F8" w:rsidP="009716DD">
      <w:pPr>
        <w:keepNext/>
        <w:ind w:right="-1134"/>
        <w:rPr>
          <w:rFonts w:eastAsia="SimSun"/>
          <w:sz w:val="22"/>
          <w:szCs w:val="22"/>
          <w:lang w:val="en-US" w:eastAsia="zh-CN"/>
        </w:rPr>
      </w:pPr>
      <w:r w:rsidRPr="00FD342B">
        <w:rPr>
          <w:rFonts w:eastAsia="SimSun"/>
          <w:sz w:val="22"/>
          <w:szCs w:val="22"/>
          <w:lang w:val="en-US" w:eastAsia="zh-CN"/>
        </w:rPr>
        <w:t>3013 Lake Drive</w:t>
      </w:r>
    </w:p>
    <w:p w14:paraId="6ABB63E5" w14:textId="77777777" w:rsidR="009D54F8" w:rsidRPr="00FD342B" w:rsidRDefault="009D54F8" w:rsidP="009716DD">
      <w:pPr>
        <w:keepNext/>
        <w:ind w:right="-1134"/>
        <w:rPr>
          <w:rFonts w:eastAsia="SimSun"/>
          <w:sz w:val="22"/>
          <w:szCs w:val="22"/>
          <w:lang w:val="en-US" w:eastAsia="zh-CN"/>
        </w:rPr>
      </w:pPr>
      <w:r w:rsidRPr="00FD342B">
        <w:rPr>
          <w:rFonts w:eastAsia="SimSun"/>
          <w:sz w:val="22"/>
          <w:szCs w:val="22"/>
          <w:lang w:val="en-US" w:eastAsia="zh-CN"/>
        </w:rPr>
        <w:t>Citywest Business Campus</w:t>
      </w:r>
    </w:p>
    <w:p w14:paraId="31F43BBB" w14:textId="77777777" w:rsidR="009D54F8" w:rsidRPr="00FD342B" w:rsidRDefault="009D54F8" w:rsidP="009716DD">
      <w:pPr>
        <w:keepNext/>
        <w:ind w:right="-1134"/>
        <w:rPr>
          <w:rFonts w:eastAsia="SimSun"/>
          <w:sz w:val="22"/>
          <w:szCs w:val="22"/>
          <w:lang w:val="en-US" w:eastAsia="zh-CN"/>
        </w:rPr>
      </w:pPr>
      <w:r w:rsidRPr="00FD342B">
        <w:rPr>
          <w:rFonts w:eastAsia="SimSun"/>
          <w:sz w:val="22"/>
          <w:szCs w:val="22"/>
          <w:lang w:val="en-US" w:eastAsia="zh-CN"/>
        </w:rPr>
        <w:t>Dublin 24, D24PPT3</w:t>
      </w:r>
    </w:p>
    <w:p w14:paraId="01A45239" w14:textId="77777777" w:rsidR="009D54F8" w:rsidRPr="00FD342B" w:rsidRDefault="009D54F8" w:rsidP="009716DD">
      <w:pPr>
        <w:keepNext/>
        <w:rPr>
          <w:rFonts w:eastAsia="SimSun"/>
          <w:sz w:val="22"/>
          <w:szCs w:val="22"/>
          <w:lang w:val="en-US" w:eastAsia="zh-CN"/>
        </w:rPr>
      </w:pPr>
      <w:r w:rsidRPr="00FD342B">
        <w:rPr>
          <w:rFonts w:eastAsia="SimSun"/>
          <w:sz w:val="22"/>
          <w:szCs w:val="22"/>
          <w:lang w:val="en-US" w:eastAsia="zh-CN"/>
        </w:rPr>
        <w:t>Ir</w:t>
      </w:r>
      <w:r>
        <w:rPr>
          <w:rFonts w:eastAsia="SimSun"/>
          <w:sz w:val="22"/>
          <w:szCs w:val="22"/>
          <w:lang w:val="en-US" w:eastAsia="zh-CN"/>
        </w:rPr>
        <w:t>landia</w:t>
      </w:r>
    </w:p>
    <w:p w14:paraId="17F30DA8" w14:textId="77777777" w:rsidR="00CD788D" w:rsidRPr="009716DD" w:rsidRDefault="00CD788D">
      <w:pPr>
        <w:ind w:firstLine="11"/>
        <w:rPr>
          <w:sz w:val="22"/>
          <w:szCs w:val="22"/>
          <w:lang w:val="en-US"/>
        </w:rPr>
      </w:pPr>
    </w:p>
    <w:p w14:paraId="625F9B4E" w14:textId="77777777" w:rsidR="00EB67AE" w:rsidRPr="009716DD" w:rsidRDefault="00EB67AE">
      <w:pPr>
        <w:ind w:firstLine="11"/>
        <w:rPr>
          <w:sz w:val="22"/>
          <w:szCs w:val="22"/>
          <w:lang w:val="en-US"/>
        </w:rPr>
      </w:pPr>
    </w:p>
    <w:p w14:paraId="08D5EA4D" w14:textId="77777777" w:rsidR="00BF76C4" w:rsidRDefault="00BF76C4" w:rsidP="00FC3A5E">
      <w:pPr>
        <w:jc w:val="both"/>
        <w:rPr>
          <w:sz w:val="22"/>
          <w:szCs w:val="22"/>
          <w:lang w:val="pl-PL"/>
        </w:rPr>
      </w:pPr>
      <w:r>
        <w:rPr>
          <w:b/>
          <w:sz w:val="22"/>
          <w:szCs w:val="22"/>
          <w:lang w:val="pl-PL"/>
        </w:rPr>
        <w:t>8. NUMER</w:t>
      </w:r>
      <w:r w:rsidR="008E0359">
        <w:rPr>
          <w:b/>
          <w:sz w:val="22"/>
          <w:szCs w:val="22"/>
          <w:lang w:val="pl-PL"/>
        </w:rPr>
        <w:t xml:space="preserve"> </w:t>
      </w:r>
      <w:r>
        <w:rPr>
          <w:b/>
          <w:sz w:val="22"/>
          <w:szCs w:val="22"/>
          <w:lang w:val="pl-PL"/>
        </w:rPr>
        <w:t>POZWOLENIANA DOPUSZCZENIE DO OBROTU</w:t>
      </w:r>
    </w:p>
    <w:p w14:paraId="118A376F" w14:textId="77777777" w:rsidR="00BF76C4" w:rsidRDefault="00BF76C4">
      <w:pPr>
        <w:ind w:firstLine="11"/>
        <w:rPr>
          <w:sz w:val="22"/>
          <w:szCs w:val="22"/>
          <w:lang w:val="pl-PL"/>
        </w:rPr>
      </w:pPr>
      <w:r>
        <w:rPr>
          <w:sz w:val="22"/>
          <w:szCs w:val="22"/>
          <w:lang w:val="pl-PL"/>
        </w:rPr>
        <w:t xml:space="preserve">Pozwolenie </w:t>
      </w:r>
      <w:r w:rsidR="003B2841">
        <w:rPr>
          <w:sz w:val="22"/>
          <w:szCs w:val="22"/>
          <w:lang w:val="pl-PL"/>
        </w:rPr>
        <w:t xml:space="preserve">nr </w:t>
      </w:r>
      <w:r>
        <w:rPr>
          <w:sz w:val="22"/>
          <w:szCs w:val="22"/>
          <w:lang w:val="pl-PL"/>
        </w:rPr>
        <w:t>8678</w:t>
      </w:r>
    </w:p>
    <w:p w14:paraId="7E7D5E49" w14:textId="77777777" w:rsidR="00BF76C4" w:rsidRDefault="00BF76C4">
      <w:pPr>
        <w:ind w:firstLine="11"/>
        <w:rPr>
          <w:b/>
          <w:sz w:val="22"/>
          <w:szCs w:val="22"/>
          <w:lang w:val="pl-PL"/>
        </w:rPr>
      </w:pPr>
    </w:p>
    <w:p w14:paraId="2A9702DE" w14:textId="77777777" w:rsidR="00EB67AE" w:rsidRDefault="00EB67AE">
      <w:pPr>
        <w:ind w:firstLine="11"/>
        <w:rPr>
          <w:b/>
          <w:sz w:val="22"/>
          <w:szCs w:val="22"/>
          <w:lang w:val="pl-PL"/>
        </w:rPr>
      </w:pPr>
    </w:p>
    <w:p w14:paraId="7E55CB4C" w14:textId="77777777" w:rsidR="00BF76C4" w:rsidRDefault="00BF76C4">
      <w:pPr>
        <w:jc w:val="both"/>
        <w:rPr>
          <w:b/>
          <w:sz w:val="22"/>
          <w:szCs w:val="22"/>
          <w:lang w:val="pl-PL"/>
        </w:rPr>
      </w:pPr>
      <w:r>
        <w:rPr>
          <w:b/>
          <w:sz w:val="22"/>
          <w:szCs w:val="22"/>
          <w:lang w:val="pl-PL"/>
        </w:rPr>
        <w:t>9. DATA WYDANIA PIERWSZEGO POZWOLENIA NA DOPUSZCZENIE DO</w:t>
      </w:r>
    </w:p>
    <w:p w14:paraId="3C651BD8" w14:textId="77777777" w:rsidR="00BF76C4" w:rsidRDefault="00BF76C4">
      <w:pPr>
        <w:ind w:right="-710"/>
        <w:rPr>
          <w:b/>
          <w:sz w:val="22"/>
          <w:szCs w:val="22"/>
          <w:lang w:val="pl-PL"/>
        </w:rPr>
      </w:pPr>
      <w:r>
        <w:rPr>
          <w:b/>
          <w:sz w:val="22"/>
          <w:szCs w:val="22"/>
          <w:lang w:val="pl-PL"/>
        </w:rPr>
        <w:t xml:space="preserve">    OBROTU </w:t>
      </w:r>
      <w:r w:rsidR="008363F3">
        <w:rPr>
          <w:b/>
          <w:sz w:val="22"/>
          <w:szCs w:val="22"/>
          <w:lang w:val="pl-PL"/>
        </w:rPr>
        <w:t>I</w:t>
      </w:r>
      <w:r>
        <w:rPr>
          <w:b/>
          <w:sz w:val="22"/>
          <w:szCs w:val="22"/>
          <w:lang w:val="pl-PL"/>
        </w:rPr>
        <w:t xml:space="preserve"> DATA PRZEDŁUŻENIA POZWOLENIA </w:t>
      </w:r>
    </w:p>
    <w:p w14:paraId="0DEA036A" w14:textId="77777777" w:rsidR="00EB67AE" w:rsidRDefault="00EB67AE">
      <w:pPr>
        <w:ind w:right="-710"/>
        <w:rPr>
          <w:color w:val="000000"/>
          <w:sz w:val="22"/>
          <w:szCs w:val="22"/>
          <w:lang w:val="pl-PL" w:eastAsia="pl-PL"/>
        </w:rPr>
      </w:pPr>
    </w:p>
    <w:p w14:paraId="6591BA18" w14:textId="77777777" w:rsidR="00AC047D" w:rsidRPr="00286C10" w:rsidRDefault="00AC047D">
      <w:pPr>
        <w:ind w:right="-710"/>
        <w:rPr>
          <w:color w:val="000000"/>
          <w:sz w:val="22"/>
          <w:szCs w:val="22"/>
          <w:lang w:val="pl-PL" w:eastAsia="pl-PL"/>
        </w:rPr>
      </w:pPr>
      <w:r w:rsidRPr="00AC047D">
        <w:rPr>
          <w:color w:val="000000"/>
          <w:sz w:val="22"/>
          <w:szCs w:val="22"/>
          <w:lang w:val="pl-PL" w:eastAsia="pl-PL"/>
        </w:rPr>
        <w:t xml:space="preserve">Data </w:t>
      </w:r>
      <w:r w:rsidRPr="00503D14">
        <w:rPr>
          <w:color w:val="000000"/>
          <w:sz w:val="22"/>
          <w:szCs w:val="22"/>
          <w:lang w:val="pl-PL" w:eastAsia="pl-PL"/>
        </w:rPr>
        <w:t xml:space="preserve">wydania pierwszego pozwolenia na dopuszczenie do obrotu: </w:t>
      </w:r>
      <w:r w:rsidR="00BF76C4" w:rsidRPr="00286C10">
        <w:rPr>
          <w:color w:val="000000"/>
          <w:sz w:val="22"/>
          <w:szCs w:val="22"/>
          <w:lang w:val="pl-PL" w:eastAsia="pl-PL"/>
        </w:rPr>
        <w:t>16</w:t>
      </w:r>
      <w:r w:rsidR="003A5380">
        <w:rPr>
          <w:color w:val="000000"/>
          <w:sz w:val="22"/>
          <w:szCs w:val="22"/>
          <w:lang w:val="pl-PL" w:eastAsia="pl-PL"/>
        </w:rPr>
        <w:t>.</w:t>
      </w:r>
      <w:r w:rsidR="00BF76C4" w:rsidRPr="00286C10">
        <w:rPr>
          <w:color w:val="000000"/>
          <w:sz w:val="22"/>
          <w:szCs w:val="22"/>
          <w:lang w:val="pl-PL" w:eastAsia="pl-PL"/>
        </w:rPr>
        <w:t>03</w:t>
      </w:r>
      <w:r w:rsidR="003A5380">
        <w:rPr>
          <w:color w:val="000000"/>
          <w:sz w:val="22"/>
          <w:szCs w:val="22"/>
          <w:lang w:val="pl-PL" w:eastAsia="pl-PL"/>
        </w:rPr>
        <w:t>.</w:t>
      </w:r>
      <w:r w:rsidR="00BF76C4" w:rsidRPr="00286C10">
        <w:rPr>
          <w:color w:val="000000"/>
          <w:sz w:val="22"/>
          <w:szCs w:val="22"/>
          <w:lang w:val="pl-PL" w:eastAsia="pl-PL"/>
        </w:rPr>
        <w:t>2001</w:t>
      </w:r>
    </w:p>
    <w:p w14:paraId="229D1A97" w14:textId="77777777" w:rsidR="00BF76C4" w:rsidRDefault="00AC047D">
      <w:pPr>
        <w:ind w:right="-710"/>
        <w:rPr>
          <w:b/>
          <w:sz w:val="22"/>
          <w:szCs w:val="22"/>
          <w:lang w:val="pl-PL"/>
        </w:rPr>
      </w:pPr>
      <w:r w:rsidRPr="00286C10">
        <w:rPr>
          <w:noProof/>
          <w:sz w:val="22"/>
          <w:szCs w:val="22"/>
          <w:lang w:val="pl-PL"/>
        </w:rPr>
        <w:t>Data ostatniego przedłużenia pozwolenia</w:t>
      </w:r>
      <w:r w:rsidRPr="00503D14">
        <w:rPr>
          <w:color w:val="000000"/>
          <w:sz w:val="22"/>
          <w:szCs w:val="22"/>
          <w:lang w:val="pl-PL" w:eastAsia="pl-PL"/>
        </w:rPr>
        <w:t xml:space="preserve"> </w:t>
      </w:r>
      <w:r w:rsidR="00503D14" w:rsidRPr="00286C10">
        <w:rPr>
          <w:color w:val="000000"/>
          <w:sz w:val="22"/>
          <w:szCs w:val="22"/>
          <w:lang w:val="pl-PL" w:eastAsia="pl-PL"/>
        </w:rPr>
        <w:t>:</w:t>
      </w:r>
      <w:r w:rsidR="008363F3">
        <w:rPr>
          <w:color w:val="000000"/>
          <w:sz w:val="22"/>
          <w:szCs w:val="22"/>
          <w:lang w:val="pl-PL" w:eastAsia="pl-PL"/>
        </w:rPr>
        <w:t xml:space="preserve"> </w:t>
      </w:r>
      <w:r w:rsidR="003D16CA">
        <w:rPr>
          <w:sz w:val="22"/>
          <w:szCs w:val="24"/>
          <w:lang w:val="pl-PL"/>
        </w:rPr>
        <w:t>22.10.2013</w:t>
      </w:r>
    </w:p>
    <w:p w14:paraId="0011CD9A" w14:textId="77777777" w:rsidR="00BF76C4" w:rsidRDefault="00BF76C4">
      <w:pPr>
        <w:ind w:right="-710"/>
        <w:rPr>
          <w:b/>
          <w:sz w:val="22"/>
          <w:szCs w:val="22"/>
          <w:lang w:val="pl-PL"/>
        </w:rPr>
      </w:pPr>
    </w:p>
    <w:p w14:paraId="46095002" w14:textId="77777777" w:rsidR="00EB67AE" w:rsidRDefault="00EB67AE">
      <w:pPr>
        <w:ind w:right="-710"/>
        <w:rPr>
          <w:b/>
          <w:sz w:val="22"/>
          <w:szCs w:val="22"/>
          <w:lang w:val="pl-PL"/>
        </w:rPr>
      </w:pPr>
    </w:p>
    <w:p w14:paraId="6E4F2601" w14:textId="77777777" w:rsidR="00BF76C4" w:rsidRDefault="00BF76C4" w:rsidP="00FC3A5E">
      <w:pPr>
        <w:pStyle w:val="BodyText"/>
        <w:spacing w:after="0"/>
        <w:jc w:val="both"/>
        <w:rPr>
          <w:b/>
          <w:caps/>
          <w:sz w:val="22"/>
          <w:szCs w:val="22"/>
          <w:lang w:val="pl-PL"/>
        </w:rPr>
      </w:pPr>
      <w:r>
        <w:rPr>
          <w:b/>
          <w:sz w:val="22"/>
          <w:szCs w:val="22"/>
          <w:lang w:val="pl-PL"/>
        </w:rPr>
        <w:t xml:space="preserve">10. </w:t>
      </w:r>
      <w:r>
        <w:rPr>
          <w:b/>
          <w:caps/>
          <w:sz w:val="22"/>
          <w:szCs w:val="22"/>
          <w:lang w:val="pl-PL"/>
        </w:rPr>
        <w:t xml:space="preserve">Data zatwierdzenia lub częściowej zmiany tekstu </w:t>
      </w:r>
    </w:p>
    <w:p w14:paraId="6D71F490" w14:textId="77777777" w:rsidR="00BF76C4" w:rsidRDefault="00BF76C4" w:rsidP="00FC3A5E">
      <w:pPr>
        <w:pStyle w:val="BodyText"/>
        <w:spacing w:after="0"/>
        <w:jc w:val="both"/>
        <w:rPr>
          <w:b/>
          <w:caps/>
          <w:sz w:val="22"/>
          <w:szCs w:val="22"/>
          <w:lang w:val="pl-PL"/>
        </w:rPr>
      </w:pPr>
      <w:r>
        <w:rPr>
          <w:b/>
          <w:caps/>
          <w:sz w:val="22"/>
          <w:szCs w:val="22"/>
          <w:lang w:val="pl-PL"/>
        </w:rPr>
        <w:t xml:space="preserve">      Charakterystyki produktu leczniczego</w:t>
      </w:r>
    </w:p>
    <w:p w14:paraId="47C0306C" w14:textId="77777777" w:rsidR="00BF76C4" w:rsidRDefault="00BF76C4">
      <w:pPr>
        <w:ind w:firstLine="11"/>
        <w:rPr>
          <w:b/>
          <w:sz w:val="22"/>
          <w:szCs w:val="22"/>
          <w:lang w:val="pl-PL"/>
        </w:rPr>
      </w:pPr>
    </w:p>
    <w:p w14:paraId="330E7FAB" w14:textId="011FE437" w:rsidR="007C12FF" w:rsidRPr="003A5D1C" w:rsidRDefault="0042219A">
      <w:pPr>
        <w:ind w:firstLine="11"/>
        <w:rPr>
          <w:sz w:val="22"/>
          <w:szCs w:val="22"/>
          <w:lang w:val="pl-PL"/>
        </w:rPr>
      </w:pPr>
      <w:r>
        <w:rPr>
          <w:sz w:val="22"/>
          <w:szCs w:val="22"/>
          <w:lang w:val="pl-PL"/>
        </w:rPr>
        <w:t>02.06.2022</w:t>
      </w:r>
    </w:p>
    <w:sectPr w:rsidR="007C12FF" w:rsidRPr="003A5D1C">
      <w:footerReference w:type="even" r:id="rId7"/>
      <w:footerReference w:type="default" r:id="rId8"/>
      <w:pgSz w:w="11906" w:h="16838"/>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FF70" w14:textId="77777777" w:rsidR="00EC7EEC" w:rsidRDefault="00EC7EEC">
      <w:r>
        <w:separator/>
      </w:r>
    </w:p>
  </w:endnote>
  <w:endnote w:type="continuationSeparator" w:id="0">
    <w:p w14:paraId="51A6D416" w14:textId="77777777" w:rsidR="00EC7EEC" w:rsidRDefault="00EC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DC28" w14:textId="77777777" w:rsidR="006C522A" w:rsidRDefault="006C52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4D814" w14:textId="77777777" w:rsidR="006C522A" w:rsidRDefault="006C5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A7B6" w14:textId="77777777" w:rsidR="006C522A" w:rsidRDefault="006C522A">
    <w:pPr>
      <w:pStyle w:val="Footer"/>
      <w:framePr w:wrap="around" w:vAnchor="text" w:hAnchor="margin" w:xAlign="right" w:y="1"/>
    </w:pPr>
    <w:r>
      <w:fldChar w:fldCharType="begin"/>
    </w:r>
    <w:r>
      <w:instrText xml:space="preserve">PAGE  </w:instrText>
    </w:r>
    <w:r>
      <w:fldChar w:fldCharType="separate"/>
    </w:r>
    <w:r w:rsidR="007C12FF">
      <w:rPr>
        <w:noProof/>
      </w:rPr>
      <w:t>6</w:t>
    </w:r>
    <w:r>
      <w:fldChar w:fldCharType="end"/>
    </w:r>
  </w:p>
  <w:p w14:paraId="1972AEC9" w14:textId="77777777" w:rsidR="006C522A" w:rsidRDefault="006C522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49431" w14:textId="77777777" w:rsidR="00EC7EEC" w:rsidRDefault="00EC7EEC">
      <w:r>
        <w:separator/>
      </w:r>
    </w:p>
  </w:footnote>
  <w:footnote w:type="continuationSeparator" w:id="0">
    <w:p w14:paraId="74F102D0" w14:textId="77777777" w:rsidR="00EC7EEC" w:rsidRDefault="00EC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E0655"/>
    <w:multiLevelType w:val="hybridMultilevel"/>
    <w:tmpl w:val="36D886DC"/>
    <w:lvl w:ilvl="0" w:tplc="515CA6AA">
      <w:start w:val="4"/>
      <w:numFmt w:val="bullet"/>
      <w:lvlText w:val="-"/>
      <w:lvlJc w:val="left"/>
      <w:pPr>
        <w:tabs>
          <w:tab w:val="num" w:pos="371"/>
        </w:tabs>
        <w:ind w:left="371" w:hanging="360"/>
      </w:pPr>
      <w:rPr>
        <w:rFonts w:ascii="Times New Roman" w:eastAsia="Times New Roman" w:hAnsi="Times New Roman" w:cs="Times New Roman" w:hint="default"/>
      </w:rPr>
    </w:lvl>
    <w:lvl w:ilvl="1" w:tplc="04150003" w:tentative="1">
      <w:start w:val="1"/>
      <w:numFmt w:val="bullet"/>
      <w:lvlText w:val="o"/>
      <w:lvlJc w:val="left"/>
      <w:pPr>
        <w:tabs>
          <w:tab w:val="num" w:pos="1091"/>
        </w:tabs>
        <w:ind w:left="1091" w:hanging="360"/>
      </w:pPr>
      <w:rPr>
        <w:rFonts w:ascii="Courier New" w:hAnsi="Courier New" w:hint="default"/>
      </w:rPr>
    </w:lvl>
    <w:lvl w:ilvl="2" w:tplc="04150005" w:tentative="1">
      <w:start w:val="1"/>
      <w:numFmt w:val="bullet"/>
      <w:lvlText w:val=""/>
      <w:lvlJc w:val="left"/>
      <w:pPr>
        <w:tabs>
          <w:tab w:val="num" w:pos="1811"/>
        </w:tabs>
        <w:ind w:left="1811" w:hanging="360"/>
      </w:pPr>
      <w:rPr>
        <w:rFonts w:ascii="Wingdings" w:hAnsi="Wingdings" w:hint="default"/>
      </w:rPr>
    </w:lvl>
    <w:lvl w:ilvl="3" w:tplc="04150001" w:tentative="1">
      <w:start w:val="1"/>
      <w:numFmt w:val="bullet"/>
      <w:lvlText w:val=""/>
      <w:lvlJc w:val="left"/>
      <w:pPr>
        <w:tabs>
          <w:tab w:val="num" w:pos="2531"/>
        </w:tabs>
        <w:ind w:left="2531" w:hanging="360"/>
      </w:pPr>
      <w:rPr>
        <w:rFonts w:ascii="Symbol" w:hAnsi="Symbol" w:hint="default"/>
      </w:rPr>
    </w:lvl>
    <w:lvl w:ilvl="4" w:tplc="04150003" w:tentative="1">
      <w:start w:val="1"/>
      <w:numFmt w:val="bullet"/>
      <w:lvlText w:val="o"/>
      <w:lvlJc w:val="left"/>
      <w:pPr>
        <w:tabs>
          <w:tab w:val="num" w:pos="3251"/>
        </w:tabs>
        <w:ind w:left="3251" w:hanging="360"/>
      </w:pPr>
      <w:rPr>
        <w:rFonts w:ascii="Courier New" w:hAnsi="Courier New" w:hint="default"/>
      </w:rPr>
    </w:lvl>
    <w:lvl w:ilvl="5" w:tplc="04150005" w:tentative="1">
      <w:start w:val="1"/>
      <w:numFmt w:val="bullet"/>
      <w:lvlText w:val=""/>
      <w:lvlJc w:val="left"/>
      <w:pPr>
        <w:tabs>
          <w:tab w:val="num" w:pos="3971"/>
        </w:tabs>
        <w:ind w:left="3971" w:hanging="360"/>
      </w:pPr>
      <w:rPr>
        <w:rFonts w:ascii="Wingdings" w:hAnsi="Wingdings" w:hint="default"/>
      </w:rPr>
    </w:lvl>
    <w:lvl w:ilvl="6" w:tplc="04150001" w:tentative="1">
      <w:start w:val="1"/>
      <w:numFmt w:val="bullet"/>
      <w:lvlText w:val=""/>
      <w:lvlJc w:val="left"/>
      <w:pPr>
        <w:tabs>
          <w:tab w:val="num" w:pos="4691"/>
        </w:tabs>
        <w:ind w:left="4691" w:hanging="360"/>
      </w:pPr>
      <w:rPr>
        <w:rFonts w:ascii="Symbol" w:hAnsi="Symbol" w:hint="default"/>
      </w:rPr>
    </w:lvl>
    <w:lvl w:ilvl="7" w:tplc="04150003" w:tentative="1">
      <w:start w:val="1"/>
      <w:numFmt w:val="bullet"/>
      <w:lvlText w:val="o"/>
      <w:lvlJc w:val="left"/>
      <w:pPr>
        <w:tabs>
          <w:tab w:val="num" w:pos="5411"/>
        </w:tabs>
        <w:ind w:left="5411" w:hanging="360"/>
      </w:pPr>
      <w:rPr>
        <w:rFonts w:ascii="Courier New" w:hAnsi="Courier New" w:hint="default"/>
      </w:rPr>
    </w:lvl>
    <w:lvl w:ilvl="8" w:tplc="04150005" w:tentative="1">
      <w:start w:val="1"/>
      <w:numFmt w:val="bullet"/>
      <w:lvlText w:val=""/>
      <w:lvlJc w:val="left"/>
      <w:pPr>
        <w:tabs>
          <w:tab w:val="num" w:pos="6131"/>
        </w:tabs>
        <w:ind w:left="61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BDB"/>
    <w:rsid w:val="00026BF8"/>
    <w:rsid w:val="00027668"/>
    <w:rsid w:val="00070A08"/>
    <w:rsid w:val="0007713D"/>
    <w:rsid w:val="00087EFC"/>
    <w:rsid w:val="000D5FEE"/>
    <w:rsid w:val="000D7BA8"/>
    <w:rsid w:val="00191784"/>
    <w:rsid w:val="001C548F"/>
    <w:rsid w:val="001C5CA9"/>
    <w:rsid w:val="001D3472"/>
    <w:rsid w:val="001E73FF"/>
    <w:rsid w:val="002476EC"/>
    <w:rsid w:val="00256180"/>
    <w:rsid w:val="00264E2B"/>
    <w:rsid w:val="00280D09"/>
    <w:rsid w:val="00286C10"/>
    <w:rsid w:val="002B6EAE"/>
    <w:rsid w:val="002C3B3C"/>
    <w:rsid w:val="002D3F54"/>
    <w:rsid w:val="003265C8"/>
    <w:rsid w:val="003357C4"/>
    <w:rsid w:val="003361D4"/>
    <w:rsid w:val="003632FB"/>
    <w:rsid w:val="003A5380"/>
    <w:rsid w:val="003A5D1C"/>
    <w:rsid w:val="003B2841"/>
    <w:rsid w:val="003D16CA"/>
    <w:rsid w:val="003E2ACA"/>
    <w:rsid w:val="003F36C0"/>
    <w:rsid w:val="003F7F6B"/>
    <w:rsid w:val="0042219A"/>
    <w:rsid w:val="004B1BC8"/>
    <w:rsid w:val="00503D14"/>
    <w:rsid w:val="00544034"/>
    <w:rsid w:val="00586BA1"/>
    <w:rsid w:val="005B323C"/>
    <w:rsid w:val="006202ED"/>
    <w:rsid w:val="0064168F"/>
    <w:rsid w:val="0067599B"/>
    <w:rsid w:val="006A1D7B"/>
    <w:rsid w:val="006A453D"/>
    <w:rsid w:val="006B1DEC"/>
    <w:rsid w:val="006C522A"/>
    <w:rsid w:val="006D6E90"/>
    <w:rsid w:val="00711A39"/>
    <w:rsid w:val="007162D5"/>
    <w:rsid w:val="007274BD"/>
    <w:rsid w:val="00760778"/>
    <w:rsid w:val="00764D9B"/>
    <w:rsid w:val="00785B5A"/>
    <w:rsid w:val="007C12FF"/>
    <w:rsid w:val="007C5EF5"/>
    <w:rsid w:val="00830004"/>
    <w:rsid w:val="008363F3"/>
    <w:rsid w:val="00867382"/>
    <w:rsid w:val="00882959"/>
    <w:rsid w:val="00884814"/>
    <w:rsid w:val="00884D6C"/>
    <w:rsid w:val="00890D48"/>
    <w:rsid w:val="008E0359"/>
    <w:rsid w:val="00947B4E"/>
    <w:rsid w:val="0095297A"/>
    <w:rsid w:val="009716DD"/>
    <w:rsid w:val="009763BC"/>
    <w:rsid w:val="0098239D"/>
    <w:rsid w:val="009A2DAE"/>
    <w:rsid w:val="009D54F8"/>
    <w:rsid w:val="009E4648"/>
    <w:rsid w:val="009F0B89"/>
    <w:rsid w:val="009F4EFB"/>
    <w:rsid w:val="00A219B5"/>
    <w:rsid w:val="00A27484"/>
    <w:rsid w:val="00A455C3"/>
    <w:rsid w:val="00A91C93"/>
    <w:rsid w:val="00A92450"/>
    <w:rsid w:val="00AA5411"/>
    <w:rsid w:val="00AC047D"/>
    <w:rsid w:val="00AC2F88"/>
    <w:rsid w:val="00AC626F"/>
    <w:rsid w:val="00AD6566"/>
    <w:rsid w:val="00AE0DBC"/>
    <w:rsid w:val="00B355CA"/>
    <w:rsid w:val="00B4140B"/>
    <w:rsid w:val="00B63032"/>
    <w:rsid w:val="00B77E73"/>
    <w:rsid w:val="00B84BAE"/>
    <w:rsid w:val="00BD2977"/>
    <w:rsid w:val="00BE1548"/>
    <w:rsid w:val="00BF1BDB"/>
    <w:rsid w:val="00BF76C4"/>
    <w:rsid w:val="00CB0CAB"/>
    <w:rsid w:val="00CC16A9"/>
    <w:rsid w:val="00CD788D"/>
    <w:rsid w:val="00CE3808"/>
    <w:rsid w:val="00D01859"/>
    <w:rsid w:val="00D17407"/>
    <w:rsid w:val="00D424C8"/>
    <w:rsid w:val="00D52CCE"/>
    <w:rsid w:val="00D667B6"/>
    <w:rsid w:val="00D973FF"/>
    <w:rsid w:val="00DB160B"/>
    <w:rsid w:val="00DF561C"/>
    <w:rsid w:val="00E20CDF"/>
    <w:rsid w:val="00E5452F"/>
    <w:rsid w:val="00E60F67"/>
    <w:rsid w:val="00E81B7F"/>
    <w:rsid w:val="00E92412"/>
    <w:rsid w:val="00EB060F"/>
    <w:rsid w:val="00EB67AE"/>
    <w:rsid w:val="00EC7EEC"/>
    <w:rsid w:val="00F13715"/>
    <w:rsid w:val="00F303C6"/>
    <w:rsid w:val="00F419B5"/>
    <w:rsid w:val="00F65B89"/>
    <w:rsid w:val="00FC3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9840FA"/>
  <w15:docId w15:val="{ECBC5B11-C339-4023-9F34-29161DE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val="en-GB" w:eastAsia="ja-JP"/>
    </w:rPr>
  </w:style>
  <w:style w:type="paragraph" w:styleId="Heading1">
    <w:name w:val="heading 1"/>
    <w:basedOn w:val="Normal"/>
    <w:next w:val="Normal"/>
    <w:qFormat/>
    <w:pPr>
      <w:keepNext/>
      <w:spacing w:line="360" w:lineRule="auto"/>
      <w:ind w:left="709" w:firstLine="11"/>
      <w:jc w:val="both"/>
      <w:outlineLvl w:val="0"/>
    </w:pPr>
    <w:rPr>
      <w:sz w:val="24"/>
      <w:lang w:val="pl-PL"/>
    </w:rPr>
  </w:style>
  <w:style w:type="paragraph" w:styleId="Heading2">
    <w:name w:val="heading 2"/>
    <w:basedOn w:val="Normal"/>
    <w:next w:val="Normal"/>
    <w:qFormat/>
    <w:pPr>
      <w:keepNext/>
      <w:spacing w:line="360" w:lineRule="auto"/>
      <w:ind w:left="709" w:firstLine="11"/>
      <w:jc w:val="both"/>
      <w:outlineLvl w:val="1"/>
    </w:pPr>
    <w:rPr>
      <w:b/>
      <w:sz w:val="24"/>
      <w:u w:val="single"/>
      <w:lang w:val="pl-PL"/>
    </w:rPr>
  </w:style>
  <w:style w:type="paragraph" w:styleId="Heading3">
    <w:name w:val="heading 3"/>
    <w:basedOn w:val="Normal"/>
    <w:next w:val="Normal"/>
    <w:qFormat/>
    <w:pPr>
      <w:keepNext/>
      <w:spacing w:line="360" w:lineRule="auto"/>
      <w:ind w:left="709" w:firstLine="11"/>
      <w:jc w:val="both"/>
      <w:outlineLvl w:val="2"/>
    </w:pPr>
    <w:rPr>
      <w:b/>
      <w:sz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BodyTextIndent">
    <w:name w:val="Body Text Indent"/>
    <w:basedOn w:val="Normal"/>
    <w:pPr>
      <w:spacing w:line="360" w:lineRule="auto"/>
      <w:ind w:left="709" w:firstLine="11"/>
      <w:jc w:val="both"/>
    </w:pPr>
    <w:rPr>
      <w:sz w:val="24"/>
      <w:lang w:val="pl-PL"/>
    </w:rPr>
  </w:style>
  <w:style w:type="paragraph" w:styleId="BodyTextIndent2">
    <w:name w:val="Body Text Indent 2"/>
    <w:basedOn w:val="Normal"/>
    <w:pPr>
      <w:spacing w:line="360" w:lineRule="auto"/>
      <w:ind w:left="709" w:firstLine="11"/>
      <w:jc w:val="both"/>
    </w:pPr>
    <w:rPr>
      <w:i/>
      <w:sz w:val="24"/>
      <w:lang w:val="pl-PL"/>
    </w:rPr>
  </w:style>
  <w:style w:type="paragraph" w:styleId="BodyTextIndent3">
    <w:name w:val="Body Text Indent 3"/>
    <w:basedOn w:val="Normal"/>
    <w:pPr>
      <w:spacing w:line="360" w:lineRule="auto"/>
      <w:ind w:right="-710" w:firstLine="11"/>
      <w:jc w:val="both"/>
    </w:pPr>
    <w:rPr>
      <w:b/>
      <w:sz w:val="24"/>
      <w:lang w:val="pl-PL"/>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12607</Characters>
  <Application>Microsoft Office Word</Application>
  <DocSecurity>0</DocSecurity>
  <Lines>105</Lines>
  <Paragraphs>29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CHARAKTERYSTYKA ŒRODKA FARMACEUTYCZNEGO</vt:lpstr>
      <vt:lpstr>CHARAKTERYSTYKA ŒRODKA FARMACEUTYCZNEGO</vt:lpstr>
    </vt:vector>
  </TitlesOfParts>
  <Company>P.F "JELFA" S.A</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ŒRODKA FARMACEUTYCZNEGO</dc:title>
  <dc:creator>Janiec</dc:creator>
  <cp:lastModifiedBy>Kozlowska, Agnieszka</cp:lastModifiedBy>
  <cp:revision>4</cp:revision>
  <cp:lastPrinted>2013-07-16T10:17:00Z</cp:lastPrinted>
  <dcterms:created xsi:type="dcterms:W3CDTF">2022-02-07T17:07:00Z</dcterms:created>
  <dcterms:modified xsi:type="dcterms:W3CDTF">2022-06-06T12:21:00Z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49097d-8494-49be-8a4b-4e936cf918e5_Enabled">
    <vt:lpwstr>true</vt:lpwstr>
  </property>
  <property fmtid="{D5CDD505-2E9C-101B-9397-08002B2CF9AE}" pid="3" name="MSIP_Label_c449097d-8494-49be-8a4b-4e936cf918e5_SetDate">
    <vt:lpwstr>2022-07-25T23:24:55Z</vt:lpwstr>
  </property>
  <property fmtid="{D5CDD505-2E9C-101B-9397-08002B2CF9AE}" pid="4" name="MSIP_Label_c449097d-8494-49be-8a4b-4e936cf918e5_Method">
    <vt:lpwstr>Standard</vt:lpwstr>
  </property>
  <property fmtid="{D5CDD505-2E9C-101B-9397-08002B2CF9AE}" pid="5" name="MSIP_Label_c449097d-8494-49be-8a4b-4e936cf918e5_Name">
    <vt:lpwstr>CORP SpinCo Information Label</vt:lpwstr>
  </property>
  <property fmtid="{D5CDD505-2E9C-101B-9397-08002B2CF9AE}" pid="6" name="MSIP_Label_c449097d-8494-49be-8a4b-4e936cf918e5_SiteId">
    <vt:lpwstr>a72dda32-ee80-4da8-a3ac-ec0e9e41a50a</vt:lpwstr>
  </property>
  <property fmtid="{D5CDD505-2E9C-101B-9397-08002B2CF9AE}" pid="7" name="MSIP_Label_c449097d-8494-49be-8a4b-4e936cf918e5_ActionId">
    <vt:lpwstr>9051b9a7-6955-45db-9654-30a40af34382</vt:lpwstr>
  </property>
  <property fmtid="{D5CDD505-2E9C-101B-9397-08002B2CF9AE}" pid="8" name="MSIP_Label_c449097d-8494-49be-8a4b-4e936cf918e5_ContentBits">
    <vt:lpwstr>0</vt:lpwstr>
  </property>
</Properties>
</file>