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0D9B" w14:textId="77777777" w:rsidR="00A65887" w:rsidRPr="008E3E1F" w:rsidRDefault="00A65887" w:rsidP="007301F0">
      <w:pPr>
        <w:rPr>
          <w:b/>
        </w:rPr>
      </w:pPr>
    </w:p>
    <w:p w14:paraId="3A7EE247" w14:textId="77777777" w:rsidR="00A65887" w:rsidRPr="008E3E1F" w:rsidRDefault="00A65887" w:rsidP="007301F0">
      <w:pPr>
        <w:rPr>
          <w:b/>
        </w:rPr>
      </w:pPr>
    </w:p>
    <w:p w14:paraId="30BB9815" w14:textId="77777777" w:rsidR="00A65887" w:rsidRPr="008E3E1F" w:rsidRDefault="00A65887" w:rsidP="007301F0">
      <w:pPr>
        <w:rPr>
          <w:b/>
        </w:rPr>
      </w:pPr>
    </w:p>
    <w:p w14:paraId="27C632C0" w14:textId="77777777" w:rsidR="00A65887" w:rsidRPr="008E3E1F" w:rsidRDefault="00A65887" w:rsidP="007301F0">
      <w:pPr>
        <w:rPr>
          <w:b/>
        </w:rPr>
      </w:pPr>
    </w:p>
    <w:p w14:paraId="7995B069" w14:textId="77777777" w:rsidR="00A65887" w:rsidRPr="008E3E1F" w:rsidRDefault="00A65887" w:rsidP="007301F0">
      <w:pPr>
        <w:rPr>
          <w:b/>
        </w:rPr>
      </w:pPr>
    </w:p>
    <w:p w14:paraId="7E9DA2FA" w14:textId="77777777" w:rsidR="00A65887" w:rsidRPr="008E3E1F" w:rsidRDefault="00A65887" w:rsidP="007301F0">
      <w:pPr>
        <w:rPr>
          <w:b/>
        </w:rPr>
      </w:pPr>
    </w:p>
    <w:p w14:paraId="00825453" w14:textId="77777777" w:rsidR="00A65887" w:rsidRPr="008E3E1F" w:rsidRDefault="00A65887" w:rsidP="007301F0">
      <w:pPr>
        <w:rPr>
          <w:b/>
        </w:rPr>
      </w:pPr>
    </w:p>
    <w:p w14:paraId="22E99F3D" w14:textId="77777777" w:rsidR="00A65887" w:rsidRPr="008E3E1F" w:rsidRDefault="00A65887" w:rsidP="007301F0">
      <w:pPr>
        <w:rPr>
          <w:b/>
        </w:rPr>
      </w:pPr>
    </w:p>
    <w:p w14:paraId="778EABA5" w14:textId="77777777" w:rsidR="00A65887" w:rsidRPr="008E3E1F" w:rsidRDefault="00A65887" w:rsidP="007301F0">
      <w:pPr>
        <w:rPr>
          <w:b/>
        </w:rPr>
      </w:pPr>
    </w:p>
    <w:p w14:paraId="375BBF08" w14:textId="77777777" w:rsidR="00A65887" w:rsidRPr="008E3E1F" w:rsidRDefault="00A65887" w:rsidP="007301F0">
      <w:pPr>
        <w:rPr>
          <w:b/>
        </w:rPr>
      </w:pPr>
    </w:p>
    <w:p w14:paraId="55BC6F4B" w14:textId="77777777" w:rsidR="00A65887" w:rsidRPr="008E3E1F" w:rsidRDefault="00A65887" w:rsidP="007301F0">
      <w:pPr>
        <w:rPr>
          <w:b/>
        </w:rPr>
      </w:pPr>
    </w:p>
    <w:p w14:paraId="390684D6" w14:textId="77777777" w:rsidR="00A65887" w:rsidRPr="008E3E1F" w:rsidRDefault="00A65887" w:rsidP="007301F0">
      <w:pPr>
        <w:rPr>
          <w:b/>
        </w:rPr>
      </w:pPr>
    </w:p>
    <w:p w14:paraId="4A22D17F" w14:textId="77777777" w:rsidR="00A65887" w:rsidRPr="008E3E1F" w:rsidRDefault="00A65887" w:rsidP="007301F0">
      <w:pPr>
        <w:rPr>
          <w:b/>
        </w:rPr>
      </w:pPr>
    </w:p>
    <w:p w14:paraId="34CBC11D" w14:textId="77777777" w:rsidR="00A65887" w:rsidRPr="008E3E1F" w:rsidRDefault="00A65887" w:rsidP="007301F0">
      <w:pPr>
        <w:rPr>
          <w:b/>
        </w:rPr>
      </w:pPr>
    </w:p>
    <w:p w14:paraId="07BC566C" w14:textId="77777777" w:rsidR="00A65887" w:rsidRPr="008E3E1F" w:rsidRDefault="00A65887" w:rsidP="007301F0">
      <w:pPr>
        <w:rPr>
          <w:b/>
        </w:rPr>
      </w:pPr>
    </w:p>
    <w:p w14:paraId="5F4C1B63" w14:textId="77777777" w:rsidR="00A65887" w:rsidRPr="008E3E1F" w:rsidRDefault="00A65887" w:rsidP="007301F0">
      <w:pPr>
        <w:rPr>
          <w:b/>
        </w:rPr>
      </w:pPr>
    </w:p>
    <w:p w14:paraId="05C3A0FA" w14:textId="77777777" w:rsidR="00A65887" w:rsidRPr="008E3E1F" w:rsidRDefault="00A65887" w:rsidP="007301F0">
      <w:pPr>
        <w:rPr>
          <w:b/>
        </w:rPr>
      </w:pPr>
    </w:p>
    <w:p w14:paraId="3D033B89" w14:textId="77777777" w:rsidR="00A65887" w:rsidRPr="008E3E1F" w:rsidRDefault="00A65887" w:rsidP="007301F0">
      <w:pPr>
        <w:rPr>
          <w:b/>
        </w:rPr>
      </w:pPr>
    </w:p>
    <w:p w14:paraId="400FD0C2" w14:textId="77777777" w:rsidR="00A65887" w:rsidRPr="008E3E1F" w:rsidRDefault="00A65887" w:rsidP="007301F0">
      <w:pPr>
        <w:rPr>
          <w:b/>
        </w:rPr>
      </w:pPr>
    </w:p>
    <w:p w14:paraId="39C88216" w14:textId="77777777" w:rsidR="00A65887" w:rsidRPr="008E3E1F" w:rsidRDefault="00A65887" w:rsidP="007301F0">
      <w:pPr>
        <w:rPr>
          <w:b/>
        </w:rPr>
      </w:pPr>
    </w:p>
    <w:p w14:paraId="5C335723" w14:textId="77777777" w:rsidR="00A65887" w:rsidRPr="008E3E1F" w:rsidRDefault="00A65887" w:rsidP="007301F0">
      <w:pPr>
        <w:rPr>
          <w:b/>
        </w:rPr>
      </w:pPr>
    </w:p>
    <w:p w14:paraId="38A2CF0E" w14:textId="77777777" w:rsidR="00A65887" w:rsidRPr="008E3E1F" w:rsidRDefault="005355BC" w:rsidP="006D5855">
      <w:pPr>
        <w:jc w:val="center"/>
        <w:rPr>
          <w:b/>
        </w:rPr>
      </w:pPr>
      <w:r w:rsidRPr="008E3E1F">
        <w:rPr>
          <w:b/>
          <w:bCs/>
        </w:rPr>
        <w:t>CHARAKTERYSTYKA PRODUKTU LECZNICZEGO</w:t>
      </w:r>
    </w:p>
    <w:p w14:paraId="58EE10CB" w14:textId="52C0D1C1" w:rsidR="00801E04" w:rsidRPr="008E3E1F" w:rsidRDefault="005355BC" w:rsidP="007301F0">
      <w:pPr>
        <w:ind w:left="0" w:firstLine="0"/>
        <w:rPr>
          <w:b/>
          <w:noProof/>
          <w:szCs w:val="22"/>
        </w:rPr>
      </w:pPr>
      <w:r w:rsidRPr="008E3E1F">
        <w:rPr>
          <w:b/>
        </w:rPr>
        <w:br w:type="page"/>
      </w:r>
    </w:p>
    <w:p w14:paraId="40072B3D" w14:textId="77777777" w:rsidR="00801E04" w:rsidRPr="008E3E1F" w:rsidRDefault="00801E04" w:rsidP="006D5855">
      <w:pPr>
        <w:rPr>
          <w:b/>
        </w:rPr>
      </w:pPr>
    </w:p>
    <w:p w14:paraId="6E12A7C9" w14:textId="77777777" w:rsidR="00690342" w:rsidRPr="008E3E1F" w:rsidRDefault="00690342" w:rsidP="006D5855">
      <w:pPr>
        <w:rPr>
          <w:b/>
        </w:rPr>
      </w:pPr>
    </w:p>
    <w:p w14:paraId="5CBBC80C" w14:textId="77777777" w:rsidR="00A65887" w:rsidRPr="008E3E1F" w:rsidRDefault="005355BC" w:rsidP="006D5855">
      <w:pPr>
        <w:rPr>
          <w:b/>
        </w:rPr>
      </w:pPr>
      <w:r w:rsidRPr="008E3E1F">
        <w:rPr>
          <w:b/>
        </w:rPr>
        <w:t>1.</w:t>
      </w:r>
      <w:r w:rsidRPr="008E3E1F">
        <w:rPr>
          <w:b/>
        </w:rPr>
        <w:tab/>
        <w:t>NAZWA PRODUKTU LECZNICZEGO</w:t>
      </w:r>
    </w:p>
    <w:p w14:paraId="2AF66248" w14:textId="77777777" w:rsidR="00A65887" w:rsidRPr="008E3E1F" w:rsidRDefault="00A65887" w:rsidP="006D5855"/>
    <w:p w14:paraId="4925298A" w14:textId="084A6F83" w:rsidR="00A65887" w:rsidRPr="008E3E1F" w:rsidRDefault="00E753CB" w:rsidP="006D5855">
      <w:r w:rsidRPr="008E3E1F">
        <w:t xml:space="preserve">Duosone, </w:t>
      </w:r>
      <w:bookmarkStart w:id="0" w:name="_Hlk69800462"/>
      <w:r w:rsidR="00574451" w:rsidRPr="008E3E1F">
        <w:t>(</w:t>
      </w:r>
      <w:r w:rsidRPr="008E3E1F">
        <w:t>50 mikrogramów + 0,5 mg</w:t>
      </w:r>
      <w:r w:rsidR="00574451" w:rsidRPr="008E3E1F">
        <w:t>)</w:t>
      </w:r>
      <w:r w:rsidRPr="008E3E1F">
        <w:t>/g, żel</w:t>
      </w:r>
    </w:p>
    <w:bookmarkEnd w:id="0"/>
    <w:p w14:paraId="31B7749E" w14:textId="77777777" w:rsidR="00A65887" w:rsidRPr="008E3E1F" w:rsidRDefault="00A65887" w:rsidP="006D5855"/>
    <w:p w14:paraId="1BA244A0" w14:textId="77777777" w:rsidR="00A65887" w:rsidRPr="008E3E1F" w:rsidRDefault="00A65887" w:rsidP="006D5855"/>
    <w:p w14:paraId="3B2F5BFB" w14:textId="77777777" w:rsidR="00A65887" w:rsidRPr="008E3E1F" w:rsidRDefault="005355BC" w:rsidP="006D5855">
      <w:pPr>
        <w:rPr>
          <w:b/>
        </w:rPr>
      </w:pPr>
      <w:r w:rsidRPr="008E3E1F">
        <w:rPr>
          <w:b/>
        </w:rPr>
        <w:t>2.</w:t>
      </w:r>
      <w:r w:rsidRPr="008E3E1F">
        <w:rPr>
          <w:b/>
        </w:rPr>
        <w:tab/>
        <w:t xml:space="preserve">SKŁAD JAKOŚCIOWY I ILOŚCIOWY </w:t>
      </w:r>
    </w:p>
    <w:p w14:paraId="22E88C52" w14:textId="3EFCB731" w:rsidR="00A65887" w:rsidRPr="008E3E1F" w:rsidRDefault="00A65887" w:rsidP="006D5855"/>
    <w:p w14:paraId="0617C0E9" w14:textId="2EB8D0A9" w:rsidR="00E753CB" w:rsidRPr="008E3E1F" w:rsidRDefault="00E753CB" w:rsidP="00E753CB">
      <w:r w:rsidRPr="008E3E1F">
        <w:t>Jeden gram żelu zawiera 50 mikrogramów kalcypotriolu (w postaci kalcypotriolu jednowodnego) i 0,5</w:t>
      </w:r>
    </w:p>
    <w:p w14:paraId="585062B1" w14:textId="5A961D81" w:rsidR="00E753CB" w:rsidRPr="008E3E1F" w:rsidRDefault="00E753CB" w:rsidP="00E753CB">
      <w:r w:rsidRPr="008E3E1F">
        <w:t xml:space="preserve">mg betametazonu (w postaci </w:t>
      </w:r>
      <w:r w:rsidR="00574451" w:rsidRPr="008E3E1F">
        <w:t xml:space="preserve">betametazonu </w:t>
      </w:r>
      <w:r w:rsidRPr="008E3E1F">
        <w:t>dipropionianu).</w:t>
      </w:r>
    </w:p>
    <w:p w14:paraId="3D51CCFF" w14:textId="77777777" w:rsidR="00E753CB" w:rsidRPr="008E3E1F" w:rsidRDefault="00E753CB" w:rsidP="00E753CB"/>
    <w:p w14:paraId="1EE6F50C" w14:textId="208C6B30" w:rsidR="00E753CB" w:rsidRPr="008E3E1F" w:rsidRDefault="00E753CB" w:rsidP="00E753CB">
      <w:pPr>
        <w:rPr>
          <w:u w:val="single"/>
        </w:rPr>
      </w:pPr>
      <w:r w:rsidRPr="008E3E1F">
        <w:rPr>
          <w:u w:val="single"/>
        </w:rPr>
        <w:t>Substancje pomocnicze o znanym działaniu:</w:t>
      </w:r>
    </w:p>
    <w:p w14:paraId="1D53918C" w14:textId="14F39328" w:rsidR="00E753CB" w:rsidRPr="008E3E1F" w:rsidRDefault="00E753CB" w:rsidP="00E753CB">
      <w:r w:rsidRPr="008E3E1F">
        <w:t>Butylohydroksyto</w:t>
      </w:r>
      <w:r w:rsidR="00574451" w:rsidRPr="008E3E1F">
        <w:t>lu</w:t>
      </w:r>
      <w:r w:rsidRPr="008E3E1F">
        <w:t>en (E321) do 270 mikrogramów/g żelu</w:t>
      </w:r>
    </w:p>
    <w:p w14:paraId="5A10B943" w14:textId="77777777" w:rsidR="00E753CB" w:rsidRPr="008E3E1F" w:rsidRDefault="00E753CB" w:rsidP="00E753CB"/>
    <w:p w14:paraId="4CA65B52" w14:textId="28242A7B" w:rsidR="00E753CB" w:rsidRPr="008E3E1F" w:rsidRDefault="00E753CB" w:rsidP="0076126F">
      <w:r w:rsidRPr="008E3E1F">
        <w:t>Olej rycynowy uwodorniony 16,7 mg/g żelu</w:t>
      </w:r>
    </w:p>
    <w:p w14:paraId="74DC8A07" w14:textId="77777777" w:rsidR="00E753CB" w:rsidRPr="008E3E1F" w:rsidRDefault="00E753CB" w:rsidP="00E753CB"/>
    <w:p w14:paraId="0168DAC1" w14:textId="77777777" w:rsidR="00A65887" w:rsidRPr="008E3E1F" w:rsidRDefault="005355BC" w:rsidP="006D5855">
      <w:r w:rsidRPr="008E3E1F">
        <w:rPr>
          <w:noProof/>
        </w:rPr>
        <w:t>Pełny wykaz substancji pomocniczych, patrz punkt 6.1.</w:t>
      </w:r>
    </w:p>
    <w:p w14:paraId="50AE64B3" w14:textId="77777777" w:rsidR="00A65887" w:rsidRPr="008E3E1F" w:rsidRDefault="00A65887" w:rsidP="006D5855"/>
    <w:p w14:paraId="4D5A174F" w14:textId="77777777" w:rsidR="00A65887" w:rsidRPr="008E3E1F" w:rsidRDefault="00A65887" w:rsidP="006D5855"/>
    <w:p w14:paraId="143CFFA1" w14:textId="77777777" w:rsidR="00A65887" w:rsidRPr="008E3E1F" w:rsidRDefault="005355BC" w:rsidP="006D5855">
      <w:pPr>
        <w:rPr>
          <w:b/>
        </w:rPr>
      </w:pPr>
      <w:r w:rsidRPr="008E3E1F">
        <w:rPr>
          <w:b/>
        </w:rPr>
        <w:t>3.</w:t>
      </w:r>
      <w:r w:rsidRPr="008E3E1F">
        <w:rPr>
          <w:b/>
        </w:rPr>
        <w:tab/>
        <w:t>POSTAĆ FARMACEUTYCZNA</w:t>
      </w:r>
    </w:p>
    <w:p w14:paraId="0327735F" w14:textId="77777777" w:rsidR="00A65887" w:rsidRPr="008E3E1F" w:rsidRDefault="00A65887" w:rsidP="006D5855">
      <w:pPr>
        <w:rPr>
          <w:highlight w:val="yellow"/>
        </w:rPr>
      </w:pPr>
    </w:p>
    <w:p w14:paraId="0268EC9A" w14:textId="7B023F2C" w:rsidR="00A65887" w:rsidRPr="008E3E1F" w:rsidRDefault="00E753CB" w:rsidP="00E753CB">
      <w:pPr>
        <w:ind w:left="0" w:firstLine="0"/>
      </w:pPr>
      <w:r w:rsidRPr="008E3E1F">
        <w:t>Żel</w:t>
      </w:r>
    </w:p>
    <w:p w14:paraId="203E7AAA" w14:textId="07AC6C37" w:rsidR="00E753CB" w:rsidRPr="008E3E1F" w:rsidRDefault="00E753CB" w:rsidP="00E753CB">
      <w:pPr>
        <w:ind w:left="0" w:firstLine="0"/>
      </w:pPr>
      <w:r w:rsidRPr="008E3E1F">
        <w:t xml:space="preserve">Żel prawie przezroczysty, bezbarwny do barwy lekko </w:t>
      </w:r>
      <w:r w:rsidR="00EE6279" w:rsidRPr="008E3E1F">
        <w:t xml:space="preserve"> białawej</w:t>
      </w:r>
      <w:r w:rsidRPr="008E3E1F">
        <w:t>.</w:t>
      </w:r>
    </w:p>
    <w:p w14:paraId="0E497D35" w14:textId="77777777" w:rsidR="00A65887" w:rsidRPr="008E3E1F" w:rsidRDefault="00A65887" w:rsidP="006D5855"/>
    <w:p w14:paraId="345502A5" w14:textId="77777777" w:rsidR="00A65887" w:rsidRPr="008E3E1F" w:rsidRDefault="00A65887" w:rsidP="006D5855"/>
    <w:p w14:paraId="3C533AC0" w14:textId="77777777" w:rsidR="00A65887" w:rsidRPr="008E3E1F" w:rsidRDefault="005355BC" w:rsidP="006D5855">
      <w:pPr>
        <w:rPr>
          <w:b/>
        </w:rPr>
      </w:pPr>
      <w:r w:rsidRPr="008E3E1F">
        <w:rPr>
          <w:b/>
        </w:rPr>
        <w:t>4.</w:t>
      </w:r>
      <w:r w:rsidRPr="008E3E1F">
        <w:rPr>
          <w:b/>
        </w:rPr>
        <w:tab/>
        <w:t xml:space="preserve">SZCZEGÓŁOWE DANE KLINICZNE </w:t>
      </w:r>
    </w:p>
    <w:p w14:paraId="6001A42D" w14:textId="77777777" w:rsidR="00A65887" w:rsidRPr="008E3E1F" w:rsidRDefault="00A65887" w:rsidP="006D5855"/>
    <w:p w14:paraId="3A0436AD" w14:textId="77777777" w:rsidR="00A65887" w:rsidRPr="008E3E1F" w:rsidRDefault="005355BC" w:rsidP="006D5855">
      <w:pPr>
        <w:rPr>
          <w:b/>
        </w:rPr>
      </w:pPr>
      <w:r w:rsidRPr="008E3E1F">
        <w:rPr>
          <w:b/>
        </w:rPr>
        <w:t>4.1</w:t>
      </w:r>
      <w:r w:rsidRPr="008E3E1F">
        <w:rPr>
          <w:b/>
        </w:rPr>
        <w:tab/>
        <w:t>Wskazania do stosowania</w:t>
      </w:r>
    </w:p>
    <w:p w14:paraId="4EB26D01" w14:textId="77777777" w:rsidR="00A65887" w:rsidRPr="008E3E1F" w:rsidRDefault="00A65887" w:rsidP="006D5855"/>
    <w:p w14:paraId="00EB7B56" w14:textId="77777777" w:rsidR="00BC36F7" w:rsidRPr="008E3E1F" w:rsidRDefault="00E753CB" w:rsidP="00C903E5">
      <w:pPr>
        <w:ind w:left="0" w:firstLine="0"/>
        <w:jc w:val="both"/>
      </w:pPr>
      <w:r w:rsidRPr="008E3E1F">
        <w:t xml:space="preserve">Leczenie miejscowe łuszczycy owłosionej skóry głowy u dorosłych. </w:t>
      </w:r>
    </w:p>
    <w:p w14:paraId="7438B457" w14:textId="238F4C92" w:rsidR="00A65887" w:rsidRPr="008E3E1F" w:rsidRDefault="00BC36F7" w:rsidP="00C903E5">
      <w:pPr>
        <w:ind w:left="0" w:firstLine="0"/>
        <w:jc w:val="both"/>
      </w:pPr>
      <w:r w:rsidRPr="008E3E1F">
        <w:t>L</w:t>
      </w:r>
      <w:r w:rsidR="00E753CB" w:rsidRPr="008E3E1F">
        <w:t>eczenie</w:t>
      </w:r>
      <w:r w:rsidRPr="008E3E1F">
        <w:t xml:space="preserve"> miejscowe </w:t>
      </w:r>
      <w:r w:rsidR="00E753CB" w:rsidRPr="008E3E1F">
        <w:t>łuszczycy plackowatej o przebiegu łagodnym do umiarkowanego u dorosłych, umiejscowionej na skórze ciała,</w:t>
      </w:r>
      <w:r w:rsidR="00C903E5" w:rsidRPr="008E3E1F">
        <w:t xml:space="preserve"> </w:t>
      </w:r>
      <w:r w:rsidR="00E753CB" w:rsidRPr="008E3E1F">
        <w:t>innej niż owłosiona skóra głowy.</w:t>
      </w:r>
      <w:r w:rsidR="00E753CB" w:rsidRPr="008E3E1F">
        <w:cr/>
      </w:r>
    </w:p>
    <w:p w14:paraId="3E6B6E8F" w14:textId="77777777" w:rsidR="00A65887" w:rsidRPr="008E3E1F" w:rsidRDefault="005355BC" w:rsidP="006D5855">
      <w:pPr>
        <w:rPr>
          <w:b/>
        </w:rPr>
      </w:pPr>
      <w:r w:rsidRPr="008E3E1F">
        <w:rPr>
          <w:b/>
        </w:rPr>
        <w:t>4.2</w:t>
      </w:r>
      <w:r w:rsidRPr="008E3E1F">
        <w:rPr>
          <w:b/>
        </w:rPr>
        <w:tab/>
        <w:t xml:space="preserve">Dawkowanie i sposób podawania </w:t>
      </w:r>
    </w:p>
    <w:p w14:paraId="3A7D2EA7" w14:textId="77777777" w:rsidR="00A65887" w:rsidRPr="008E3E1F" w:rsidRDefault="00A65887" w:rsidP="006D5855"/>
    <w:p w14:paraId="6F739A2D" w14:textId="77777777" w:rsidR="00CE29CA" w:rsidRPr="008E3E1F" w:rsidRDefault="005355BC" w:rsidP="006D5855">
      <w:pPr>
        <w:ind w:left="0" w:firstLine="0"/>
        <w:rPr>
          <w:noProof/>
          <w:szCs w:val="22"/>
          <w:u w:val="single"/>
        </w:rPr>
      </w:pPr>
      <w:r w:rsidRPr="008E3E1F">
        <w:rPr>
          <w:noProof/>
          <w:szCs w:val="22"/>
          <w:u w:val="single"/>
        </w:rPr>
        <w:t>Dawkowanie</w:t>
      </w:r>
    </w:p>
    <w:p w14:paraId="5C92CE9C" w14:textId="22591B27" w:rsidR="00C903E5" w:rsidRPr="008E3E1F" w:rsidRDefault="00C903E5" w:rsidP="006D5855">
      <w:pPr>
        <w:ind w:left="0" w:firstLine="0"/>
      </w:pPr>
      <w:r w:rsidRPr="008E3E1F">
        <w:t xml:space="preserve">Duosone należy stosować na chorobowo zmienioną skórę raz na dobę. Zalecany okres leczenia wynosi 4 tygodnie w obszarach owłosionej skóry głowy i 8 tygodni w pozostałych obszarach skóry. </w:t>
      </w:r>
      <w:r w:rsidR="00625861" w:rsidRPr="008E3E1F">
        <w:t xml:space="preserve">Jeśli po tym czasie konieczne jest kontynuowanie lub ponowne rozpoczęcie leczenia, należy je podjąć po kontroli lekarskiej i pod regularnym nadzorem lekarza. </w:t>
      </w:r>
    </w:p>
    <w:p w14:paraId="2B05A18C" w14:textId="7CD8A356" w:rsidR="00C903E5" w:rsidRPr="008E3E1F" w:rsidRDefault="00C903E5" w:rsidP="00C903E5">
      <w:pPr>
        <w:ind w:left="0" w:firstLine="0"/>
      </w:pPr>
      <w:r w:rsidRPr="008E3E1F">
        <w:t>Podczas stosowania produktów leczniczych zawierających kalcypotriol maksymalna dawka dobowa nie powinna przekraczać 15 g. Powierzchnia skóry leczonej produktami leczniczymi zawierającymi kalcypotriol nie powinna przekraczać 30% powierzchni ciała (patrz punkt 4.4).</w:t>
      </w:r>
    </w:p>
    <w:p w14:paraId="1DFF0B29" w14:textId="5C5BF38B" w:rsidR="00C903E5" w:rsidRPr="008E3E1F" w:rsidRDefault="00C903E5" w:rsidP="00C903E5">
      <w:pPr>
        <w:ind w:left="0" w:firstLine="0"/>
      </w:pPr>
    </w:p>
    <w:p w14:paraId="0E5A9641" w14:textId="77777777" w:rsidR="00C903E5" w:rsidRPr="008E3E1F" w:rsidRDefault="00C903E5" w:rsidP="00C903E5">
      <w:pPr>
        <w:ind w:left="0" w:firstLine="0"/>
        <w:rPr>
          <w:i/>
          <w:iCs/>
        </w:rPr>
      </w:pPr>
      <w:r w:rsidRPr="008E3E1F">
        <w:rPr>
          <w:i/>
          <w:iCs/>
        </w:rPr>
        <w:t>W przypadku stosowania na owłosionej skórze głowy</w:t>
      </w:r>
    </w:p>
    <w:p w14:paraId="4E9AF88E" w14:textId="7CC02729" w:rsidR="00C903E5" w:rsidRPr="008E3E1F" w:rsidRDefault="00C903E5" w:rsidP="00C903E5">
      <w:pPr>
        <w:ind w:left="0" w:firstLine="0"/>
      </w:pPr>
      <w:r w:rsidRPr="008E3E1F">
        <w:t>Produktem leczniczym Duosone</w:t>
      </w:r>
      <w:r w:rsidR="008C259A" w:rsidRPr="008E3E1F">
        <w:t xml:space="preserve"> żel</w:t>
      </w:r>
      <w:r w:rsidRPr="008E3E1F">
        <w:t xml:space="preserve"> mogą być leczone miejsca na owłosionej skórze głowy dotkniętej łuszczycą. Zazwyczaj 1 g do 4 g żelu na dobę wystarcza w leczeniu owłosionej skóry głowy (4 g żelu odpowiada zawartości jednej łyżeczki).</w:t>
      </w:r>
    </w:p>
    <w:p w14:paraId="3DC2D5DF" w14:textId="7693A4B9" w:rsidR="00C903E5" w:rsidRPr="008E3E1F" w:rsidRDefault="00C903E5" w:rsidP="00C903E5">
      <w:pPr>
        <w:ind w:left="0" w:firstLine="0"/>
      </w:pPr>
    </w:p>
    <w:p w14:paraId="50CF63D7" w14:textId="0A4FB6C5" w:rsidR="00C903E5" w:rsidRPr="008E3E1F" w:rsidRDefault="00FC1DD5" w:rsidP="00C903E5">
      <w:pPr>
        <w:ind w:left="0" w:firstLine="0"/>
        <w:rPr>
          <w:u w:val="single"/>
        </w:rPr>
      </w:pPr>
      <w:r w:rsidRPr="008E3E1F">
        <w:rPr>
          <w:u w:val="single"/>
        </w:rPr>
        <w:t>Szczególne p</w:t>
      </w:r>
      <w:r w:rsidR="00C903E5" w:rsidRPr="008E3E1F">
        <w:rPr>
          <w:u w:val="single"/>
        </w:rPr>
        <w:t xml:space="preserve">opulacje </w:t>
      </w:r>
      <w:r w:rsidRPr="008E3E1F">
        <w:rPr>
          <w:u w:val="single"/>
        </w:rPr>
        <w:t>pacjentów</w:t>
      </w:r>
    </w:p>
    <w:p w14:paraId="1746FA7C" w14:textId="77777777" w:rsidR="00C903E5" w:rsidRPr="008E3E1F" w:rsidRDefault="00C903E5" w:rsidP="00C903E5">
      <w:pPr>
        <w:ind w:left="0" w:firstLine="0"/>
        <w:rPr>
          <w:i/>
          <w:iCs/>
        </w:rPr>
      </w:pPr>
      <w:r w:rsidRPr="008E3E1F">
        <w:rPr>
          <w:i/>
          <w:iCs/>
        </w:rPr>
        <w:t xml:space="preserve">Zaburzenia czynności nerek i wątroby </w:t>
      </w:r>
    </w:p>
    <w:p w14:paraId="19234FCF" w14:textId="4A767461" w:rsidR="00C903E5" w:rsidRPr="008E3E1F" w:rsidRDefault="00C903E5" w:rsidP="00C903E5">
      <w:pPr>
        <w:ind w:left="0" w:firstLine="0"/>
      </w:pPr>
      <w:r w:rsidRPr="008E3E1F">
        <w:t xml:space="preserve">Nie badano bezpieczeństwa i skuteczności stosowania produktu leczniczego Duosone </w:t>
      </w:r>
      <w:r w:rsidR="008C259A" w:rsidRPr="008E3E1F">
        <w:t xml:space="preserve">żel </w:t>
      </w:r>
      <w:r w:rsidRPr="008E3E1F">
        <w:t>u pacjentów z ciężką niewydolnością nerek i u pacjentów z ciężkimi zaburzeniami czynności wątroby.</w:t>
      </w:r>
    </w:p>
    <w:p w14:paraId="3D5B976A" w14:textId="77777777" w:rsidR="005C189A" w:rsidRPr="008E3E1F" w:rsidRDefault="005C189A" w:rsidP="00C903E5">
      <w:pPr>
        <w:ind w:left="0" w:firstLine="0"/>
      </w:pPr>
    </w:p>
    <w:p w14:paraId="6AAA48BA" w14:textId="2B6B0E27" w:rsidR="00C903E5" w:rsidRPr="008E3E1F" w:rsidRDefault="00FC1DD5" w:rsidP="00C903E5">
      <w:pPr>
        <w:ind w:left="0" w:firstLine="0"/>
        <w:rPr>
          <w:u w:val="single"/>
        </w:rPr>
      </w:pPr>
      <w:r w:rsidRPr="008E3E1F">
        <w:rPr>
          <w:u w:val="single"/>
        </w:rPr>
        <w:t>Dzieci i młodzież</w:t>
      </w:r>
    </w:p>
    <w:p w14:paraId="3429BFF4" w14:textId="1FAB7F8C" w:rsidR="00C903E5" w:rsidRPr="008E3E1F" w:rsidRDefault="00C903E5" w:rsidP="00C903E5">
      <w:pPr>
        <w:ind w:left="0" w:firstLine="0"/>
      </w:pPr>
      <w:r w:rsidRPr="008E3E1F">
        <w:lastRenderedPageBreak/>
        <w:t xml:space="preserve">Bezpieczeństwo i skuteczność stosowania produktu </w:t>
      </w:r>
      <w:r w:rsidR="00A8321B" w:rsidRPr="008E3E1F">
        <w:t xml:space="preserve">leczniczego </w:t>
      </w:r>
      <w:r w:rsidRPr="008E3E1F">
        <w:t xml:space="preserve">Duosone u dzieci </w:t>
      </w:r>
      <w:r w:rsidR="00FC1DD5" w:rsidRPr="008E3E1F">
        <w:t xml:space="preserve">i młodzieży </w:t>
      </w:r>
      <w:r w:rsidRPr="008E3E1F">
        <w:t xml:space="preserve">w wieku poniżej 18 lat nie zostało ustalone. Aktualne dane dotyczące </w:t>
      </w:r>
      <w:r w:rsidR="00FC1DD5" w:rsidRPr="008E3E1F">
        <w:t>młodzieży</w:t>
      </w:r>
      <w:r w:rsidRPr="008E3E1F">
        <w:t xml:space="preserve"> w wieku od 12 do 17 lat przedstawiono w punkcie 4.8 i 5.1, ale nie ma zaleceń dotyczących dawkowania.</w:t>
      </w:r>
    </w:p>
    <w:p w14:paraId="1E3900FE" w14:textId="77777777" w:rsidR="00C903E5" w:rsidRPr="008E3E1F" w:rsidRDefault="00C903E5" w:rsidP="006D5855">
      <w:pPr>
        <w:ind w:left="0" w:firstLine="0"/>
      </w:pPr>
    </w:p>
    <w:p w14:paraId="1FD01F92" w14:textId="2A1C6DA4" w:rsidR="00CE29CA" w:rsidRPr="008E3E1F" w:rsidRDefault="005355BC" w:rsidP="006D5855">
      <w:pPr>
        <w:ind w:left="0" w:firstLine="0"/>
        <w:rPr>
          <w:noProof/>
          <w:szCs w:val="22"/>
          <w:u w:val="single"/>
        </w:rPr>
      </w:pPr>
      <w:r w:rsidRPr="008E3E1F">
        <w:rPr>
          <w:noProof/>
          <w:szCs w:val="22"/>
          <w:u w:val="single"/>
        </w:rPr>
        <w:t>Sposób podawania</w:t>
      </w:r>
    </w:p>
    <w:p w14:paraId="1FA6FB68" w14:textId="3629B830" w:rsidR="008C259A" w:rsidRPr="008E3E1F" w:rsidRDefault="00384E82" w:rsidP="006D5855">
      <w:pPr>
        <w:ind w:left="0" w:firstLine="0"/>
        <w:rPr>
          <w:noProof/>
          <w:szCs w:val="22"/>
        </w:rPr>
      </w:pPr>
      <w:r w:rsidRPr="008E3E1F">
        <w:rPr>
          <w:noProof/>
          <w:szCs w:val="22"/>
        </w:rPr>
        <w:t>Podanie na skórę</w:t>
      </w:r>
    </w:p>
    <w:p w14:paraId="59BA42C6" w14:textId="03FDE309" w:rsidR="00A65887" w:rsidRPr="008E3E1F" w:rsidRDefault="00816CEF" w:rsidP="00C903E5">
      <w:pPr>
        <w:ind w:left="0" w:firstLine="0"/>
        <w:rPr>
          <w:noProof/>
          <w:szCs w:val="22"/>
        </w:rPr>
      </w:pPr>
      <w:r w:rsidRPr="008E3E1F">
        <w:rPr>
          <w:noProof/>
          <w:szCs w:val="22"/>
        </w:rPr>
        <w:t>Nie należy nakładać żelu</w:t>
      </w:r>
      <w:r w:rsidR="00384E82" w:rsidRPr="008E3E1F">
        <w:rPr>
          <w:noProof/>
          <w:szCs w:val="22"/>
        </w:rPr>
        <w:t xml:space="preserve"> </w:t>
      </w:r>
      <w:r w:rsidR="00C903E5" w:rsidRPr="008E3E1F">
        <w:rPr>
          <w:noProof/>
          <w:szCs w:val="22"/>
        </w:rPr>
        <w:t xml:space="preserve">bezpośrednio na twarz ani oczy. W celu uzyskania optymalnego działania, bezpośrednio po nałożeniu produktu leczniczego </w:t>
      </w:r>
      <w:r w:rsidR="00C903E5" w:rsidRPr="008E3E1F">
        <w:t xml:space="preserve">Duosone </w:t>
      </w:r>
      <w:r w:rsidR="00C903E5" w:rsidRPr="008E3E1F">
        <w:rPr>
          <w:noProof/>
          <w:szCs w:val="22"/>
        </w:rPr>
        <w:t xml:space="preserve">nie zaleca się brania prysznica czy kąpieli, ani mycia włosów w przypadku stosowania żelu na skórę głowy. </w:t>
      </w:r>
      <w:r w:rsidR="00C903E5" w:rsidRPr="008E3E1F">
        <w:t xml:space="preserve">Duosone </w:t>
      </w:r>
      <w:r w:rsidR="00C903E5" w:rsidRPr="008E3E1F">
        <w:rPr>
          <w:noProof/>
          <w:szCs w:val="22"/>
        </w:rPr>
        <w:t>powinien pozostać na skórze przez całą noc lub dzień.</w:t>
      </w:r>
    </w:p>
    <w:p w14:paraId="1E068E4F" w14:textId="105600FE" w:rsidR="00384E82" w:rsidRPr="008E3E1F" w:rsidRDefault="00384E82" w:rsidP="00C903E5">
      <w:pPr>
        <w:ind w:left="0" w:firstLine="0"/>
        <w:rPr>
          <w:noProof/>
          <w:szCs w:val="22"/>
        </w:rPr>
      </w:pPr>
    </w:p>
    <w:p w14:paraId="4E70BE94" w14:textId="77777777" w:rsidR="009E1EC1" w:rsidRPr="008E3E1F" w:rsidRDefault="009E1EC1" w:rsidP="00C903E5">
      <w:pPr>
        <w:ind w:left="0" w:firstLine="0"/>
        <w:rPr>
          <w:noProof/>
          <w:szCs w:val="22"/>
        </w:rPr>
      </w:pPr>
    </w:p>
    <w:p w14:paraId="759A3751" w14:textId="3DFB865E" w:rsidR="00384E82" w:rsidRPr="008E3E1F" w:rsidRDefault="008B47F0" w:rsidP="00C903E5">
      <w:pPr>
        <w:ind w:left="0" w:firstLine="0"/>
        <w:rPr>
          <w:i/>
          <w:iCs/>
          <w:noProof/>
          <w:szCs w:val="22"/>
        </w:rPr>
      </w:pPr>
      <w:r w:rsidRPr="008E3E1F">
        <w:rPr>
          <w:i/>
          <w:iCs/>
          <w:noProof/>
          <w:szCs w:val="22"/>
        </w:rPr>
        <w:t>Sposób używania</w:t>
      </w:r>
      <w:r w:rsidR="00384E82" w:rsidRPr="008E3E1F">
        <w:rPr>
          <w:i/>
          <w:iCs/>
          <w:noProof/>
          <w:szCs w:val="22"/>
        </w:rPr>
        <w:t xml:space="preserve"> tuby</w:t>
      </w:r>
    </w:p>
    <w:p w14:paraId="56EBB43E" w14:textId="755EA387" w:rsidR="009E1EC1" w:rsidRPr="008E3E1F" w:rsidRDefault="009E1EC1" w:rsidP="00C903E5">
      <w:pPr>
        <w:ind w:left="0" w:firstLine="0"/>
        <w:rPr>
          <w:szCs w:val="22"/>
        </w:rPr>
      </w:pPr>
      <w:r w:rsidRPr="008E3E1F">
        <w:rPr>
          <w:szCs w:val="22"/>
        </w:rPr>
        <w:t>Należy wstrząsnąć zawartoś</w:t>
      </w:r>
      <w:r w:rsidR="008B47F0" w:rsidRPr="008E3E1F">
        <w:rPr>
          <w:szCs w:val="22"/>
        </w:rPr>
        <w:t>cią</w:t>
      </w:r>
      <w:r w:rsidRPr="008E3E1F">
        <w:rPr>
          <w:szCs w:val="22"/>
        </w:rPr>
        <w:t xml:space="preserve"> tuby przed zastosowaniem i nałożeniem żelu na dotknięty chorobą obszar skóry.</w:t>
      </w:r>
    </w:p>
    <w:p w14:paraId="31321E2E" w14:textId="08DFFD6E" w:rsidR="009E1EC1" w:rsidRPr="008E3E1F" w:rsidRDefault="008B47F0" w:rsidP="00C903E5">
      <w:pPr>
        <w:ind w:left="0" w:firstLine="0"/>
        <w:rPr>
          <w:szCs w:val="22"/>
        </w:rPr>
      </w:pPr>
      <w:r w:rsidRPr="008E3E1F">
        <w:rPr>
          <w:szCs w:val="22"/>
        </w:rPr>
        <w:t>P</w:t>
      </w:r>
      <w:r w:rsidR="005C189A" w:rsidRPr="008E3E1F">
        <w:rPr>
          <w:szCs w:val="22"/>
        </w:rPr>
        <w:t>o nałożeniu</w:t>
      </w:r>
      <w:r w:rsidRPr="008E3E1F">
        <w:rPr>
          <w:szCs w:val="22"/>
        </w:rPr>
        <w:t xml:space="preserve"> produktu leczniczego n</w:t>
      </w:r>
      <w:r w:rsidR="009E1EC1" w:rsidRPr="008E3E1F">
        <w:rPr>
          <w:szCs w:val="22"/>
        </w:rPr>
        <w:t>ależy umyć ręce</w:t>
      </w:r>
      <w:r w:rsidRPr="008E3E1F">
        <w:rPr>
          <w:szCs w:val="22"/>
        </w:rPr>
        <w:t>.</w:t>
      </w:r>
    </w:p>
    <w:p w14:paraId="638ABD76" w14:textId="19E21C87" w:rsidR="00C903E5" w:rsidRPr="008E3E1F" w:rsidRDefault="00C903E5" w:rsidP="00C903E5">
      <w:pPr>
        <w:ind w:left="0" w:firstLine="0"/>
      </w:pPr>
    </w:p>
    <w:p w14:paraId="126D2DEE" w14:textId="414B9820" w:rsidR="009E1EC1" w:rsidRPr="008E3E1F" w:rsidRDefault="009E1EC1" w:rsidP="00C903E5">
      <w:pPr>
        <w:ind w:left="0" w:firstLine="0"/>
        <w:rPr>
          <w:u w:val="single"/>
        </w:rPr>
      </w:pPr>
      <w:r w:rsidRPr="008E3E1F">
        <w:rPr>
          <w:u w:val="single"/>
        </w:rPr>
        <w:t>Instrukcje prawidłowego stosowania</w:t>
      </w:r>
    </w:p>
    <w:p w14:paraId="7A40919C" w14:textId="2CCAF1F3" w:rsidR="009E1EC1" w:rsidRPr="008E3E1F" w:rsidRDefault="009E1EC1" w:rsidP="009E1EC1">
      <w:pPr>
        <w:pStyle w:val="Akapitzlist"/>
        <w:numPr>
          <w:ilvl w:val="0"/>
          <w:numId w:val="10"/>
        </w:numPr>
      </w:pPr>
      <w:r w:rsidRPr="008E3E1F">
        <w:t>Produkt leczniczy należy stosować tylko na miejsca objęte łuszczycą, a nie na skórę, która nie jest objęta łuszczycą</w:t>
      </w:r>
      <w:r w:rsidR="00957E51" w:rsidRPr="008E3E1F">
        <w:t>.</w:t>
      </w:r>
    </w:p>
    <w:p w14:paraId="1A1F106D" w14:textId="140A288D" w:rsidR="009E1EC1" w:rsidRPr="008E3E1F" w:rsidRDefault="009E1EC1" w:rsidP="009E1EC1">
      <w:pPr>
        <w:pStyle w:val="Akapitzlist"/>
        <w:numPr>
          <w:ilvl w:val="0"/>
          <w:numId w:val="10"/>
        </w:numPr>
      </w:pPr>
      <w:r w:rsidRPr="008E3E1F">
        <w:t xml:space="preserve">Wstrząsnąć tubą przed użyciem i </w:t>
      </w:r>
      <w:r w:rsidR="00062868" w:rsidRPr="008E3E1F">
        <w:t xml:space="preserve">zdjąć </w:t>
      </w:r>
      <w:r w:rsidRPr="008E3E1F">
        <w:t xml:space="preserve"> zakrętkę.</w:t>
      </w:r>
    </w:p>
    <w:p w14:paraId="34C5D7BA" w14:textId="64C2568D" w:rsidR="009E1EC1" w:rsidRPr="008E3E1F" w:rsidRDefault="009E1EC1" w:rsidP="009E1EC1">
      <w:pPr>
        <w:pStyle w:val="Akapitzlist"/>
        <w:numPr>
          <w:ilvl w:val="0"/>
          <w:numId w:val="10"/>
        </w:numPr>
      </w:pPr>
      <w:r w:rsidRPr="008E3E1F">
        <w:t>Wycisnąć żel na czysty palec lub bezpośrednio na miejsc</w:t>
      </w:r>
      <w:r w:rsidR="005C189A" w:rsidRPr="008E3E1F">
        <w:t>a</w:t>
      </w:r>
      <w:r w:rsidRPr="008E3E1F">
        <w:t xml:space="preserve"> dotknięte łuszczycą.</w:t>
      </w:r>
    </w:p>
    <w:p w14:paraId="24F1C1E7" w14:textId="34B25F12" w:rsidR="009E1EC1" w:rsidRPr="008E3E1F" w:rsidRDefault="009E1EC1" w:rsidP="00D9784E">
      <w:pPr>
        <w:pStyle w:val="Akapitzlist"/>
        <w:numPr>
          <w:ilvl w:val="0"/>
          <w:numId w:val="10"/>
        </w:numPr>
      </w:pPr>
      <w:r w:rsidRPr="008E3E1F">
        <w:t>Należy nanosić produkt leczniczy na miejsca dotknięte łuszczycą za pomocą opuszków palców i delikatnie</w:t>
      </w:r>
      <w:r w:rsidR="00062868" w:rsidRPr="008E3E1F">
        <w:t xml:space="preserve"> </w:t>
      </w:r>
      <w:r w:rsidR="00EF0863" w:rsidRPr="008E3E1F">
        <w:t xml:space="preserve">go </w:t>
      </w:r>
      <w:r w:rsidR="00062868" w:rsidRPr="008E3E1F">
        <w:t>rozetrzeć</w:t>
      </w:r>
      <w:r w:rsidR="00D9784E" w:rsidRPr="008E3E1F">
        <w:t>,</w:t>
      </w:r>
      <w:r w:rsidRPr="008E3E1F">
        <w:t xml:space="preserve"> </w:t>
      </w:r>
      <w:r w:rsidR="00D9784E" w:rsidRPr="008E3E1F">
        <w:t xml:space="preserve">aż skóra objęta łuszczycą zostanie przykryta </w:t>
      </w:r>
      <w:r w:rsidR="00D9784E" w:rsidRPr="008E3E1F">
        <w:rPr>
          <w:b/>
        </w:rPr>
        <w:t xml:space="preserve">cienką </w:t>
      </w:r>
      <w:r w:rsidR="00D9784E" w:rsidRPr="008E3E1F">
        <w:t>warstwą żelu.</w:t>
      </w:r>
    </w:p>
    <w:p w14:paraId="69A891C2" w14:textId="72AB3E09" w:rsidR="009E1EC1" w:rsidRPr="008E3E1F" w:rsidRDefault="009E1EC1" w:rsidP="009E1EC1">
      <w:pPr>
        <w:pStyle w:val="Akapitzlist"/>
        <w:numPr>
          <w:ilvl w:val="0"/>
          <w:numId w:val="10"/>
        </w:numPr>
      </w:pPr>
      <w:r w:rsidRPr="008E3E1F">
        <w:t>Na leczone miejsc</w:t>
      </w:r>
      <w:r w:rsidR="00632697" w:rsidRPr="008E3E1F">
        <w:t>a</w:t>
      </w:r>
      <w:r w:rsidRPr="008E3E1F">
        <w:t xml:space="preserve"> na skórze nie</w:t>
      </w:r>
      <w:r w:rsidR="00D9784E" w:rsidRPr="008E3E1F">
        <w:t xml:space="preserve"> </w:t>
      </w:r>
      <w:r w:rsidRPr="008E3E1F">
        <w:t>nakładać bandaży, szczelnych opatrunków i opasek.</w:t>
      </w:r>
    </w:p>
    <w:p w14:paraId="02ECAD53" w14:textId="309623F4" w:rsidR="009E1EC1" w:rsidRPr="008E3E1F" w:rsidRDefault="009E1EC1" w:rsidP="009E1EC1">
      <w:pPr>
        <w:pStyle w:val="Akapitzlist"/>
        <w:numPr>
          <w:ilvl w:val="0"/>
          <w:numId w:val="10"/>
        </w:numPr>
      </w:pPr>
      <w:r w:rsidRPr="008E3E1F">
        <w:t xml:space="preserve">Po </w:t>
      </w:r>
      <w:r w:rsidR="00891429" w:rsidRPr="008E3E1F">
        <w:t>zastosowaniu</w:t>
      </w:r>
      <w:r w:rsidRPr="008E3E1F">
        <w:t xml:space="preserve"> produktu leczniczego Duosone należy umyć dokładnie ręce. Pozwoli to na uniknięcie przypadkowego przeniesienia żelu na inne części ciała (szczególnie na twarz, usta i oczy).</w:t>
      </w:r>
    </w:p>
    <w:p w14:paraId="4CC20791" w14:textId="6AE6701B" w:rsidR="009E1EC1" w:rsidRPr="008E3E1F" w:rsidRDefault="009E1EC1" w:rsidP="009E1EC1">
      <w:pPr>
        <w:pStyle w:val="Akapitzlist"/>
        <w:numPr>
          <w:ilvl w:val="0"/>
          <w:numId w:val="10"/>
        </w:numPr>
      </w:pPr>
      <w:r w:rsidRPr="008E3E1F">
        <w:t>Jeżeli niewielka ilość żelu przypadkowo dostanie się na zdrową skórę blisko miejsca występowania łuszczycy</w:t>
      </w:r>
      <w:r w:rsidR="006C427E" w:rsidRPr="008E3E1F">
        <w:t xml:space="preserve"> należy go zetrzeć, jeśli</w:t>
      </w:r>
      <w:r w:rsidR="00FC6643" w:rsidRPr="008E3E1F">
        <w:t xml:space="preserve"> zostanie</w:t>
      </w:r>
      <w:r w:rsidR="006C427E" w:rsidRPr="008E3E1F">
        <w:t xml:space="preserve"> rozprzestrzeni</w:t>
      </w:r>
      <w:r w:rsidR="00FC6643" w:rsidRPr="008E3E1F">
        <w:t xml:space="preserve">ony </w:t>
      </w:r>
      <w:r w:rsidR="006C427E" w:rsidRPr="008E3E1F">
        <w:t>za</w:t>
      </w:r>
      <w:r w:rsidR="001C24B0" w:rsidRPr="008E3E1F">
        <w:t xml:space="preserve"> daleko</w:t>
      </w:r>
      <w:r w:rsidRPr="008E3E1F">
        <w:t>.</w:t>
      </w:r>
    </w:p>
    <w:p w14:paraId="4AA92B48" w14:textId="0FFC249D" w:rsidR="009E1EC1" w:rsidRPr="008E3E1F" w:rsidRDefault="009E1EC1" w:rsidP="009E1EC1">
      <w:pPr>
        <w:pStyle w:val="Akapitzlist"/>
        <w:numPr>
          <w:ilvl w:val="0"/>
          <w:numId w:val="10"/>
        </w:numPr>
      </w:pPr>
      <w:r w:rsidRPr="008E3E1F">
        <w:t xml:space="preserve">W celu uzyskania optymalnego działania, </w:t>
      </w:r>
      <w:r w:rsidR="0065185B" w:rsidRPr="008E3E1F">
        <w:t xml:space="preserve">nie </w:t>
      </w:r>
      <w:r w:rsidRPr="008E3E1F">
        <w:t xml:space="preserve">zaleca się </w:t>
      </w:r>
      <w:r w:rsidR="0065185B" w:rsidRPr="008E3E1F">
        <w:t>brania</w:t>
      </w:r>
      <w:r w:rsidRPr="008E3E1F">
        <w:t xml:space="preserve"> prysznica czy kąp</w:t>
      </w:r>
      <w:r w:rsidR="0065185B" w:rsidRPr="008E3E1F">
        <w:t>ieli</w:t>
      </w:r>
      <w:r w:rsidRPr="008E3E1F">
        <w:t xml:space="preserve"> bezpośrednio po nałożeniu </w:t>
      </w:r>
      <w:r w:rsidR="00D75F03" w:rsidRPr="008E3E1F">
        <w:t>produktu leczniczego</w:t>
      </w:r>
      <w:r w:rsidRPr="008E3E1F">
        <w:t xml:space="preserve"> Duosone żel.</w:t>
      </w:r>
    </w:p>
    <w:p w14:paraId="56EE3F53" w14:textId="2E77E013" w:rsidR="009E1EC1" w:rsidRPr="008E3E1F" w:rsidRDefault="009E1EC1" w:rsidP="008A6BE7">
      <w:pPr>
        <w:pStyle w:val="Akapitzlist"/>
        <w:numPr>
          <w:ilvl w:val="0"/>
          <w:numId w:val="10"/>
        </w:numPr>
      </w:pPr>
      <w:r w:rsidRPr="008E3E1F">
        <w:t xml:space="preserve">Po nałożeniu żelu należy unikać kontaktu z tekstyliami, które łatwo </w:t>
      </w:r>
      <w:r w:rsidR="00C47406" w:rsidRPr="008E3E1F">
        <w:t xml:space="preserve">się </w:t>
      </w:r>
      <w:r w:rsidR="007F207B" w:rsidRPr="008E3E1F">
        <w:t xml:space="preserve">plamią </w:t>
      </w:r>
      <w:r w:rsidRPr="008E3E1F">
        <w:t>na skutek działania tłuszczu (np. jedwabiem).</w:t>
      </w:r>
    </w:p>
    <w:p w14:paraId="1184318A" w14:textId="77777777" w:rsidR="008A6BE7" w:rsidRPr="008E3E1F" w:rsidRDefault="008A6BE7" w:rsidP="008A6BE7">
      <w:pPr>
        <w:pStyle w:val="Akapitzlist"/>
        <w:ind w:firstLine="0"/>
      </w:pPr>
    </w:p>
    <w:p w14:paraId="0D0028A6" w14:textId="77777777" w:rsidR="009E1EC1" w:rsidRPr="008E3E1F" w:rsidRDefault="009E1EC1" w:rsidP="009E1EC1">
      <w:pPr>
        <w:ind w:left="0" w:firstLine="0"/>
        <w:rPr>
          <w:i/>
          <w:iCs/>
        </w:rPr>
      </w:pPr>
      <w:r w:rsidRPr="008E3E1F">
        <w:rPr>
          <w:i/>
          <w:iCs/>
        </w:rPr>
        <w:t>W przypadku stosowania w łuszczycy owłosionej skóry głowy:</w:t>
      </w:r>
    </w:p>
    <w:p w14:paraId="0C17DA05" w14:textId="7DB0EA84" w:rsidR="009E1EC1" w:rsidRPr="008E3E1F" w:rsidRDefault="009E1EC1" w:rsidP="009E1EC1">
      <w:pPr>
        <w:ind w:left="0" w:firstLine="0"/>
      </w:pPr>
      <w:r w:rsidRPr="008E3E1F">
        <w:t xml:space="preserve">Przed nałożeniem </w:t>
      </w:r>
      <w:r w:rsidR="008A6BE7" w:rsidRPr="008E3E1F">
        <w:t>produktu leczniczego</w:t>
      </w:r>
      <w:r w:rsidRPr="008E3E1F">
        <w:t xml:space="preserve"> </w:t>
      </w:r>
      <w:r w:rsidR="008A6BE7" w:rsidRPr="008E3E1F">
        <w:t>Duosone</w:t>
      </w:r>
      <w:r w:rsidRPr="008E3E1F">
        <w:t xml:space="preserve"> na </w:t>
      </w:r>
      <w:r w:rsidR="00DE1712" w:rsidRPr="008E3E1F">
        <w:t>owłosion</w:t>
      </w:r>
      <w:r w:rsidR="009B6E4E" w:rsidRPr="008E3E1F">
        <w:t>ą</w:t>
      </w:r>
      <w:r w:rsidR="00DE1712" w:rsidRPr="008E3E1F">
        <w:t xml:space="preserve"> </w:t>
      </w:r>
      <w:r w:rsidRPr="008E3E1F">
        <w:t xml:space="preserve">skórę </w:t>
      </w:r>
      <w:r w:rsidR="0065185B" w:rsidRPr="008E3E1F">
        <w:t xml:space="preserve">głowy </w:t>
      </w:r>
      <w:r w:rsidRPr="008E3E1F">
        <w:t xml:space="preserve">należy rozczesać włosy, aby usunąć wszelkie złuszczone fragmenty skóry. </w:t>
      </w:r>
      <w:r w:rsidR="008A6BE7" w:rsidRPr="008E3E1F">
        <w:t>Należy p</w:t>
      </w:r>
      <w:r w:rsidRPr="008E3E1F">
        <w:t xml:space="preserve">rzechylić głowę, aby </w:t>
      </w:r>
      <w:r w:rsidR="008A6BE7" w:rsidRPr="008E3E1F">
        <w:t>Duosone</w:t>
      </w:r>
      <w:r w:rsidRPr="008E3E1F">
        <w:t xml:space="preserve"> nie spłynął na twarz. Przed zastosowaniem </w:t>
      </w:r>
      <w:r w:rsidR="008A6BE7" w:rsidRPr="008E3E1F">
        <w:t>produktu leczniczego Duosone</w:t>
      </w:r>
      <w:r w:rsidRPr="008E3E1F">
        <w:t xml:space="preserve"> może być pomocne rozdzielenie włosów. N</w:t>
      </w:r>
      <w:r w:rsidR="008A6BE7" w:rsidRPr="008E3E1F">
        <w:t>ależy n</w:t>
      </w:r>
      <w:r w:rsidRPr="008E3E1F">
        <w:t xml:space="preserve">akładać </w:t>
      </w:r>
      <w:r w:rsidR="008A6BE7" w:rsidRPr="008E3E1F">
        <w:t>produkt leczniczy Duosone</w:t>
      </w:r>
      <w:r w:rsidRPr="008E3E1F">
        <w:t xml:space="preserve"> na miejsca objęte łuszczycą opuszkami palców, następnie delikatnie </w:t>
      </w:r>
      <w:r w:rsidR="00213DE8" w:rsidRPr="008E3E1F">
        <w:t xml:space="preserve">go </w:t>
      </w:r>
      <w:r w:rsidRPr="008E3E1F">
        <w:t>wmasować.</w:t>
      </w:r>
    </w:p>
    <w:p w14:paraId="50B8E99E" w14:textId="60E73407" w:rsidR="008A6BE7" w:rsidRPr="008E3E1F" w:rsidRDefault="008A6BE7" w:rsidP="009E1EC1">
      <w:pPr>
        <w:ind w:left="0" w:firstLine="0"/>
        <w:rPr>
          <w:b/>
          <w:bCs/>
          <w:szCs w:val="22"/>
        </w:rPr>
      </w:pPr>
    </w:p>
    <w:p w14:paraId="04BF7633" w14:textId="6BF470FB" w:rsidR="008A6BE7" w:rsidRPr="008E3E1F" w:rsidRDefault="00585DB0" w:rsidP="008A6BE7">
      <w:pPr>
        <w:spacing w:line="200" w:lineRule="atLeast"/>
        <w:ind w:left="530"/>
        <w:rPr>
          <w:b/>
          <w:bCs/>
          <w:noProof/>
          <w:szCs w:val="22"/>
        </w:rPr>
      </w:pPr>
      <w:r w:rsidRPr="008E3E1F">
        <w:rPr>
          <w:b/>
          <w:bCs/>
          <w:noProof/>
          <w:szCs w:val="22"/>
        </w:rPr>
        <w:t>Nie jest konieczne mycie włosów przed nałożeniem produktu leczniczego Duosone.</w:t>
      </w:r>
    </w:p>
    <w:p w14:paraId="40262931" w14:textId="1F9EAA09" w:rsidR="008A6BE7" w:rsidRPr="008E3E1F" w:rsidRDefault="008A6BE7" w:rsidP="008A6BE7">
      <w:pPr>
        <w:spacing w:line="200" w:lineRule="atLeast"/>
        <w:ind w:left="530"/>
        <w:rPr>
          <w:sz w:val="20"/>
          <w:szCs w:val="20"/>
        </w:rPr>
      </w:pPr>
      <w:r w:rsidRPr="008E3E1F">
        <w:rPr>
          <w:noProof/>
          <w:sz w:val="20"/>
          <w:szCs w:val="20"/>
        </w:rPr>
        <w:drawing>
          <wp:inline distT="0" distB="0" distL="0" distR="0" wp14:anchorId="263B085E" wp14:editId="4D9D1E42">
            <wp:extent cx="4641850" cy="107315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0" cy="1073150"/>
                    </a:xfrm>
                    <a:prstGeom prst="rect">
                      <a:avLst/>
                    </a:prstGeom>
                    <a:noFill/>
                    <a:ln>
                      <a:noFill/>
                    </a:ln>
                  </pic:spPr>
                </pic:pic>
              </a:graphicData>
            </a:graphic>
          </wp:inline>
        </w:drawing>
      </w:r>
    </w:p>
    <w:p w14:paraId="13070C27" w14:textId="77777777" w:rsidR="008A6BE7" w:rsidRPr="008E3E1F" w:rsidRDefault="008A6BE7" w:rsidP="008A6BE7">
      <w:pPr>
        <w:spacing w:before="9"/>
        <w:rPr>
          <w:b/>
          <w:bCs/>
          <w:sz w:val="14"/>
          <w:szCs w:val="14"/>
        </w:rPr>
      </w:pPr>
    </w:p>
    <w:tbl>
      <w:tblPr>
        <w:tblStyle w:val="TableNormal"/>
        <w:tblW w:w="9015" w:type="dxa"/>
        <w:tblInd w:w="477" w:type="dxa"/>
        <w:tblLayout w:type="fixed"/>
        <w:tblLook w:val="01E0" w:firstRow="1" w:lastRow="1" w:firstColumn="1" w:lastColumn="1" w:noHBand="0" w:noVBand="0"/>
      </w:tblPr>
      <w:tblGrid>
        <w:gridCol w:w="2923"/>
        <w:gridCol w:w="1984"/>
        <w:gridCol w:w="4108"/>
      </w:tblGrid>
      <w:tr w:rsidR="008A6BE7" w:rsidRPr="008E3E1F" w14:paraId="69C3FEED" w14:textId="77777777" w:rsidTr="00585DB0">
        <w:trPr>
          <w:trHeight w:hRule="exact" w:val="1843"/>
        </w:trPr>
        <w:tc>
          <w:tcPr>
            <w:tcW w:w="2925" w:type="dxa"/>
            <w:shd w:val="clear" w:color="auto" w:fill="auto"/>
            <w:hideMark/>
          </w:tcPr>
          <w:p w14:paraId="1069F55C" w14:textId="286CEFA6" w:rsidR="008A6BE7" w:rsidRPr="008E3E1F" w:rsidRDefault="00585DB0">
            <w:pPr>
              <w:pStyle w:val="TableParagraph"/>
              <w:spacing w:before="75"/>
              <w:ind w:left="55"/>
              <w:rPr>
                <w:rFonts w:ascii="Times New Roman" w:eastAsia="Times New Roman" w:hAnsi="Times New Roman" w:cs="Times New Roman"/>
                <w:lang w:val="pl-PL"/>
              </w:rPr>
            </w:pPr>
            <w:r w:rsidRPr="008E3E1F">
              <w:rPr>
                <w:rFonts w:ascii="Times New Roman" w:hAnsi="Times New Roman" w:cs="Times New Roman"/>
                <w:spacing w:val="-7"/>
                <w:lang w:val="pl-PL"/>
              </w:rPr>
              <w:lastRenderedPageBreak/>
              <w:t>Należy wstrząsnąć tub</w:t>
            </w:r>
            <w:r w:rsidR="00DE1712" w:rsidRPr="008E3E1F">
              <w:rPr>
                <w:rFonts w:ascii="Times New Roman" w:hAnsi="Times New Roman" w:cs="Times New Roman"/>
                <w:spacing w:val="-7"/>
                <w:lang w:val="pl-PL"/>
              </w:rPr>
              <w:t>ą</w:t>
            </w:r>
            <w:r w:rsidRPr="008E3E1F">
              <w:rPr>
                <w:rFonts w:ascii="Times New Roman" w:hAnsi="Times New Roman" w:cs="Times New Roman"/>
                <w:spacing w:val="-7"/>
                <w:lang w:val="pl-PL"/>
              </w:rPr>
              <w:t xml:space="preserve"> przed użyciem</w:t>
            </w:r>
            <w:r w:rsidR="008A6BE7" w:rsidRPr="008E3E1F">
              <w:rPr>
                <w:rFonts w:ascii="Times New Roman" w:hAnsi="Times New Roman" w:cs="Times New Roman"/>
                <w:lang w:val="pl-PL"/>
              </w:rPr>
              <w:t>.</w:t>
            </w:r>
          </w:p>
        </w:tc>
        <w:tc>
          <w:tcPr>
            <w:tcW w:w="1985" w:type="dxa"/>
            <w:shd w:val="clear" w:color="auto" w:fill="auto"/>
            <w:hideMark/>
          </w:tcPr>
          <w:p w14:paraId="4BF67EF2" w14:textId="7D28D41A" w:rsidR="008A6BE7" w:rsidRPr="008E3E1F" w:rsidRDefault="00585DB0">
            <w:pPr>
              <w:pStyle w:val="TableParagraph"/>
              <w:spacing w:before="75"/>
              <w:ind w:left="182" w:right="299"/>
              <w:rPr>
                <w:rFonts w:ascii="Times New Roman" w:eastAsia="Times New Roman" w:hAnsi="Times New Roman" w:cs="Times New Roman"/>
                <w:lang w:val="pl-PL"/>
              </w:rPr>
            </w:pPr>
            <w:r w:rsidRPr="008E3E1F">
              <w:rPr>
                <w:rFonts w:ascii="Times New Roman" w:hAnsi="Times New Roman" w:cs="Times New Roman"/>
                <w:spacing w:val="-7"/>
                <w:lang w:val="pl-PL"/>
              </w:rPr>
              <w:t>Należy nałożyć kroplę produktu leczniczego Duosone na opuszek palca</w:t>
            </w:r>
            <w:r w:rsidR="00625F6F" w:rsidRPr="008E3E1F">
              <w:rPr>
                <w:rFonts w:ascii="Times New Roman" w:hAnsi="Times New Roman" w:cs="Times New Roman"/>
                <w:spacing w:val="-7"/>
                <w:lang w:val="pl-PL"/>
              </w:rPr>
              <w:t>.</w:t>
            </w:r>
          </w:p>
        </w:tc>
        <w:tc>
          <w:tcPr>
            <w:tcW w:w="4111" w:type="dxa"/>
            <w:shd w:val="clear" w:color="auto" w:fill="auto"/>
            <w:hideMark/>
          </w:tcPr>
          <w:p w14:paraId="4A70F06A" w14:textId="47DBF5AB" w:rsidR="008A6BE7" w:rsidRPr="008E3E1F" w:rsidRDefault="00DA778E" w:rsidP="000F60EB">
            <w:pPr>
              <w:pStyle w:val="TableParagraph"/>
              <w:spacing w:before="75"/>
              <w:ind w:left="301" w:right="547"/>
              <w:rPr>
                <w:rFonts w:ascii="Times New Roman" w:eastAsia="Times New Roman" w:hAnsi="Times New Roman" w:cs="Times New Roman"/>
                <w:lang w:val="pl-PL"/>
              </w:rPr>
            </w:pPr>
            <w:r w:rsidRPr="008E3E1F">
              <w:rPr>
                <w:rFonts w:ascii="Times New Roman" w:hAnsi="Times New Roman" w:cs="Times New Roman"/>
                <w:spacing w:val="-7"/>
                <w:lang w:val="pl-PL"/>
              </w:rPr>
              <w:t xml:space="preserve">Nałożyć bezpośrednio na  </w:t>
            </w:r>
            <w:r w:rsidR="00625F6F" w:rsidRPr="008E3E1F">
              <w:rPr>
                <w:rFonts w:ascii="Times New Roman" w:hAnsi="Times New Roman" w:cs="Times New Roman"/>
                <w:spacing w:val="-7"/>
                <w:lang w:val="pl-PL"/>
              </w:rPr>
              <w:t xml:space="preserve">owłosioną </w:t>
            </w:r>
            <w:r w:rsidRPr="008E3E1F">
              <w:rPr>
                <w:rFonts w:ascii="Times New Roman" w:hAnsi="Times New Roman" w:cs="Times New Roman"/>
                <w:spacing w:val="-7"/>
                <w:lang w:val="pl-PL"/>
              </w:rPr>
              <w:t>skórę</w:t>
            </w:r>
            <w:r w:rsidR="00625F6F" w:rsidRPr="008E3E1F">
              <w:rPr>
                <w:rFonts w:ascii="Times New Roman" w:hAnsi="Times New Roman" w:cs="Times New Roman"/>
                <w:spacing w:val="-7"/>
                <w:lang w:val="pl-PL"/>
              </w:rPr>
              <w:t xml:space="preserve"> głowy</w:t>
            </w:r>
            <w:r w:rsidRPr="008E3E1F">
              <w:rPr>
                <w:rFonts w:ascii="Times New Roman" w:hAnsi="Times New Roman" w:cs="Times New Roman"/>
                <w:spacing w:val="-7"/>
                <w:lang w:val="pl-PL"/>
              </w:rPr>
              <w:t xml:space="preserve"> na zmienione chorobowo miejsce i wetrzeć</w:t>
            </w:r>
            <w:r w:rsidR="00674798" w:rsidRPr="008E3E1F">
              <w:rPr>
                <w:rFonts w:ascii="Times New Roman" w:hAnsi="Times New Roman" w:cs="Times New Roman"/>
                <w:spacing w:val="-7"/>
                <w:lang w:val="pl-PL"/>
              </w:rPr>
              <w:t xml:space="preserve"> </w:t>
            </w:r>
            <w:r w:rsidRPr="008E3E1F">
              <w:rPr>
                <w:rFonts w:ascii="Times New Roman" w:hAnsi="Times New Roman" w:cs="Times New Roman"/>
                <w:spacing w:val="-7"/>
                <w:lang w:val="pl-PL"/>
              </w:rPr>
              <w:t>produkt leczniczy Duosone w skórę</w:t>
            </w:r>
            <w:r w:rsidR="00625F6F" w:rsidRPr="008E3E1F">
              <w:rPr>
                <w:rFonts w:ascii="Times New Roman" w:hAnsi="Times New Roman" w:cs="Times New Roman"/>
                <w:spacing w:val="-7"/>
                <w:lang w:val="pl-PL"/>
              </w:rPr>
              <w:t>.</w:t>
            </w:r>
          </w:p>
        </w:tc>
      </w:tr>
      <w:tr w:rsidR="008A6BE7" w:rsidRPr="008E3E1F" w14:paraId="48D0B5DE" w14:textId="77777777" w:rsidTr="00585DB0">
        <w:trPr>
          <w:trHeight w:hRule="exact" w:val="971"/>
        </w:trPr>
        <w:tc>
          <w:tcPr>
            <w:tcW w:w="2925" w:type="dxa"/>
            <w:shd w:val="clear" w:color="auto" w:fill="auto"/>
          </w:tcPr>
          <w:p w14:paraId="1F17C3EF" w14:textId="77777777" w:rsidR="008A6BE7" w:rsidRPr="008E3E1F" w:rsidRDefault="008A6BE7">
            <w:pPr>
              <w:rPr>
                <w:rFonts w:ascii="Times New Roman" w:hAnsi="Times New Roman" w:cs="Times New Roman"/>
                <w:lang w:val="pl-PL"/>
              </w:rPr>
            </w:pPr>
          </w:p>
        </w:tc>
        <w:tc>
          <w:tcPr>
            <w:tcW w:w="1985" w:type="dxa"/>
            <w:shd w:val="clear" w:color="auto" w:fill="auto"/>
          </w:tcPr>
          <w:p w14:paraId="6DC468A2" w14:textId="77777777" w:rsidR="008A6BE7" w:rsidRPr="008E3E1F" w:rsidRDefault="008A6BE7">
            <w:pPr>
              <w:rPr>
                <w:rFonts w:ascii="Times New Roman" w:hAnsi="Times New Roman" w:cs="Times New Roman"/>
                <w:lang w:val="pl-PL"/>
              </w:rPr>
            </w:pPr>
          </w:p>
        </w:tc>
        <w:tc>
          <w:tcPr>
            <w:tcW w:w="4111" w:type="dxa"/>
            <w:shd w:val="clear" w:color="auto" w:fill="auto"/>
            <w:hideMark/>
          </w:tcPr>
          <w:p w14:paraId="22EF13A0" w14:textId="7C095D78" w:rsidR="008A6BE7" w:rsidRPr="008E3E1F" w:rsidRDefault="00585DB0" w:rsidP="00FB2EBB">
            <w:pPr>
              <w:pStyle w:val="TableParagraph"/>
              <w:spacing w:before="111"/>
              <w:ind w:left="301" w:right="53"/>
              <w:rPr>
                <w:rFonts w:ascii="Times New Roman" w:eastAsia="Times New Roman" w:hAnsi="Times New Roman" w:cs="Times New Roman"/>
                <w:i/>
                <w:iCs/>
                <w:lang w:val="pl-PL"/>
              </w:rPr>
            </w:pPr>
            <w:r w:rsidRPr="008E3E1F">
              <w:rPr>
                <w:rFonts w:ascii="Times New Roman" w:hAnsi="Times New Roman" w:cs="Times New Roman"/>
                <w:i/>
                <w:iCs/>
                <w:spacing w:val="2"/>
                <w:lang w:val="pl-PL"/>
              </w:rPr>
              <w:t>W zależności od wielkości</w:t>
            </w:r>
            <w:r w:rsidR="00FB2EBB" w:rsidRPr="008E3E1F">
              <w:rPr>
                <w:rFonts w:ascii="Times New Roman" w:hAnsi="Times New Roman" w:cs="Times New Roman"/>
                <w:i/>
                <w:iCs/>
                <w:spacing w:val="2"/>
                <w:lang w:val="pl-PL"/>
              </w:rPr>
              <w:t xml:space="preserve"> obszaru zajętego chorobą</w:t>
            </w:r>
            <w:r w:rsidRPr="008E3E1F">
              <w:rPr>
                <w:rFonts w:ascii="Times New Roman" w:hAnsi="Times New Roman" w:cs="Times New Roman"/>
                <w:i/>
                <w:iCs/>
                <w:spacing w:val="2"/>
                <w:lang w:val="pl-PL"/>
              </w:rPr>
              <w:t xml:space="preserve">, 1-4 g ( do 1 łyżeczki) </w:t>
            </w:r>
            <w:r w:rsidR="00FB2EBB" w:rsidRPr="008E3E1F">
              <w:rPr>
                <w:rFonts w:ascii="Times New Roman" w:hAnsi="Times New Roman" w:cs="Times New Roman"/>
                <w:i/>
                <w:iCs/>
                <w:spacing w:val="2"/>
                <w:lang w:val="pl-PL"/>
              </w:rPr>
              <w:t xml:space="preserve">żelu </w:t>
            </w:r>
            <w:r w:rsidRPr="008E3E1F">
              <w:rPr>
                <w:rFonts w:ascii="Times New Roman" w:hAnsi="Times New Roman" w:cs="Times New Roman"/>
                <w:i/>
                <w:iCs/>
                <w:spacing w:val="2"/>
                <w:lang w:val="pl-PL"/>
              </w:rPr>
              <w:t>jest zazwyczaj wystarczające.</w:t>
            </w:r>
          </w:p>
        </w:tc>
      </w:tr>
    </w:tbl>
    <w:p w14:paraId="20C3E462" w14:textId="161D5666" w:rsidR="008A6BE7" w:rsidRPr="008E3E1F" w:rsidRDefault="008A6BE7" w:rsidP="009E1EC1">
      <w:pPr>
        <w:ind w:left="0" w:firstLine="0"/>
      </w:pPr>
    </w:p>
    <w:p w14:paraId="7E8855E0" w14:textId="0E53AC00" w:rsidR="008A6BE7" w:rsidRPr="008E3E1F" w:rsidRDefault="00585DB0" w:rsidP="009E1EC1">
      <w:pPr>
        <w:ind w:left="0" w:firstLine="0"/>
        <w:rPr>
          <w:b/>
          <w:bCs/>
          <w:szCs w:val="22"/>
        </w:rPr>
      </w:pPr>
      <w:r w:rsidRPr="008E3E1F">
        <w:rPr>
          <w:b/>
          <w:bCs/>
          <w:szCs w:val="22"/>
        </w:rPr>
        <w:t xml:space="preserve">W celu uzyskania optymalnego działania, nie zaleca się mycia włosów bezpośrednio po </w:t>
      </w:r>
      <w:r w:rsidR="00FB2EBB" w:rsidRPr="008E3E1F">
        <w:rPr>
          <w:b/>
          <w:bCs/>
          <w:szCs w:val="22"/>
        </w:rPr>
        <w:t>nałożeniu</w:t>
      </w:r>
      <w:r w:rsidRPr="008E3E1F">
        <w:rPr>
          <w:b/>
          <w:bCs/>
          <w:szCs w:val="22"/>
        </w:rPr>
        <w:t xml:space="preserve"> produktu leczniczego Duosone. Należy pozostawić produkt leczniczy Duosone na </w:t>
      </w:r>
      <w:r w:rsidR="00544574" w:rsidRPr="008E3E1F">
        <w:rPr>
          <w:b/>
          <w:bCs/>
          <w:szCs w:val="22"/>
        </w:rPr>
        <w:t xml:space="preserve">owłosionej </w:t>
      </w:r>
      <w:r w:rsidRPr="008E3E1F">
        <w:rPr>
          <w:b/>
          <w:bCs/>
          <w:szCs w:val="22"/>
        </w:rPr>
        <w:t>skórze</w:t>
      </w:r>
      <w:r w:rsidR="00544574" w:rsidRPr="008E3E1F">
        <w:rPr>
          <w:b/>
          <w:bCs/>
          <w:szCs w:val="22"/>
        </w:rPr>
        <w:t xml:space="preserve"> głowy</w:t>
      </w:r>
      <w:r w:rsidRPr="008E3E1F">
        <w:rPr>
          <w:b/>
          <w:bCs/>
          <w:szCs w:val="22"/>
        </w:rPr>
        <w:t xml:space="preserve"> przez całą noc lub dzień. Podczas mycia głowy po aplikacji, poniższe instrukcje mogą być przydatne:</w:t>
      </w:r>
    </w:p>
    <w:p w14:paraId="028ACE86" w14:textId="22219744" w:rsidR="00585DB0" w:rsidRPr="008E3E1F" w:rsidRDefault="00585DB0" w:rsidP="009E1EC1">
      <w:pPr>
        <w:ind w:left="0" w:firstLine="0"/>
        <w:rPr>
          <w:b/>
          <w:bCs/>
          <w:szCs w:val="22"/>
        </w:rPr>
      </w:pPr>
    </w:p>
    <w:p w14:paraId="1A874B58" w14:textId="77777777" w:rsidR="00585DB0" w:rsidRPr="008E3E1F" w:rsidRDefault="00585DB0" w:rsidP="00585DB0">
      <w:pPr>
        <w:spacing w:line="200" w:lineRule="atLeast"/>
        <w:ind w:left="530"/>
        <w:rPr>
          <w:sz w:val="20"/>
          <w:szCs w:val="20"/>
        </w:rPr>
      </w:pPr>
      <w:r w:rsidRPr="008E3E1F">
        <w:rPr>
          <w:noProof/>
          <w:sz w:val="20"/>
          <w:szCs w:val="20"/>
        </w:rPr>
        <w:drawing>
          <wp:inline distT="0" distB="0" distL="0" distR="0" wp14:anchorId="2E3D9F6A" wp14:editId="0D19704A">
            <wp:extent cx="5168900" cy="1543050"/>
            <wp:effectExtent l="0" t="0" r="0" b="0"/>
            <wp:docPr id="3" name="Grafik 3"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 piktogram 2.jpg"/>
                    <pic:cNvPicPr/>
                  </pic:nvPicPr>
                  <pic:blipFill>
                    <a:blip r:embed="rId9">
                      <a:extLst>
                        <a:ext uri="{28A0092B-C50C-407E-A947-70E740481C1C}">
                          <a14:useLocalDpi xmlns:a14="http://schemas.microsoft.com/office/drawing/2010/main" val="0"/>
                        </a:ext>
                      </a:extLst>
                    </a:blip>
                    <a:stretch>
                      <a:fillRect/>
                    </a:stretch>
                  </pic:blipFill>
                  <pic:spPr>
                    <a:xfrm>
                      <a:off x="0" y="0"/>
                      <a:ext cx="5209386" cy="1555136"/>
                    </a:xfrm>
                    <a:prstGeom prst="rect">
                      <a:avLst/>
                    </a:prstGeom>
                  </pic:spPr>
                </pic:pic>
              </a:graphicData>
            </a:graphic>
          </wp:inline>
        </w:drawing>
      </w:r>
    </w:p>
    <w:p w14:paraId="53623806" w14:textId="77777777" w:rsidR="00585DB0" w:rsidRPr="008E3E1F" w:rsidRDefault="00585DB0" w:rsidP="00585DB0">
      <w:pPr>
        <w:spacing w:before="1"/>
        <w:rPr>
          <w:b/>
          <w:bCs/>
          <w:sz w:val="21"/>
          <w:szCs w:val="21"/>
        </w:rPr>
      </w:pPr>
    </w:p>
    <w:p w14:paraId="7A0C1BD6" w14:textId="77777777" w:rsidR="00585DB0" w:rsidRPr="008E3E1F" w:rsidRDefault="00585DB0" w:rsidP="00585DB0">
      <w:pPr>
        <w:spacing w:before="6"/>
        <w:rPr>
          <w:sz w:val="23"/>
          <w:szCs w:val="23"/>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3023"/>
        <w:gridCol w:w="2994"/>
      </w:tblGrid>
      <w:tr w:rsidR="008020B9" w:rsidRPr="008E3E1F" w14:paraId="5D4F3F7D" w14:textId="77777777" w:rsidTr="008E3E1F">
        <w:trPr>
          <w:trHeight w:val="243"/>
        </w:trPr>
        <w:tc>
          <w:tcPr>
            <w:tcW w:w="3273" w:type="dxa"/>
          </w:tcPr>
          <w:p w14:paraId="3D94E2E5" w14:textId="255963D5" w:rsidR="00585DB0" w:rsidRPr="008E3E1F" w:rsidRDefault="00585DB0" w:rsidP="008020B9">
            <w:pPr>
              <w:spacing w:before="6"/>
              <w:ind w:left="0" w:firstLine="0"/>
              <w:rPr>
                <w:rFonts w:ascii="Times New Roman" w:eastAsia="Times New Roman" w:hAnsi="Times New Roman" w:cs="Times New Roman"/>
                <w:lang w:val="pl-PL"/>
              </w:rPr>
            </w:pPr>
            <w:r w:rsidRPr="008E3E1F">
              <w:rPr>
                <w:rFonts w:ascii="Times New Roman" w:hAnsi="Times New Roman" w:cs="Times New Roman"/>
                <w:lang w:val="pl-PL"/>
              </w:rPr>
              <w:t>Należy nanieść łagodny</w:t>
            </w:r>
            <w:r w:rsidR="008020B9" w:rsidRPr="008E3E1F">
              <w:rPr>
                <w:rFonts w:ascii="Times New Roman" w:hAnsi="Times New Roman" w:cs="Times New Roman"/>
                <w:lang w:val="pl-PL"/>
              </w:rPr>
              <w:t xml:space="preserve"> </w:t>
            </w:r>
            <w:r w:rsidRPr="008E3E1F">
              <w:rPr>
                <w:rFonts w:ascii="Times New Roman" w:hAnsi="Times New Roman" w:cs="Times New Roman"/>
                <w:lang w:val="pl-PL"/>
              </w:rPr>
              <w:t xml:space="preserve">szampon na </w:t>
            </w:r>
            <w:r w:rsidRPr="008E3E1F">
              <w:rPr>
                <w:rFonts w:ascii="Times New Roman" w:hAnsi="Times New Roman" w:cs="Times New Roman"/>
                <w:b/>
                <w:bCs/>
                <w:lang w:val="pl-PL"/>
              </w:rPr>
              <w:t xml:space="preserve">suche włosy, </w:t>
            </w:r>
            <w:r w:rsidRPr="008E3E1F">
              <w:rPr>
                <w:rFonts w:ascii="Times New Roman" w:hAnsi="Times New Roman" w:cs="Times New Roman"/>
                <w:lang w:val="pl-PL"/>
              </w:rPr>
              <w:t>zwłaszcza na powierzchnie, na które aplikowano żel.</w:t>
            </w:r>
          </w:p>
        </w:tc>
        <w:tc>
          <w:tcPr>
            <w:tcW w:w="3273" w:type="dxa"/>
          </w:tcPr>
          <w:p w14:paraId="13D1324D" w14:textId="6B8E7DF2" w:rsidR="00585DB0" w:rsidRPr="008E3E1F" w:rsidRDefault="008020B9" w:rsidP="008020B9">
            <w:pPr>
              <w:spacing w:before="6"/>
              <w:ind w:left="0" w:firstLine="0"/>
              <w:rPr>
                <w:rFonts w:ascii="Times New Roman" w:eastAsia="Times New Roman" w:hAnsi="Times New Roman" w:cs="Times New Roman"/>
                <w:lang w:val="pl-PL"/>
              </w:rPr>
            </w:pPr>
            <w:r w:rsidRPr="008E3E1F">
              <w:rPr>
                <w:rFonts w:ascii="Times New Roman" w:hAnsi="Times New Roman" w:cs="Times New Roman"/>
                <w:lang w:val="pl-PL"/>
              </w:rPr>
              <w:t xml:space="preserve">Należy pozostawić szampon na </w:t>
            </w:r>
            <w:r w:rsidR="00544574" w:rsidRPr="008E3E1F">
              <w:rPr>
                <w:rFonts w:ascii="Times New Roman" w:hAnsi="Times New Roman" w:cs="Times New Roman"/>
                <w:lang w:val="pl-PL"/>
              </w:rPr>
              <w:t>owłosionej</w:t>
            </w:r>
            <w:r w:rsidR="00544574" w:rsidRPr="008E3E1F">
              <w:rPr>
                <w:rFonts w:ascii="Times New Roman" w:eastAsia="Times New Roman" w:hAnsi="Times New Roman" w:cs="Times New Roman"/>
                <w:lang w:val="pl-PL"/>
              </w:rPr>
              <w:t xml:space="preserve"> </w:t>
            </w:r>
            <w:r w:rsidRPr="008E3E1F">
              <w:rPr>
                <w:rFonts w:ascii="Times New Roman" w:hAnsi="Times New Roman" w:cs="Times New Roman"/>
                <w:lang w:val="pl-PL"/>
              </w:rPr>
              <w:t>skórze głowy przez kilka minut przed umyciem</w:t>
            </w:r>
            <w:r w:rsidR="00585DB0" w:rsidRPr="008E3E1F">
              <w:rPr>
                <w:rFonts w:ascii="Times New Roman" w:hAnsi="Times New Roman" w:cs="Times New Roman"/>
                <w:lang w:val="pl-PL"/>
              </w:rPr>
              <w:t>.</w:t>
            </w:r>
          </w:p>
        </w:tc>
        <w:tc>
          <w:tcPr>
            <w:tcW w:w="3274" w:type="dxa"/>
          </w:tcPr>
          <w:p w14:paraId="5B8375E8" w14:textId="308247D3" w:rsidR="00585DB0" w:rsidRPr="008E3E1F" w:rsidRDefault="008020B9" w:rsidP="008020B9">
            <w:pPr>
              <w:spacing w:before="6"/>
              <w:ind w:left="47" w:firstLine="0"/>
              <w:rPr>
                <w:rFonts w:ascii="Times New Roman" w:eastAsia="Times New Roman" w:hAnsi="Times New Roman" w:cs="Times New Roman"/>
                <w:lang w:val="pl-PL"/>
              </w:rPr>
            </w:pPr>
            <w:r w:rsidRPr="008E3E1F">
              <w:rPr>
                <w:rFonts w:ascii="Times New Roman" w:hAnsi="Times New Roman" w:cs="Times New Roman"/>
                <w:lang w:val="pl-PL"/>
              </w:rPr>
              <w:t>Włosy należy umyć jak zwykle</w:t>
            </w:r>
            <w:r w:rsidR="00585DB0" w:rsidRPr="008E3E1F">
              <w:rPr>
                <w:rFonts w:ascii="Times New Roman" w:hAnsi="Times New Roman" w:cs="Times New Roman"/>
                <w:lang w:val="pl-PL"/>
              </w:rPr>
              <w:t>.</w:t>
            </w:r>
          </w:p>
        </w:tc>
      </w:tr>
    </w:tbl>
    <w:p w14:paraId="44438211" w14:textId="77777777" w:rsidR="00585DB0" w:rsidRPr="008E3E1F" w:rsidRDefault="00585DB0" w:rsidP="00585DB0">
      <w:pPr>
        <w:spacing w:before="6"/>
        <w:rPr>
          <w:sz w:val="23"/>
          <w:szCs w:val="23"/>
        </w:rPr>
      </w:pPr>
    </w:p>
    <w:p w14:paraId="6CE18FFA" w14:textId="2E23FCC3" w:rsidR="00585DB0" w:rsidRPr="008E3E1F" w:rsidRDefault="006F10BA" w:rsidP="00585DB0">
      <w:pPr>
        <w:spacing w:before="6"/>
        <w:rPr>
          <w:sz w:val="23"/>
          <w:szCs w:val="23"/>
        </w:rPr>
      </w:pPr>
      <w:r w:rsidRPr="008E3E1F">
        <w:rPr>
          <w:b/>
          <w:bCs/>
          <w:szCs w:val="22"/>
        </w:rPr>
        <w:t>Jeżeli konieczne, kroki 4-6 można powtórzyć raz lub dwa razy.</w:t>
      </w:r>
    </w:p>
    <w:p w14:paraId="7DB4C21A" w14:textId="77777777" w:rsidR="00585DB0" w:rsidRPr="008E3E1F" w:rsidRDefault="00585DB0" w:rsidP="009E1EC1">
      <w:pPr>
        <w:ind w:left="0" w:firstLine="0"/>
      </w:pPr>
    </w:p>
    <w:p w14:paraId="50A43F96" w14:textId="77777777" w:rsidR="006F10BA" w:rsidRPr="008E3E1F" w:rsidRDefault="006F10BA" w:rsidP="006F10BA">
      <w:pPr>
        <w:ind w:left="0" w:firstLine="0"/>
        <w:rPr>
          <w:u w:val="single"/>
        </w:rPr>
      </w:pPr>
      <w:r w:rsidRPr="008E3E1F">
        <w:rPr>
          <w:u w:val="single"/>
        </w:rPr>
        <w:t>Czas trwania leczenia</w:t>
      </w:r>
    </w:p>
    <w:p w14:paraId="48284677" w14:textId="77777777" w:rsidR="006F10BA" w:rsidRPr="008E3E1F" w:rsidRDefault="006F10BA" w:rsidP="006F10BA">
      <w:pPr>
        <w:pStyle w:val="Akapitzlist"/>
        <w:numPr>
          <w:ilvl w:val="0"/>
          <w:numId w:val="11"/>
        </w:numPr>
      </w:pPr>
      <w:r w:rsidRPr="008E3E1F">
        <w:t>Żel należy stosować raz na dobę. Może być wygodniejsze użycie żelu wieczorem.</w:t>
      </w:r>
    </w:p>
    <w:p w14:paraId="4C242F6D" w14:textId="77777777" w:rsidR="006F10BA" w:rsidRPr="008E3E1F" w:rsidRDefault="006F10BA" w:rsidP="006F10BA">
      <w:pPr>
        <w:pStyle w:val="Akapitzlist"/>
        <w:numPr>
          <w:ilvl w:val="0"/>
          <w:numId w:val="11"/>
        </w:numPr>
      </w:pPr>
      <w:r w:rsidRPr="008E3E1F">
        <w:t>Zwykle początkowy okres leczenia wynosi 4 tygodnie na obszarach owłosionej skóry głowy i 8 tygodni na pozostałych obszarach skóry.</w:t>
      </w:r>
    </w:p>
    <w:p w14:paraId="233C4D87" w14:textId="77777777" w:rsidR="006F10BA" w:rsidRPr="008E3E1F" w:rsidRDefault="006F10BA" w:rsidP="006F10BA">
      <w:pPr>
        <w:pStyle w:val="Akapitzlist"/>
        <w:numPr>
          <w:ilvl w:val="0"/>
          <w:numId w:val="11"/>
        </w:numPr>
      </w:pPr>
      <w:r w:rsidRPr="008E3E1F">
        <w:t>Lekarz może zdecydować o innym okresie leczenia.</w:t>
      </w:r>
    </w:p>
    <w:p w14:paraId="5B770138" w14:textId="77777777" w:rsidR="006F10BA" w:rsidRPr="008E3E1F" w:rsidRDefault="006F10BA" w:rsidP="006F10BA">
      <w:pPr>
        <w:pStyle w:val="Akapitzlist"/>
        <w:numPr>
          <w:ilvl w:val="0"/>
          <w:numId w:val="11"/>
        </w:numPr>
      </w:pPr>
      <w:r w:rsidRPr="008E3E1F">
        <w:t>Lekarz może podjąć decyzję o powtórzeniu leczenia.</w:t>
      </w:r>
    </w:p>
    <w:p w14:paraId="7F769EA0" w14:textId="6827F633" w:rsidR="006F10BA" w:rsidRPr="008E3E1F" w:rsidRDefault="006F10BA" w:rsidP="006F10BA">
      <w:pPr>
        <w:pStyle w:val="Akapitzlist"/>
        <w:numPr>
          <w:ilvl w:val="0"/>
          <w:numId w:val="11"/>
        </w:numPr>
      </w:pPr>
      <w:r w:rsidRPr="008E3E1F">
        <w:t xml:space="preserve">Nie należy stosować więcej niż 15 gramów </w:t>
      </w:r>
      <w:r w:rsidR="00536804" w:rsidRPr="008E3E1F">
        <w:t>produktu leczniczego</w:t>
      </w:r>
      <w:r w:rsidRPr="008E3E1F">
        <w:t xml:space="preserve"> na dobę.</w:t>
      </w:r>
    </w:p>
    <w:p w14:paraId="7F5CDCB7" w14:textId="77777777" w:rsidR="006F10BA" w:rsidRPr="008E3E1F" w:rsidRDefault="006F10BA" w:rsidP="006F10BA">
      <w:pPr>
        <w:ind w:left="0" w:firstLine="0"/>
      </w:pPr>
    </w:p>
    <w:p w14:paraId="31344357" w14:textId="7D4521DB" w:rsidR="009E1EC1" w:rsidRPr="008E3E1F" w:rsidRDefault="006F10BA" w:rsidP="006F10BA">
      <w:pPr>
        <w:ind w:left="0" w:firstLine="0"/>
      </w:pPr>
      <w:r w:rsidRPr="008E3E1F">
        <w:t>W przypadku stosowania innych produktów leczniczych zawierających kalcypotriol całkowita ilość produktów leczniczych zawierających kalcypotriol nie może przekraczać 15 gramów na dobę, natomiast obszar leczonej skóry nie powinien przekraczać 30% całkowitej powierzchni ciała.</w:t>
      </w:r>
    </w:p>
    <w:p w14:paraId="6030C4CB" w14:textId="77777777" w:rsidR="006F10BA" w:rsidRPr="008E3E1F" w:rsidRDefault="006F10BA" w:rsidP="006F10BA">
      <w:pPr>
        <w:ind w:left="0" w:firstLine="0"/>
      </w:pPr>
    </w:p>
    <w:p w14:paraId="59A0804B" w14:textId="77777777" w:rsidR="00A65887" w:rsidRPr="008E3E1F" w:rsidRDefault="005355BC" w:rsidP="006D5855">
      <w:pPr>
        <w:rPr>
          <w:b/>
        </w:rPr>
      </w:pPr>
      <w:r w:rsidRPr="008E3E1F">
        <w:rPr>
          <w:b/>
        </w:rPr>
        <w:t>4.3</w:t>
      </w:r>
      <w:r w:rsidRPr="008E3E1F">
        <w:rPr>
          <w:b/>
        </w:rPr>
        <w:tab/>
        <w:t>Przeciwwskazania</w:t>
      </w:r>
    </w:p>
    <w:p w14:paraId="7D669954" w14:textId="77777777" w:rsidR="00A65887" w:rsidRPr="008E3E1F" w:rsidRDefault="00A65887" w:rsidP="006D5855"/>
    <w:p w14:paraId="159616DA" w14:textId="77777777" w:rsidR="00FB2DBC" w:rsidRPr="008E3E1F" w:rsidRDefault="00FB2DBC" w:rsidP="00FB2DBC">
      <w:pPr>
        <w:ind w:left="0" w:firstLine="0"/>
      </w:pPr>
      <w:r w:rsidRPr="008E3E1F">
        <w:t>Nadwrażliwość na kalcypotriol, betametazon lub na którąkolwiek substancję pomocniczą wymienioną w punkcie 6.1.</w:t>
      </w:r>
    </w:p>
    <w:p w14:paraId="62FE34E5" w14:textId="77777777" w:rsidR="00FB2DBC" w:rsidRPr="008E3E1F" w:rsidRDefault="00FB2DBC" w:rsidP="00FB2DBC">
      <w:pPr>
        <w:ind w:left="0" w:firstLine="0"/>
      </w:pPr>
    </w:p>
    <w:p w14:paraId="3B1A3F90" w14:textId="77777777" w:rsidR="00FB2DBC" w:rsidRPr="008E3E1F" w:rsidRDefault="00FB2DBC" w:rsidP="00FB2DBC">
      <w:pPr>
        <w:ind w:left="0" w:firstLine="0"/>
      </w:pPr>
      <w:r w:rsidRPr="008E3E1F">
        <w:t>Duosone jest przeciwwskazany u pacjentów z erytrodermią łuszczycową, łuszczycą złuszczającą i łuszczycą krostkową.</w:t>
      </w:r>
    </w:p>
    <w:p w14:paraId="58470209" w14:textId="77777777" w:rsidR="00FB2DBC" w:rsidRPr="008E3E1F" w:rsidRDefault="00FB2DBC" w:rsidP="00FB2DBC">
      <w:pPr>
        <w:ind w:left="0" w:firstLine="0"/>
      </w:pPr>
    </w:p>
    <w:p w14:paraId="2CBA9744" w14:textId="3AFA2297" w:rsidR="006F10BA" w:rsidRPr="008E3E1F" w:rsidRDefault="00FB2DBC" w:rsidP="00FB2DBC">
      <w:pPr>
        <w:ind w:left="0" w:firstLine="0"/>
      </w:pPr>
      <w:r w:rsidRPr="008E3E1F">
        <w:lastRenderedPageBreak/>
        <w:t xml:space="preserve">Ze względu na zawartość kalcypotriolu nie </w:t>
      </w:r>
      <w:r w:rsidR="00B336C2" w:rsidRPr="008E3E1F">
        <w:t>wolno</w:t>
      </w:r>
      <w:r w:rsidRPr="008E3E1F">
        <w:t xml:space="preserve"> stosować </w:t>
      </w:r>
      <w:r w:rsidR="00585DB0" w:rsidRPr="008E3E1F">
        <w:t>produktu leczniczego</w:t>
      </w:r>
      <w:r w:rsidRPr="008E3E1F">
        <w:t xml:space="preserve"> Duosone u pacjentów z zaburzeniami metabolizmu wapnia (patrz punkt 4.4). </w:t>
      </w:r>
    </w:p>
    <w:p w14:paraId="1C96D3DF" w14:textId="5C6C86DF" w:rsidR="00A65887" w:rsidRPr="008E3E1F" w:rsidRDefault="00FB2DBC" w:rsidP="00FB2DBC">
      <w:pPr>
        <w:ind w:left="0" w:firstLine="0"/>
      </w:pPr>
      <w:r w:rsidRPr="008E3E1F">
        <w:t>Ze względu na zawartość kortykosteroidu</w:t>
      </w:r>
      <w:r w:rsidR="00D21C12" w:rsidRPr="008E3E1F">
        <w:t xml:space="preserve"> </w:t>
      </w:r>
      <w:r w:rsidRPr="008E3E1F">
        <w:t>Duosone jest przeciwwskazany w następujących przypadkach: wirusowe zakażenia skóry (np. opryszczka lub ospa wietrzna), grzybicze lub bakteryjne zakażenia skóry, za</w:t>
      </w:r>
      <w:r w:rsidR="002003F8" w:rsidRPr="008E3E1F">
        <w:t>k</w:t>
      </w:r>
      <w:r w:rsidRPr="008E3E1F">
        <w:t>ażenia pasożytnicze, zmiany skórne w przebiegu gruźlicy, okołowargowe zapalenie skóry, atrofia skóry, rozstępy skóry, łamliwość żył skórnych, rybia łuska, trądzik pospolity, trądzik różowaty, owrzodzenia i rany ( patrz punkt 4.4).</w:t>
      </w:r>
    </w:p>
    <w:p w14:paraId="55118D2B" w14:textId="77777777" w:rsidR="00FB2DBC" w:rsidRPr="008E3E1F" w:rsidRDefault="00FB2DBC" w:rsidP="006D5855"/>
    <w:p w14:paraId="6F5D1F6F" w14:textId="77777777" w:rsidR="00943FD6" w:rsidRPr="008E3E1F" w:rsidRDefault="005355BC" w:rsidP="006D5855">
      <w:pPr>
        <w:rPr>
          <w:b/>
        </w:rPr>
      </w:pPr>
      <w:r w:rsidRPr="008E3E1F">
        <w:rPr>
          <w:b/>
        </w:rPr>
        <w:t>4.4</w:t>
      </w:r>
      <w:r w:rsidRPr="008E3E1F">
        <w:rPr>
          <w:b/>
        </w:rPr>
        <w:tab/>
        <w:t>Specjalne ostrzeżenia i środki ostrożności dotyczące stosowania</w:t>
      </w:r>
    </w:p>
    <w:p w14:paraId="614AC51C" w14:textId="7A56CF56" w:rsidR="00A65887" w:rsidRPr="008E3E1F" w:rsidRDefault="005355BC" w:rsidP="006D5855">
      <w:pPr>
        <w:rPr>
          <w:b/>
        </w:rPr>
      </w:pPr>
      <w:r w:rsidRPr="008E3E1F">
        <w:rPr>
          <w:b/>
        </w:rPr>
        <w:t xml:space="preserve"> </w:t>
      </w:r>
    </w:p>
    <w:p w14:paraId="52AE35C9" w14:textId="77777777" w:rsidR="00774F76" w:rsidRPr="008E3E1F" w:rsidRDefault="00774F76" w:rsidP="00774F76">
      <w:pPr>
        <w:rPr>
          <w:u w:val="single"/>
        </w:rPr>
      </w:pPr>
      <w:r w:rsidRPr="008E3E1F">
        <w:rPr>
          <w:u w:val="single"/>
        </w:rPr>
        <w:t>Wpływ na układ wydzielania wewnętrznego</w:t>
      </w:r>
    </w:p>
    <w:p w14:paraId="28D09FE8" w14:textId="4F32F6EB" w:rsidR="008F0DF4" w:rsidRPr="008E3E1F" w:rsidRDefault="00774F76" w:rsidP="00774F76">
      <w:pPr>
        <w:ind w:left="0" w:firstLine="0"/>
      </w:pPr>
      <w:r w:rsidRPr="008E3E1F">
        <w:t>Duosone zawiera silnie działający steroid z grupy III, w związku z czym należy unikać jego jednoczesnego stosowania z innymi steroidami. W czasie stosowania miejscowo kortykosteroidów, mogą również wystąpić działania niepożądane występujące w przypadku stosowania kortykosteroidów o działaniu ogólnym, takie jak supresja czynności kory nadnerczy lub wpływ na metaboliczną kontrolę cukrzycy, co jest związane z wchłanianiem układowym.</w:t>
      </w:r>
    </w:p>
    <w:p w14:paraId="7137732E" w14:textId="774A956F" w:rsidR="00774F76" w:rsidRPr="008E3E1F" w:rsidRDefault="00774F76" w:rsidP="00774F76">
      <w:pPr>
        <w:ind w:left="0" w:firstLine="0"/>
      </w:pPr>
    </w:p>
    <w:p w14:paraId="0353A88E" w14:textId="74DF21AB" w:rsidR="00774F76" w:rsidRPr="008E3E1F" w:rsidRDefault="00774F76" w:rsidP="00774F76">
      <w:pPr>
        <w:ind w:left="0" w:firstLine="0"/>
      </w:pPr>
      <w:r w:rsidRPr="008E3E1F">
        <w:t xml:space="preserve">Należy unikać stosowania </w:t>
      </w:r>
      <w:r w:rsidR="00536804" w:rsidRPr="008E3E1F">
        <w:t>produktu leczniczego</w:t>
      </w:r>
      <w:r w:rsidRPr="008E3E1F">
        <w:t xml:space="preserve"> pod opatrunkami okluzyjnymi, ponieważ zwiększa to układowe wchłanianie kortykosteroidów. Należy unikać stosowania produktu leczniczego na dużych powierzchniach uszkodzonej skóry, błonach śluzowych i na fałdach skóry, ponieważ zwiększa to układowe wchłanianie kortykosteroidów (patrz punkt 4.8).</w:t>
      </w:r>
    </w:p>
    <w:p w14:paraId="4241A5F4" w14:textId="6A51BFA9" w:rsidR="00774F76" w:rsidRPr="008E3E1F" w:rsidRDefault="00774F76" w:rsidP="00774F76"/>
    <w:p w14:paraId="7BD87755" w14:textId="5142BC5A" w:rsidR="00774F76" w:rsidRPr="008E3E1F" w:rsidRDefault="00774F76" w:rsidP="00774F76">
      <w:pPr>
        <w:ind w:left="0" w:firstLine="0"/>
      </w:pPr>
      <w:r w:rsidRPr="008E3E1F">
        <w:t xml:space="preserve">W badaniu pacjentów z rozległą łuszczycą owłosionej skóry głowy i skóry tułowia z zastosowaniem dużych dawek </w:t>
      </w:r>
      <w:r w:rsidR="00536804" w:rsidRPr="008E3E1F">
        <w:t>produktu leczniczego</w:t>
      </w:r>
      <w:r w:rsidRPr="008E3E1F">
        <w:t xml:space="preserve"> </w:t>
      </w:r>
      <w:r w:rsidR="00AE554F" w:rsidRPr="008E3E1F">
        <w:t xml:space="preserve">zawierającego </w:t>
      </w:r>
      <w:bookmarkStart w:id="1" w:name="_Hlk72238390"/>
      <w:r w:rsidR="00AE554F" w:rsidRPr="008E3E1F">
        <w:t>kalcypotriol + betametazon</w:t>
      </w:r>
      <w:r w:rsidR="00077EA5" w:rsidRPr="008E3E1F">
        <w:t xml:space="preserve">, </w:t>
      </w:r>
      <w:r w:rsidR="00AE554F" w:rsidRPr="008E3E1F">
        <w:t>50 mikrogramów/g + 0,5 mg/g</w:t>
      </w:r>
      <w:bookmarkEnd w:id="1"/>
      <w:r w:rsidR="00077EA5" w:rsidRPr="008E3E1F">
        <w:t xml:space="preserve"> w postaci żelu </w:t>
      </w:r>
      <w:r w:rsidR="00AE554F" w:rsidRPr="008E3E1F" w:rsidDel="00AE554F">
        <w:t xml:space="preserve"> </w:t>
      </w:r>
      <w:r w:rsidRPr="008E3E1F">
        <w:t xml:space="preserve">(na owłosioną skórę głowy) w skojarzeniu z dużymi dawkami maści </w:t>
      </w:r>
      <w:r w:rsidR="00AE554F" w:rsidRPr="008E3E1F">
        <w:t>zawierającej kalcypotriol + betametazon</w:t>
      </w:r>
      <w:r w:rsidR="00077EA5" w:rsidRPr="008E3E1F">
        <w:t>,</w:t>
      </w:r>
      <w:r w:rsidR="00AE554F" w:rsidRPr="008E3E1F">
        <w:t xml:space="preserve"> 50 mikrogramów/g + 0,5 mg/g</w:t>
      </w:r>
      <w:r w:rsidR="00AE554F" w:rsidRPr="008E3E1F" w:rsidDel="00AE554F">
        <w:t xml:space="preserve"> </w:t>
      </w:r>
      <w:r w:rsidRPr="008E3E1F">
        <w:t>(na tułów), po 4 tygodniach leczenia u 5 z 32 pacjentów stwierdzono graniczny spadek odpowiedzi kortyzolu na test prowokacji z podaniem hormonu adrenokortykotropowego (ACTH) (patrz punkt 5.1).</w:t>
      </w:r>
    </w:p>
    <w:p w14:paraId="1A04959F" w14:textId="3CECB068" w:rsidR="00774F76" w:rsidRPr="008E3E1F" w:rsidRDefault="00774F76" w:rsidP="00774F76">
      <w:pPr>
        <w:ind w:left="0" w:firstLine="0"/>
      </w:pPr>
    </w:p>
    <w:p w14:paraId="256E2AC8" w14:textId="77777777" w:rsidR="00774F76" w:rsidRPr="008E3E1F" w:rsidRDefault="00774F76" w:rsidP="00774F76">
      <w:pPr>
        <w:ind w:left="0" w:firstLine="0"/>
        <w:rPr>
          <w:u w:val="single"/>
        </w:rPr>
      </w:pPr>
      <w:r w:rsidRPr="008E3E1F">
        <w:rPr>
          <w:u w:val="single"/>
        </w:rPr>
        <w:t xml:space="preserve">Zaburzenia widzenia </w:t>
      </w:r>
    </w:p>
    <w:p w14:paraId="5F384FBC" w14:textId="7EC67D53" w:rsidR="00774F76" w:rsidRPr="008E3E1F" w:rsidRDefault="00774F76" w:rsidP="00774F76">
      <w:pPr>
        <w:ind w:left="0" w:firstLine="0"/>
      </w:pPr>
      <w:r w:rsidRPr="008E3E1F">
        <w:t>Zaburzenia widzenia mogą wystąpić w wyniku ogólnoustrojowego i miejscowego stosowania kortykosteroidów. Jeżeli u pacjenta wystąpią takie objawy, jak nieostre widzenia lub inne zaburzenia widzenia, należy rozważyć skierowanie go do okulisty w celu ustalenia możliwych przyczyn, do których może należeć zaćma, jaskra lub rzadkie choroby, takie jak centralna chorioretinopatia surowicza (CSCR), któr</w:t>
      </w:r>
      <w:r w:rsidR="00F077DF" w:rsidRPr="008E3E1F">
        <w:t>ą</w:t>
      </w:r>
      <w:r w:rsidRPr="008E3E1F">
        <w:t xml:space="preserve"> notowano po ogólnoustrojowym i miejscowym stosowaniu kortykosteroidów.</w:t>
      </w:r>
    </w:p>
    <w:p w14:paraId="5F86E9E8" w14:textId="55C85ADF" w:rsidR="00774F76" w:rsidRPr="008E3E1F" w:rsidRDefault="00774F76" w:rsidP="00774F76">
      <w:pPr>
        <w:ind w:left="0" w:firstLine="0"/>
      </w:pPr>
    </w:p>
    <w:p w14:paraId="34D0E944" w14:textId="77777777" w:rsidR="00774F76" w:rsidRPr="008E3E1F" w:rsidRDefault="00774F76" w:rsidP="00774F76">
      <w:pPr>
        <w:ind w:left="0" w:firstLine="0"/>
        <w:rPr>
          <w:u w:val="single"/>
        </w:rPr>
      </w:pPr>
      <w:r w:rsidRPr="008E3E1F">
        <w:rPr>
          <w:u w:val="single"/>
        </w:rPr>
        <w:t xml:space="preserve">Wpływ na metabolizm wapnia </w:t>
      </w:r>
    </w:p>
    <w:p w14:paraId="025304F1" w14:textId="4D919C6F" w:rsidR="00774F76" w:rsidRPr="008E3E1F" w:rsidRDefault="00774F76" w:rsidP="00774F76">
      <w:pPr>
        <w:ind w:left="0" w:firstLine="0"/>
      </w:pPr>
      <w:r w:rsidRPr="008E3E1F">
        <w:t>Ze względu na zawartość kalcypotriolu, gdy przekroczona zostanie maksymalna dobowa dawka (15 g), może wystąpić hiperkalcemia. Po przerwaniu leczenia stężenie wapnia we krwi powraca do wartości prawidłowych. Ryzyko hiperkalcemii jest minimalne, gdy są przestrzegane zalecenia dotyczące stosowania kalcypotriolu. Należy unikać stosowania produktu leczniczego na powierzchni skóry większej niż 30% (patrz punkt 4.2).</w:t>
      </w:r>
    </w:p>
    <w:p w14:paraId="662B3A25" w14:textId="236285E5" w:rsidR="00774F76" w:rsidRPr="008E3E1F" w:rsidRDefault="00774F76" w:rsidP="00774F76">
      <w:pPr>
        <w:ind w:left="0" w:firstLine="0"/>
      </w:pPr>
    </w:p>
    <w:p w14:paraId="4ED4AD9E" w14:textId="77777777" w:rsidR="00A44ED0" w:rsidRPr="008E3E1F" w:rsidRDefault="00774F76" w:rsidP="00774F76">
      <w:pPr>
        <w:ind w:left="0" w:firstLine="0"/>
        <w:rPr>
          <w:u w:val="single"/>
        </w:rPr>
      </w:pPr>
      <w:r w:rsidRPr="008E3E1F">
        <w:rPr>
          <w:u w:val="single"/>
        </w:rPr>
        <w:t xml:space="preserve">Miejscowe działania niepożądane </w:t>
      </w:r>
    </w:p>
    <w:p w14:paraId="298FD935" w14:textId="6C186D02" w:rsidR="00943FD6" w:rsidRPr="008E3E1F" w:rsidRDefault="00571103" w:rsidP="00774F76">
      <w:pPr>
        <w:ind w:left="0" w:firstLine="0"/>
      </w:pPr>
      <w:r w:rsidRPr="008E3E1F">
        <w:t xml:space="preserve">Duosone </w:t>
      </w:r>
      <w:r w:rsidR="00774F76" w:rsidRPr="008E3E1F">
        <w:t xml:space="preserve">zawiera silny kortykosteroid (grupa III), dlatego należy unikać jednoczesnego leczenia produktem </w:t>
      </w:r>
      <w:r w:rsidR="00536804" w:rsidRPr="008E3E1F">
        <w:t xml:space="preserve">leczniczym </w:t>
      </w:r>
      <w:r w:rsidRPr="008E3E1F">
        <w:t>Duosone</w:t>
      </w:r>
      <w:r w:rsidR="00774F76" w:rsidRPr="008E3E1F">
        <w:t xml:space="preserve"> i innymi steroidami tej samej powierzchni skóry. </w:t>
      </w:r>
    </w:p>
    <w:p w14:paraId="4FD84552" w14:textId="31E4BC3D" w:rsidR="00943FD6" w:rsidRPr="008E3E1F" w:rsidRDefault="00774F76" w:rsidP="00774F76">
      <w:pPr>
        <w:ind w:left="0" w:firstLine="0"/>
      </w:pPr>
      <w:r w:rsidRPr="008E3E1F">
        <w:t>Skóra twarzy i narządów płciowych jest bardzo wrażliwa na kortykosteroidy. N</w:t>
      </w:r>
      <w:r w:rsidR="00052043" w:rsidRPr="008E3E1F">
        <w:t>ie n</w:t>
      </w:r>
      <w:r w:rsidRPr="008E3E1F">
        <w:t>ależy stosowa</w:t>
      </w:r>
      <w:r w:rsidR="00052043" w:rsidRPr="008E3E1F">
        <w:t xml:space="preserve">ć </w:t>
      </w:r>
      <w:r w:rsidRPr="008E3E1F">
        <w:t xml:space="preserve">tego produktu leczniczego na te okolice. </w:t>
      </w:r>
    </w:p>
    <w:p w14:paraId="15B75D9D" w14:textId="1065C543" w:rsidR="00774F76" w:rsidRPr="008E3E1F" w:rsidRDefault="00774F76" w:rsidP="00774F76">
      <w:pPr>
        <w:ind w:left="0" w:firstLine="0"/>
      </w:pPr>
      <w:r w:rsidRPr="008E3E1F">
        <w:t xml:space="preserve">Pacjent musi być poinformowany o prawidłowym sposobie stosowania </w:t>
      </w:r>
      <w:r w:rsidR="00536804" w:rsidRPr="008E3E1F">
        <w:t>produktu leczniczego</w:t>
      </w:r>
      <w:r w:rsidRPr="008E3E1F">
        <w:t>, aby uniknąć wprowadzenia i przypadkowego naniesienia produktu leczniczego na twarz, usta i oczy. Po każdorazowym nałożeniu produktu leczniczego na skórę, należy dokładnie umyć ręce, aby uniknąć przypadkowego kontaktu z tymi obszarami.</w:t>
      </w:r>
    </w:p>
    <w:p w14:paraId="77787993" w14:textId="63DCEEE4" w:rsidR="00A44ED0" w:rsidRPr="008E3E1F" w:rsidRDefault="00A44ED0" w:rsidP="00774F76">
      <w:pPr>
        <w:ind w:left="0" w:firstLine="0"/>
      </w:pPr>
    </w:p>
    <w:p w14:paraId="08E98B9E" w14:textId="009D87CC" w:rsidR="00943FD6" w:rsidRPr="008E3E1F" w:rsidRDefault="00A44ED0" w:rsidP="00774F76">
      <w:pPr>
        <w:ind w:left="0" w:firstLine="0"/>
        <w:rPr>
          <w:u w:val="single"/>
        </w:rPr>
      </w:pPr>
      <w:r w:rsidRPr="008E3E1F">
        <w:rPr>
          <w:u w:val="single"/>
        </w:rPr>
        <w:t>Jednocześnie występujące zakażenia skóry</w:t>
      </w:r>
    </w:p>
    <w:p w14:paraId="2DC58FA6" w14:textId="6A387882" w:rsidR="00A44ED0" w:rsidRPr="008E3E1F" w:rsidRDefault="00A44ED0" w:rsidP="00774F76">
      <w:pPr>
        <w:ind w:left="0" w:firstLine="0"/>
      </w:pPr>
      <w:r w:rsidRPr="008E3E1F">
        <w:lastRenderedPageBreak/>
        <w:t>W przypadku wtórnego nadkażenia zmian skórnych należy zastosować leczenie przeciwdrobnoustrojowe. W razie nasilenia zakażenia należy przerwać leczenie kortykosteroidami (patrz punkt 4.3)</w:t>
      </w:r>
      <w:r w:rsidR="00DC2367" w:rsidRPr="008E3E1F">
        <w:t>.</w:t>
      </w:r>
    </w:p>
    <w:p w14:paraId="7B9A1D74" w14:textId="6268D58A" w:rsidR="00943FD6" w:rsidRPr="008E3E1F" w:rsidRDefault="00943FD6" w:rsidP="00774F76">
      <w:pPr>
        <w:ind w:left="0" w:firstLine="0"/>
      </w:pPr>
    </w:p>
    <w:p w14:paraId="6CE0FD85" w14:textId="354A5B4E" w:rsidR="00943FD6" w:rsidRPr="008E3E1F" w:rsidRDefault="00943FD6" w:rsidP="00774F76">
      <w:pPr>
        <w:ind w:left="0" w:firstLine="0"/>
        <w:rPr>
          <w:u w:val="single"/>
        </w:rPr>
      </w:pPr>
      <w:r w:rsidRPr="008E3E1F">
        <w:rPr>
          <w:u w:val="single"/>
        </w:rPr>
        <w:t>Przerwanie leczenia</w:t>
      </w:r>
    </w:p>
    <w:p w14:paraId="6AD4FD5A" w14:textId="0E6ACEE8" w:rsidR="00943FD6" w:rsidRPr="008E3E1F" w:rsidRDefault="00943FD6" w:rsidP="00774F76">
      <w:pPr>
        <w:ind w:left="0" w:firstLine="0"/>
      </w:pPr>
      <w:r w:rsidRPr="008E3E1F">
        <w:t>W trakcie leczenia łuszczycy miejscowo stosowanymi kortykosteroidami, istnieje ryzyko wystąpienia uogólnionej łuszczycy krostkowej lub efektu „z odbicia” po zaprzestaniu terapii. Dlatego wskazana jest wnikliwa opieka lekarska w okresie następującym po zakończeniu terapii.</w:t>
      </w:r>
    </w:p>
    <w:p w14:paraId="329049DD" w14:textId="646E63DF" w:rsidR="00943FD6" w:rsidRPr="008E3E1F" w:rsidRDefault="00943FD6" w:rsidP="00774F76">
      <w:pPr>
        <w:ind w:left="0" w:firstLine="0"/>
      </w:pPr>
    </w:p>
    <w:p w14:paraId="2F61EB36" w14:textId="2F10DF11" w:rsidR="00943FD6" w:rsidRPr="008E3E1F" w:rsidRDefault="00943FD6" w:rsidP="00774F76">
      <w:pPr>
        <w:ind w:left="0" w:firstLine="0"/>
        <w:rPr>
          <w:u w:val="single"/>
        </w:rPr>
      </w:pPr>
      <w:r w:rsidRPr="008E3E1F">
        <w:rPr>
          <w:u w:val="single"/>
        </w:rPr>
        <w:t>Długotrwałe stosowanie</w:t>
      </w:r>
    </w:p>
    <w:p w14:paraId="79FA51E0" w14:textId="5A894A63" w:rsidR="00943FD6" w:rsidRPr="008E3E1F" w:rsidRDefault="00943FD6" w:rsidP="00774F76">
      <w:pPr>
        <w:ind w:left="0" w:firstLine="0"/>
      </w:pPr>
      <w:r w:rsidRPr="008E3E1F">
        <w:t>Podczas długotrwałego stosowania zwiększa się ryzyko wystąpienia miejscowych i ogólnych działań niepożądanych kortykosteroidów. Należy przerwać leczenie, jeśli wystąpią niepożądane reakcje związane z długotrwałym stosowaniem kortykosteroidów (patrz punkt 4.8).</w:t>
      </w:r>
    </w:p>
    <w:p w14:paraId="5FF794A6" w14:textId="380E9898" w:rsidR="00943FD6" w:rsidRPr="008E3E1F" w:rsidRDefault="00943FD6" w:rsidP="00774F76">
      <w:pPr>
        <w:ind w:left="0" w:firstLine="0"/>
      </w:pPr>
    </w:p>
    <w:p w14:paraId="6B349B4B" w14:textId="5C366D6D" w:rsidR="00A561E0" w:rsidRPr="008E3E1F" w:rsidRDefault="00943FD6" w:rsidP="00774F76">
      <w:pPr>
        <w:ind w:left="0" w:firstLine="0"/>
      </w:pPr>
      <w:r w:rsidRPr="008E3E1F">
        <w:rPr>
          <w:u w:val="single"/>
        </w:rPr>
        <w:t>Niezbadane przypadki stosowania</w:t>
      </w:r>
    </w:p>
    <w:p w14:paraId="2300D577" w14:textId="25DA58E8" w:rsidR="00943FD6" w:rsidRPr="008E3E1F" w:rsidRDefault="00943FD6" w:rsidP="00774F76">
      <w:pPr>
        <w:ind w:left="0" w:firstLine="0"/>
      </w:pPr>
      <w:r w:rsidRPr="008E3E1F">
        <w:t xml:space="preserve">Brak doświadczeń ze stosowaniem produktu leczniczego </w:t>
      </w:r>
      <w:r w:rsidR="00A561E0" w:rsidRPr="008E3E1F">
        <w:t xml:space="preserve">Duosone </w:t>
      </w:r>
      <w:r w:rsidRPr="008E3E1F">
        <w:t>w leczeniu łuszczycy kropelkowatej.</w:t>
      </w:r>
    </w:p>
    <w:p w14:paraId="44918244" w14:textId="1D3F42B5" w:rsidR="00A561E0" w:rsidRPr="008E3E1F" w:rsidRDefault="00A561E0" w:rsidP="00774F76">
      <w:pPr>
        <w:ind w:left="0" w:firstLine="0"/>
      </w:pPr>
    </w:p>
    <w:p w14:paraId="35F3A3BB" w14:textId="5EDFDAB5" w:rsidR="00A561E0" w:rsidRPr="008E3E1F" w:rsidRDefault="00A561E0" w:rsidP="00774F76">
      <w:pPr>
        <w:ind w:left="0" w:firstLine="0"/>
        <w:rPr>
          <w:u w:val="single"/>
        </w:rPr>
      </w:pPr>
      <w:r w:rsidRPr="008E3E1F">
        <w:rPr>
          <w:u w:val="single"/>
        </w:rPr>
        <w:t>Jednoczesne leczenie innymi produktami leczniczymi i promieniowaniem ultrafioletowym</w:t>
      </w:r>
    </w:p>
    <w:p w14:paraId="1EEEED60" w14:textId="2F162EE0" w:rsidR="00A561E0" w:rsidRPr="008E3E1F" w:rsidRDefault="00A561E0" w:rsidP="00774F76">
      <w:pPr>
        <w:ind w:left="0" w:firstLine="0"/>
      </w:pPr>
      <w:r w:rsidRPr="008E3E1F">
        <w:t xml:space="preserve">Zastosowano maść </w:t>
      </w:r>
      <w:r w:rsidR="00967092" w:rsidRPr="008E3E1F">
        <w:t xml:space="preserve">zawierającą </w:t>
      </w:r>
      <w:r w:rsidRPr="008E3E1F">
        <w:t>kalcypotriol + betametazon</w:t>
      </w:r>
      <w:r w:rsidR="00967092" w:rsidRPr="008E3E1F">
        <w:t>,</w:t>
      </w:r>
      <w:r w:rsidRPr="008E3E1F">
        <w:t xml:space="preserve"> 50 mikrogramów/g + 0,5 mg/g w leczeni</w:t>
      </w:r>
      <w:r w:rsidR="00967092" w:rsidRPr="008E3E1F">
        <w:t>u</w:t>
      </w:r>
      <w:r w:rsidRPr="008E3E1F">
        <w:t xml:space="preserve"> łuszczycy ciała w skojarzeniu z żelem </w:t>
      </w:r>
      <w:r w:rsidR="00967092" w:rsidRPr="008E3E1F">
        <w:t xml:space="preserve">zawierającym </w:t>
      </w:r>
      <w:r w:rsidRPr="008E3E1F">
        <w:t>kalcypotriol + betametazon</w:t>
      </w:r>
      <w:r w:rsidR="0009363A" w:rsidRPr="008E3E1F">
        <w:t>,</w:t>
      </w:r>
      <w:r w:rsidRPr="008E3E1F">
        <w:t xml:space="preserve"> 50 mikrogramów/g + 0,5 mg/g w leczeniu łuszczycy owłosionej skóry głowy. Doświadczenia dotyczące stosowania żelu </w:t>
      </w:r>
      <w:r w:rsidR="00967092" w:rsidRPr="008E3E1F">
        <w:t xml:space="preserve">zawierającego </w:t>
      </w:r>
      <w:r w:rsidRPr="008E3E1F">
        <w:t>kalcypotriol + betametazon</w:t>
      </w:r>
      <w:r w:rsidR="0009363A" w:rsidRPr="008E3E1F">
        <w:t>,</w:t>
      </w:r>
      <w:r w:rsidRPr="008E3E1F">
        <w:t xml:space="preserve"> 50 mikrogramów/g + 0,5 mg/g w skojarzeniu z innymi przeciwłuszczycowymi produktami leczniczymi działającymi miejscowo, podawanymi na to samo miejsce, z przeciwłuszczycowymi produktami </w:t>
      </w:r>
      <w:r w:rsidR="0009363A" w:rsidRPr="008E3E1F">
        <w:t>lecznicz</w:t>
      </w:r>
      <w:r w:rsidRPr="008E3E1F">
        <w:t>ymi o działaniu ogólnym lub z fototerapią są ograniczone.</w:t>
      </w:r>
    </w:p>
    <w:p w14:paraId="4F836E85" w14:textId="0033C401" w:rsidR="00A561E0" w:rsidRPr="008E3E1F" w:rsidRDefault="00A561E0" w:rsidP="00774F76">
      <w:pPr>
        <w:ind w:left="0" w:firstLine="0"/>
      </w:pPr>
    </w:p>
    <w:p w14:paraId="5CF30C1D" w14:textId="6928C0F6" w:rsidR="00A561E0" w:rsidRPr="008E3E1F" w:rsidRDefault="00A561E0" w:rsidP="00774F76">
      <w:pPr>
        <w:ind w:left="0" w:firstLine="0"/>
      </w:pPr>
      <w:r w:rsidRPr="008E3E1F">
        <w:t xml:space="preserve">W trakcie leczenia z zastosowaniem </w:t>
      </w:r>
      <w:r w:rsidR="00536804" w:rsidRPr="008E3E1F">
        <w:t>produktu leczniczego</w:t>
      </w:r>
      <w:r w:rsidRPr="008E3E1F">
        <w:t xml:space="preserve"> </w:t>
      </w:r>
      <w:r w:rsidR="007D2150" w:rsidRPr="008E3E1F">
        <w:t>Duosone</w:t>
      </w:r>
      <w:r w:rsidRPr="008E3E1F">
        <w:t>, lekarz prowadzący powinien doradzić pacjentowi ograniczenie lub też unikanie nadmiernej ekspozycji na promieniowanie słoneczne lub sztuczne źródła promieniowania słonecznego. Miejscowe stosowanie kalcypotriolu w połączeniu z napromieniowaniem UV może mieć miejsce w sytuacji, gdy lekarz i pacjent uznają, że korzyści przewyższają potencjalne ryzyko (patrz punkt 5.3).</w:t>
      </w:r>
    </w:p>
    <w:p w14:paraId="6668BABF" w14:textId="77777777" w:rsidR="00774F76" w:rsidRPr="008E3E1F" w:rsidRDefault="00774F76" w:rsidP="00774F76">
      <w:pPr>
        <w:ind w:left="0" w:firstLine="0"/>
      </w:pPr>
    </w:p>
    <w:p w14:paraId="453766C5" w14:textId="77777777" w:rsidR="007D2150" w:rsidRPr="008E3E1F" w:rsidRDefault="007D2150" w:rsidP="006D5855">
      <w:pPr>
        <w:ind w:left="0" w:firstLine="0"/>
        <w:rPr>
          <w:u w:val="single"/>
        </w:rPr>
      </w:pPr>
      <w:r w:rsidRPr="008E3E1F">
        <w:rPr>
          <w:u w:val="single"/>
        </w:rPr>
        <w:t>Działania niepożądane na substancje pomocnicze</w:t>
      </w:r>
    </w:p>
    <w:p w14:paraId="3B1F20AE" w14:textId="6680EC7B" w:rsidR="00D31C51" w:rsidRPr="008E3E1F" w:rsidRDefault="007D2150" w:rsidP="006D5855">
      <w:pPr>
        <w:ind w:left="0" w:firstLine="0"/>
      </w:pPr>
      <w:r w:rsidRPr="008E3E1F">
        <w:t>Duosone zawiera jako substancję pomocniczą butylohydroksytoluen (E321), który może powodować miejscow</w:t>
      </w:r>
      <w:r w:rsidR="00B64C05" w:rsidRPr="008E3E1F">
        <w:t>ą</w:t>
      </w:r>
      <w:r w:rsidRPr="008E3E1F">
        <w:t xml:space="preserve"> reakcj</w:t>
      </w:r>
      <w:r w:rsidR="00B64C05" w:rsidRPr="008E3E1F">
        <w:t>ę</w:t>
      </w:r>
      <w:r w:rsidRPr="008E3E1F">
        <w:t xml:space="preserve"> skórn</w:t>
      </w:r>
      <w:r w:rsidR="00B64C05" w:rsidRPr="008E3E1F">
        <w:t xml:space="preserve">ą </w:t>
      </w:r>
      <w:r w:rsidRPr="008E3E1F">
        <w:t>(np. kontaktowe zapalenie skóry) lub podrażnienie oczu i błon śluzowych.</w:t>
      </w:r>
    </w:p>
    <w:p w14:paraId="05E4B91D" w14:textId="329E4967" w:rsidR="007D2150" w:rsidRPr="008E3E1F" w:rsidRDefault="007D2150" w:rsidP="006D5855">
      <w:pPr>
        <w:ind w:left="0" w:firstLine="0"/>
      </w:pPr>
    </w:p>
    <w:p w14:paraId="7D72D346" w14:textId="1E342EDC" w:rsidR="007D2150" w:rsidRPr="008E3E1F" w:rsidRDefault="007D2150" w:rsidP="006D5855">
      <w:pPr>
        <w:ind w:left="0" w:firstLine="0"/>
      </w:pPr>
      <w:r w:rsidRPr="008E3E1F">
        <w:t>Duosone zawiera jako substancję pomocniczą olej rycynowy uwodorniony, który może powodować reakcje skórne</w:t>
      </w:r>
      <w:r w:rsidR="00B64C05" w:rsidRPr="008E3E1F">
        <w:t>.</w:t>
      </w:r>
    </w:p>
    <w:p w14:paraId="79A03DCD" w14:textId="77777777" w:rsidR="007D2150" w:rsidRPr="008E3E1F" w:rsidRDefault="007D2150" w:rsidP="006D5855">
      <w:pPr>
        <w:ind w:left="0" w:firstLine="0"/>
        <w:rPr>
          <w:noProof/>
          <w:szCs w:val="22"/>
        </w:rPr>
      </w:pPr>
    </w:p>
    <w:p w14:paraId="3435930C" w14:textId="77777777" w:rsidR="00A65887" w:rsidRPr="008E3E1F" w:rsidRDefault="005355BC" w:rsidP="006D5855">
      <w:pPr>
        <w:rPr>
          <w:b/>
        </w:rPr>
      </w:pPr>
      <w:r w:rsidRPr="008E3E1F">
        <w:rPr>
          <w:b/>
        </w:rPr>
        <w:t>4.5</w:t>
      </w:r>
      <w:r w:rsidRPr="008E3E1F">
        <w:rPr>
          <w:b/>
        </w:rPr>
        <w:tab/>
        <w:t xml:space="preserve">Interakcje z innymi </w:t>
      </w:r>
      <w:r w:rsidR="00CE29CA" w:rsidRPr="008E3E1F">
        <w:rPr>
          <w:b/>
          <w:noProof/>
          <w:szCs w:val="22"/>
        </w:rPr>
        <w:t>produktami leczniczymi</w:t>
      </w:r>
      <w:r w:rsidRPr="008E3E1F">
        <w:rPr>
          <w:b/>
        </w:rPr>
        <w:t xml:space="preserve"> i inne rodzaje interakcji</w:t>
      </w:r>
    </w:p>
    <w:p w14:paraId="0656F30D" w14:textId="77777777" w:rsidR="00A65887" w:rsidRPr="008E3E1F" w:rsidRDefault="00A65887" w:rsidP="006D5855">
      <w:pPr>
        <w:rPr>
          <w:b/>
        </w:rPr>
      </w:pPr>
    </w:p>
    <w:p w14:paraId="50B6FC55" w14:textId="22AB6127" w:rsidR="00A65887" w:rsidRPr="008E3E1F" w:rsidRDefault="005355BC" w:rsidP="006D5855">
      <w:pPr>
        <w:rPr>
          <w:noProof/>
        </w:rPr>
      </w:pPr>
      <w:r w:rsidRPr="008E3E1F">
        <w:rPr>
          <w:noProof/>
        </w:rPr>
        <w:t>Nie przeprowadzono badań dotyczących interakcji</w:t>
      </w:r>
      <w:r w:rsidR="006F10BA" w:rsidRPr="008E3E1F">
        <w:rPr>
          <w:noProof/>
        </w:rPr>
        <w:t xml:space="preserve"> z produktem </w:t>
      </w:r>
      <w:r w:rsidR="005E5831" w:rsidRPr="008E3E1F">
        <w:rPr>
          <w:noProof/>
        </w:rPr>
        <w:t xml:space="preserve">leczniczym </w:t>
      </w:r>
      <w:r w:rsidR="006F10BA" w:rsidRPr="008E3E1F">
        <w:rPr>
          <w:noProof/>
        </w:rPr>
        <w:t>Duosone.</w:t>
      </w:r>
    </w:p>
    <w:p w14:paraId="16FB3514" w14:textId="77777777" w:rsidR="006C0D43" w:rsidRPr="008E3E1F" w:rsidRDefault="006C0D43" w:rsidP="006D5855">
      <w:pPr>
        <w:ind w:left="0" w:firstLine="0"/>
        <w:rPr>
          <w:noProof/>
          <w:szCs w:val="22"/>
          <w:u w:val="single"/>
        </w:rPr>
      </w:pPr>
    </w:p>
    <w:p w14:paraId="3941CC52" w14:textId="77777777" w:rsidR="00A65887" w:rsidRPr="008E3E1F" w:rsidRDefault="00A65887" w:rsidP="006D5855"/>
    <w:p w14:paraId="2C48416E" w14:textId="77777777" w:rsidR="00FC68A7" w:rsidRPr="008E3E1F" w:rsidRDefault="005355BC" w:rsidP="006D5855">
      <w:pPr>
        <w:rPr>
          <w:b/>
          <w:noProof/>
          <w:szCs w:val="22"/>
        </w:rPr>
      </w:pPr>
      <w:r w:rsidRPr="008E3E1F">
        <w:rPr>
          <w:b/>
        </w:rPr>
        <w:t>4.6</w:t>
      </w:r>
      <w:r w:rsidRPr="008E3E1F">
        <w:rPr>
          <w:b/>
        </w:rPr>
        <w:tab/>
      </w:r>
      <w:r w:rsidR="00CE29CA" w:rsidRPr="008E3E1F">
        <w:rPr>
          <w:b/>
          <w:noProof/>
          <w:szCs w:val="22"/>
        </w:rPr>
        <w:t>Wpływ na płodność, ciążę i laktację</w:t>
      </w:r>
    </w:p>
    <w:p w14:paraId="6B02D20E" w14:textId="77777777" w:rsidR="00CE29CA" w:rsidRPr="008E3E1F" w:rsidRDefault="00CE29CA" w:rsidP="006D5855">
      <w:pPr>
        <w:rPr>
          <w:i/>
          <w:color w:val="008000"/>
        </w:rPr>
      </w:pPr>
    </w:p>
    <w:p w14:paraId="7C339F20" w14:textId="77777777" w:rsidR="006F10BA" w:rsidRPr="008E3E1F" w:rsidRDefault="006F10BA" w:rsidP="006F10BA">
      <w:pPr>
        <w:rPr>
          <w:noProof/>
          <w:szCs w:val="22"/>
          <w:u w:val="single"/>
        </w:rPr>
      </w:pPr>
      <w:r w:rsidRPr="008E3E1F">
        <w:rPr>
          <w:noProof/>
          <w:szCs w:val="22"/>
          <w:u w:val="single"/>
        </w:rPr>
        <w:t>Ciąża</w:t>
      </w:r>
    </w:p>
    <w:p w14:paraId="20F0D220" w14:textId="0111227E" w:rsidR="006F10BA" w:rsidRPr="008E3E1F" w:rsidRDefault="006F10BA" w:rsidP="000A4798">
      <w:pPr>
        <w:ind w:left="0" w:firstLine="0"/>
        <w:rPr>
          <w:noProof/>
          <w:szCs w:val="22"/>
        </w:rPr>
      </w:pPr>
      <w:r w:rsidRPr="008E3E1F">
        <w:rPr>
          <w:noProof/>
          <w:szCs w:val="22"/>
        </w:rPr>
        <w:t xml:space="preserve">Brak odpowiednich danych dotyczących stosowania </w:t>
      </w:r>
      <w:r w:rsidR="000A4798" w:rsidRPr="008E3E1F">
        <w:t xml:space="preserve">żelu </w:t>
      </w:r>
      <w:r w:rsidR="00083BEC" w:rsidRPr="008E3E1F">
        <w:t xml:space="preserve">zawierającego </w:t>
      </w:r>
      <w:r w:rsidR="000A4798" w:rsidRPr="008E3E1F">
        <w:t>kalcypotriol + betametazon</w:t>
      </w:r>
      <w:r w:rsidR="0023514F" w:rsidRPr="008E3E1F">
        <w:t>,</w:t>
      </w:r>
      <w:r w:rsidR="000A4798" w:rsidRPr="008E3E1F">
        <w:t xml:space="preserve"> 50 mikrogramów/g + 0,5 mg/g </w:t>
      </w:r>
      <w:r w:rsidRPr="008E3E1F">
        <w:rPr>
          <w:noProof/>
          <w:szCs w:val="22"/>
        </w:rPr>
        <w:t>u kobiet w ciąży. Badania na zwierzętach z zastosowaniem glikokortykosteroidów wykazały ich toksyczne działanie na rozrodczość (patrz punkt 5.3), jednak badania epidemiologiczne</w:t>
      </w:r>
      <w:r w:rsidR="00213DE8" w:rsidRPr="008E3E1F">
        <w:rPr>
          <w:noProof/>
          <w:szCs w:val="22"/>
        </w:rPr>
        <w:t xml:space="preserve"> (</w:t>
      </w:r>
      <w:r w:rsidRPr="008E3E1F">
        <w:rPr>
          <w:noProof/>
          <w:szCs w:val="22"/>
        </w:rPr>
        <w:t xml:space="preserve">u poniżej 300 zakończonych rozwiązaniem ciąż) nie wykazały wad wrodzonych u niemowląt urodzonych przez kobiety leczone kortykosteroidami w trakcie ciąży. Potencjalne ryzyko u ludzi jest niepewne. Dlatego w okresie ciąży produkt leczniczy </w:t>
      </w:r>
      <w:r w:rsidR="000A4798" w:rsidRPr="008E3E1F">
        <w:rPr>
          <w:noProof/>
          <w:szCs w:val="22"/>
        </w:rPr>
        <w:t>Duosone</w:t>
      </w:r>
      <w:r w:rsidRPr="008E3E1F">
        <w:rPr>
          <w:noProof/>
          <w:szCs w:val="22"/>
        </w:rPr>
        <w:t xml:space="preserve"> powinien być stosowany wyłącznie wtedy, gdy potencjalne korzyści przewyższają potencjalne ryzyko.</w:t>
      </w:r>
    </w:p>
    <w:p w14:paraId="6227DC4D" w14:textId="77777777" w:rsidR="006F10BA" w:rsidRPr="008E3E1F" w:rsidRDefault="006F10BA" w:rsidP="006F10BA">
      <w:pPr>
        <w:rPr>
          <w:noProof/>
          <w:szCs w:val="22"/>
          <w:u w:val="single"/>
        </w:rPr>
      </w:pPr>
    </w:p>
    <w:p w14:paraId="7226C6AF" w14:textId="50ED4274" w:rsidR="0071487E" w:rsidRPr="008E3E1F" w:rsidRDefault="005355BC" w:rsidP="006F10BA">
      <w:pPr>
        <w:rPr>
          <w:noProof/>
          <w:szCs w:val="22"/>
          <w:u w:val="single"/>
        </w:rPr>
      </w:pPr>
      <w:r w:rsidRPr="008E3E1F">
        <w:rPr>
          <w:noProof/>
          <w:szCs w:val="22"/>
          <w:u w:val="single"/>
        </w:rPr>
        <w:t>Karmienie piersią</w:t>
      </w:r>
    </w:p>
    <w:p w14:paraId="0F2A969C" w14:textId="5CEA6BF4" w:rsidR="000A4798" w:rsidRPr="008E3E1F" w:rsidRDefault="000A4798" w:rsidP="000A4798">
      <w:pPr>
        <w:ind w:left="0" w:firstLine="0"/>
        <w:rPr>
          <w:szCs w:val="22"/>
        </w:rPr>
      </w:pPr>
      <w:r w:rsidRPr="008E3E1F">
        <w:rPr>
          <w:szCs w:val="22"/>
        </w:rPr>
        <w:lastRenderedPageBreak/>
        <w:t xml:space="preserve">Betametazon przenika do mleka </w:t>
      </w:r>
      <w:r w:rsidR="00CA58C0" w:rsidRPr="008E3E1F">
        <w:rPr>
          <w:szCs w:val="22"/>
        </w:rPr>
        <w:t>kobiecego</w:t>
      </w:r>
      <w:r w:rsidRPr="008E3E1F">
        <w:rPr>
          <w:szCs w:val="22"/>
        </w:rPr>
        <w:t xml:space="preserve">, jednak ryzyko niepożądanego działania na dziecko wydaje się mało prawdopodobne w przypadku stosowania dawek leczniczych. Nie ma danych dotyczących przenikania kalcypotriolu do mleka </w:t>
      </w:r>
      <w:r w:rsidR="00CA58C0" w:rsidRPr="008E3E1F">
        <w:rPr>
          <w:szCs w:val="22"/>
        </w:rPr>
        <w:t>kobiecego</w:t>
      </w:r>
      <w:r w:rsidRPr="008E3E1F">
        <w:rPr>
          <w:szCs w:val="22"/>
        </w:rPr>
        <w:t xml:space="preserve">. Należy zachować ostrożność w przypadku, kiedy produkt leczniczy Duosone jest przepisywany kobietom karmiącym piersią. Pacjentkę należy pouczyć, że nie wolno stosować produktu leczniczego Duosone na piersi w okresie karmienia piersią. </w:t>
      </w:r>
    </w:p>
    <w:p w14:paraId="0B1A32D5" w14:textId="77777777" w:rsidR="000A505A" w:rsidRPr="008E3E1F" w:rsidRDefault="000A505A" w:rsidP="000A4798">
      <w:pPr>
        <w:ind w:left="0" w:firstLine="0"/>
        <w:rPr>
          <w:szCs w:val="22"/>
        </w:rPr>
      </w:pPr>
    </w:p>
    <w:p w14:paraId="54A118DD" w14:textId="75F1D9D8" w:rsidR="00CE29CA" w:rsidRPr="008E3E1F" w:rsidRDefault="005355BC" w:rsidP="006D5855">
      <w:pPr>
        <w:rPr>
          <w:noProof/>
          <w:szCs w:val="22"/>
        </w:rPr>
      </w:pPr>
      <w:r w:rsidRPr="008E3E1F">
        <w:rPr>
          <w:noProof/>
          <w:szCs w:val="22"/>
          <w:u w:val="single"/>
        </w:rPr>
        <w:t>Płodność</w:t>
      </w:r>
    </w:p>
    <w:p w14:paraId="4343C8B3" w14:textId="0964EA75" w:rsidR="00A65887" w:rsidRPr="008E3E1F" w:rsidRDefault="000A4798" w:rsidP="000A4798">
      <w:pPr>
        <w:ind w:left="0" w:firstLine="0"/>
        <w:rPr>
          <w:szCs w:val="22"/>
        </w:rPr>
      </w:pPr>
      <w:r w:rsidRPr="008E3E1F">
        <w:rPr>
          <w:szCs w:val="22"/>
        </w:rPr>
        <w:t xml:space="preserve">Badania polegające na podawaniu szczurom doustnych dawek kalcypotriolu lub </w:t>
      </w:r>
      <w:r w:rsidR="00DB58DE" w:rsidRPr="008E3E1F">
        <w:rPr>
          <w:szCs w:val="22"/>
        </w:rPr>
        <w:t xml:space="preserve">betametazonu  </w:t>
      </w:r>
      <w:r w:rsidRPr="008E3E1F">
        <w:rPr>
          <w:szCs w:val="22"/>
        </w:rPr>
        <w:t>dipropionianu nie wykazały zaburzenia płodności u osobników płci męskiej i żeńskiej ( patrz punkt 5.3).</w:t>
      </w:r>
    </w:p>
    <w:p w14:paraId="5A65BD42" w14:textId="77777777" w:rsidR="000A4798" w:rsidRPr="008E3E1F" w:rsidRDefault="000A4798" w:rsidP="006D5855"/>
    <w:p w14:paraId="1A7762E1" w14:textId="77777777" w:rsidR="00FC68A7" w:rsidRPr="008E3E1F" w:rsidRDefault="005355BC" w:rsidP="006D5855">
      <w:pPr>
        <w:rPr>
          <w:b/>
        </w:rPr>
      </w:pPr>
      <w:r w:rsidRPr="008E3E1F">
        <w:rPr>
          <w:b/>
        </w:rPr>
        <w:t>4.7</w:t>
      </w:r>
      <w:r w:rsidRPr="008E3E1F">
        <w:rPr>
          <w:b/>
        </w:rPr>
        <w:tab/>
        <w:t xml:space="preserve">Wpływ na zdolność prowadzenia pojazdów i obsługiwania </w:t>
      </w:r>
      <w:r w:rsidR="00CE29CA" w:rsidRPr="008E3E1F">
        <w:rPr>
          <w:b/>
          <w:noProof/>
          <w:szCs w:val="22"/>
        </w:rPr>
        <w:t>maszyn</w:t>
      </w:r>
    </w:p>
    <w:p w14:paraId="71192222" w14:textId="77777777" w:rsidR="00A65887" w:rsidRPr="008E3E1F" w:rsidRDefault="00A65887" w:rsidP="006D5855"/>
    <w:p w14:paraId="71233C04" w14:textId="6893C745" w:rsidR="00A65887" w:rsidRPr="008E3E1F" w:rsidRDefault="00FC4E49" w:rsidP="00FC4E49">
      <w:pPr>
        <w:ind w:left="0" w:firstLine="0"/>
      </w:pPr>
      <w:r w:rsidRPr="008E3E1F">
        <w:t xml:space="preserve">Duosone </w:t>
      </w:r>
      <w:r w:rsidR="005355BC" w:rsidRPr="008E3E1F">
        <w:t>nie ma wpływu lub wywiera nieistotny wpływ na zdolność prowadzenia pojazdów i obsługiwania</w:t>
      </w:r>
      <w:r w:rsidR="009A3AC7" w:rsidRPr="008E3E1F">
        <w:t xml:space="preserve"> </w:t>
      </w:r>
      <w:r w:rsidR="00C23D97" w:rsidRPr="008E3E1F">
        <w:t>maszyn</w:t>
      </w:r>
      <w:r w:rsidR="005355BC" w:rsidRPr="008E3E1F">
        <w:t>.</w:t>
      </w:r>
    </w:p>
    <w:p w14:paraId="6FC24DE7" w14:textId="77777777" w:rsidR="00A65887" w:rsidRPr="008E3E1F" w:rsidRDefault="00A65887" w:rsidP="006D5855"/>
    <w:p w14:paraId="0C3378DA" w14:textId="77777777" w:rsidR="00A65887" w:rsidRPr="008E3E1F" w:rsidRDefault="005355BC" w:rsidP="006D5855">
      <w:pPr>
        <w:rPr>
          <w:b/>
        </w:rPr>
      </w:pPr>
      <w:r w:rsidRPr="008E3E1F">
        <w:rPr>
          <w:b/>
        </w:rPr>
        <w:t>4.8</w:t>
      </w:r>
      <w:r w:rsidRPr="008E3E1F">
        <w:rPr>
          <w:b/>
        </w:rPr>
        <w:tab/>
        <w:t>Działania niepożądane</w:t>
      </w:r>
    </w:p>
    <w:p w14:paraId="2DB00642" w14:textId="77777777" w:rsidR="00A65887" w:rsidRPr="008E3E1F" w:rsidRDefault="00A65887" w:rsidP="006D5855"/>
    <w:p w14:paraId="51EE5BA6" w14:textId="77777777" w:rsidR="00FC4E49" w:rsidRPr="008E3E1F" w:rsidRDefault="00FC4E49" w:rsidP="00FC4E49">
      <w:pPr>
        <w:pStyle w:val="Default"/>
        <w:rPr>
          <w:sz w:val="22"/>
          <w:szCs w:val="22"/>
          <w:lang w:val="pl-PL"/>
        </w:rPr>
      </w:pPr>
      <w:r w:rsidRPr="008E3E1F">
        <w:rPr>
          <w:sz w:val="22"/>
          <w:szCs w:val="22"/>
          <w:lang w:val="pl-PL"/>
        </w:rPr>
        <w:t xml:space="preserve">Ocena częstości występowania działań niepożądanych została przeprowadzona na podstawie analizy zbiorczej danych z badań klinicznych w tym badań IV fazy dotyczących bezpieczeństwa oraz z monitorowania spontanicznego. </w:t>
      </w:r>
    </w:p>
    <w:p w14:paraId="1DA43F2E" w14:textId="75C89E3E" w:rsidR="006C0D43" w:rsidRPr="008E3E1F" w:rsidRDefault="00FC4E49" w:rsidP="00FC4E49">
      <w:pPr>
        <w:ind w:left="0" w:firstLine="0"/>
        <w:rPr>
          <w:szCs w:val="22"/>
        </w:rPr>
      </w:pPr>
      <w:r w:rsidRPr="008E3E1F">
        <w:rPr>
          <w:szCs w:val="22"/>
        </w:rPr>
        <w:t>Najczęściej raportowanym działaniem niepożądanym obserwowanym podczas leczenia był świąd.</w:t>
      </w:r>
    </w:p>
    <w:p w14:paraId="2C6BB2FA" w14:textId="20377A4A" w:rsidR="00FC4E49" w:rsidRPr="008E3E1F" w:rsidRDefault="00FC4E49" w:rsidP="00FC4E49">
      <w:pPr>
        <w:ind w:left="0" w:firstLine="0"/>
        <w:rPr>
          <w:noProof/>
          <w:szCs w:val="22"/>
          <w:u w:val="single"/>
        </w:rPr>
      </w:pPr>
    </w:p>
    <w:p w14:paraId="5740178E" w14:textId="77777777" w:rsidR="00693A5C" w:rsidRPr="008E3E1F" w:rsidRDefault="00693A5C" w:rsidP="00693A5C">
      <w:pPr>
        <w:pStyle w:val="Default"/>
        <w:rPr>
          <w:sz w:val="22"/>
          <w:szCs w:val="22"/>
          <w:lang w:val="pl-PL"/>
        </w:rPr>
      </w:pPr>
      <w:r w:rsidRPr="008E3E1F">
        <w:rPr>
          <w:sz w:val="22"/>
          <w:szCs w:val="22"/>
          <w:lang w:val="pl-PL"/>
        </w:rPr>
        <w:t xml:space="preserve">Działania niepożądane są wyszczególnione zgodnie z klasyfikacją układów i narządów MedDRA, a poszczególne działania niepożądane wymieniono rozpoczynając od najczęściej raportowanych. </w:t>
      </w:r>
    </w:p>
    <w:p w14:paraId="50D4918E" w14:textId="640F7E76" w:rsidR="00693A5C" w:rsidRPr="008E3E1F" w:rsidRDefault="00693A5C" w:rsidP="00693A5C">
      <w:pPr>
        <w:pStyle w:val="Default"/>
        <w:rPr>
          <w:sz w:val="22"/>
          <w:szCs w:val="22"/>
          <w:lang w:val="pl-PL"/>
        </w:rPr>
      </w:pPr>
      <w:r w:rsidRPr="008E3E1F">
        <w:rPr>
          <w:sz w:val="22"/>
          <w:szCs w:val="22"/>
          <w:lang w:val="pl-PL"/>
        </w:rPr>
        <w:t xml:space="preserve">W obrębie każdej grupy o tej samej częstości występowania działania niepożądane wymieniono kolejno, według zmniejszającej się ciężkości objawów. </w:t>
      </w:r>
    </w:p>
    <w:p w14:paraId="417354DA" w14:textId="77777777" w:rsidR="00693A5C" w:rsidRPr="008E3E1F" w:rsidRDefault="00693A5C" w:rsidP="00693A5C">
      <w:pPr>
        <w:pStyle w:val="Default"/>
        <w:rPr>
          <w:sz w:val="22"/>
          <w:szCs w:val="22"/>
          <w:lang w:val="pl-PL"/>
        </w:rPr>
      </w:pPr>
    </w:p>
    <w:p w14:paraId="6F11E505" w14:textId="77777777" w:rsidR="00693A5C" w:rsidRPr="008E3E1F" w:rsidRDefault="00693A5C" w:rsidP="00693A5C">
      <w:pPr>
        <w:pStyle w:val="Default"/>
        <w:rPr>
          <w:sz w:val="22"/>
          <w:szCs w:val="22"/>
          <w:lang w:val="pl-PL"/>
        </w:rPr>
      </w:pPr>
      <w:r w:rsidRPr="008E3E1F">
        <w:rPr>
          <w:sz w:val="22"/>
          <w:szCs w:val="22"/>
          <w:lang w:val="pl-PL"/>
        </w:rPr>
        <w:t xml:space="preserve">Bardzo często (≥1/10) </w:t>
      </w:r>
    </w:p>
    <w:p w14:paraId="3CC76B44" w14:textId="77777777" w:rsidR="00693A5C" w:rsidRPr="008E3E1F" w:rsidRDefault="00693A5C" w:rsidP="00693A5C">
      <w:pPr>
        <w:pStyle w:val="Default"/>
        <w:rPr>
          <w:sz w:val="22"/>
          <w:szCs w:val="22"/>
          <w:lang w:val="pl-PL"/>
        </w:rPr>
      </w:pPr>
      <w:r w:rsidRPr="008E3E1F">
        <w:rPr>
          <w:sz w:val="22"/>
          <w:szCs w:val="22"/>
          <w:lang w:val="pl-PL"/>
        </w:rPr>
        <w:t xml:space="preserve">Często (≥1/100 do &lt;1/10) </w:t>
      </w:r>
    </w:p>
    <w:p w14:paraId="231307C0" w14:textId="69A6F3CB" w:rsidR="00693A5C" w:rsidRPr="008E3E1F" w:rsidRDefault="00693A5C" w:rsidP="00693A5C">
      <w:pPr>
        <w:pStyle w:val="Default"/>
        <w:rPr>
          <w:sz w:val="22"/>
          <w:szCs w:val="22"/>
          <w:lang w:val="pl-PL"/>
        </w:rPr>
      </w:pPr>
      <w:r w:rsidRPr="008E3E1F">
        <w:rPr>
          <w:sz w:val="22"/>
          <w:szCs w:val="22"/>
          <w:lang w:val="pl-PL"/>
        </w:rPr>
        <w:t>Niezbyt często (≥1/1000 do</w:t>
      </w:r>
      <w:r w:rsidR="008D3C28" w:rsidRPr="008E3E1F">
        <w:rPr>
          <w:sz w:val="22"/>
          <w:szCs w:val="22"/>
          <w:lang w:val="pl-PL"/>
        </w:rPr>
        <w:t xml:space="preserve"> </w:t>
      </w:r>
      <w:r w:rsidRPr="008E3E1F">
        <w:rPr>
          <w:sz w:val="22"/>
          <w:szCs w:val="22"/>
          <w:lang w:val="pl-PL"/>
        </w:rPr>
        <w:t xml:space="preserve">&lt;1/100) </w:t>
      </w:r>
    </w:p>
    <w:p w14:paraId="74682680" w14:textId="77777777" w:rsidR="00693A5C" w:rsidRPr="008E3E1F" w:rsidRDefault="00693A5C" w:rsidP="00693A5C">
      <w:pPr>
        <w:pStyle w:val="Default"/>
        <w:rPr>
          <w:sz w:val="22"/>
          <w:szCs w:val="22"/>
          <w:lang w:val="pl-PL"/>
        </w:rPr>
      </w:pPr>
      <w:r w:rsidRPr="008E3E1F">
        <w:rPr>
          <w:sz w:val="22"/>
          <w:szCs w:val="22"/>
          <w:lang w:val="pl-PL"/>
        </w:rPr>
        <w:t>Rzadko (≥1/10 000 do &lt;1/1000)</w:t>
      </w:r>
    </w:p>
    <w:p w14:paraId="05E0CECE" w14:textId="5A99F9A1" w:rsidR="00693A5C" w:rsidRPr="008E3E1F" w:rsidRDefault="00693A5C" w:rsidP="00693A5C">
      <w:pPr>
        <w:pStyle w:val="Default"/>
        <w:rPr>
          <w:sz w:val="22"/>
          <w:szCs w:val="22"/>
          <w:lang w:val="pl-PL"/>
        </w:rPr>
      </w:pPr>
      <w:r w:rsidRPr="008E3E1F">
        <w:rPr>
          <w:sz w:val="22"/>
          <w:szCs w:val="22"/>
          <w:lang w:val="pl-PL"/>
        </w:rPr>
        <w:t xml:space="preserve">Bardzo rzadko (&lt;1/10 000) </w:t>
      </w:r>
    </w:p>
    <w:p w14:paraId="0B5B1E76" w14:textId="7DD0DABA" w:rsidR="00693A5C" w:rsidRPr="008E3E1F" w:rsidRDefault="00693A5C" w:rsidP="00693A5C">
      <w:pPr>
        <w:ind w:left="0" w:firstLine="0"/>
        <w:rPr>
          <w:szCs w:val="22"/>
        </w:rPr>
      </w:pPr>
      <w:r w:rsidRPr="008E3E1F">
        <w:rPr>
          <w:szCs w:val="22"/>
        </w:rPr>
        <w:t>Nieznana (częstość nie może być określona na podstawie dostępnych danych)</w:t>
      </w:r>
    </w:p>
    <w:p w14:paraId="7D84A088" w14:textId="138AB754" w:rsidR="00693A5C" w:rsidRPr="008E3E1F" w:rsidRDefault="00693A5C" w:rsidP="00693A5C">
      <w:pPr>
        <w:ind w:left="0" w:firstLine="0"/>
        <w:rPr>
          <w:noProof/>
          <w:szCs w:val="22"/>
          <w:u w:val="single"/>
        </w:rPr>
      </w:pPr>
    </w:p>
    <w:tbl>
      <w:tblPr>
        <w:tblStyle w:val="TableNormal1"/>
        <w:tblW w:w="0" w:type="auto"/>
        <w:tblInd w:w="105" w:type="dxa"/>
        <w:tblLayout w:type="fixed"/>
        <w:tblLook w:val="01E0" w:firstRow="1" w:lastRow="1" w:firstColumn="1" w:lastColumn="1" w:noHBand="0" w:noVBand="0"/>
      </w:tblPr>
      <w:tblGrid>
        <w:gridCol w:w="4551"/>
        <w:gridCol w:w="4536"/>
      </w:tblGrid>
      <w:tr w:rsidR="00693A5C" w:rsidRPr="008E3E1F" w14:paraId="1097C2FD" w14:textId="77777777" w:rsidTr="00BF3645">
        <w:trPr>
          <w:trHeight w:hRule="exact" w:val="270"/>
        </w:trPr>
        <w:tc>
          <w:tcPr>
            <w:tcW w:w="9087" w:type="dxa"/>
            <w:gridSpan w:val="2"/>
            <w:tcBorders>
              <w:top w:val="single" w:sz="7" w:space="0" w:color="000000"/>
              <w:left w:val="single" w:sz="7" w:space="0" w:color="000000"/>
              <w:bottom w:val="single" w:sz="7" w:space="0" w:color="000000"/>
              <w:right w:val="single" w:sz="7" w:space="0" w:color="000000"/>
            </w:tcBorders>
          </w:tcPr>
          <w:p w14:paraId="7CEFA4F2" w14:textId="219E0937" w:rsidR="00693A5C" w:rsidRPr="008E3E1F" w:rsidRDefault="00693A5C" w:rsidP="00BF3645">
            <w:pPr>
              <w:pStyle w:val="TableParagraph"/>
              <w:spacing w:before="3" w:line="249" w:lineRule="exact"/>
              <w:ind w:left="-1"/>
              <w:rPr>
                <w:rFonts w:ascii="Times New Roman" w:eastAsia="Times New Roman" w:hAnsi="Times New Roman" w:cs="Times New Roman"/>
                <w:b/>
                <w:bCs/>
              </w:rPr>
            </w:pPr>
            <w:r w:rsidRPr="008E3E1F">
              <w:rPr>
                <w:rFonts w:ascii="Times New Roman" w:hAnsi="Times New Roman" w:cs="Times New Roman"/>
                <w:b/>
                <w:bCs/>
                <w:spacing w:val="-4"/>
              </w:rPr>
              <w:t>Zakażenia i zarażenia pasożytnicze</w:t>
            </w:r>
          </w:p>
        </w:tc>
      </w:tr>
      <w:tr w:rsidR="00693A5C" w:rsidRPr="008E3E1F" w14:paraId="1EEBF4E6" w14:textId="77777777" w:rsidTr="00BF3645">
        <w:trPr>
          <w:trHeight w:hRule="exact" w:val="540"/>
        </w:trPr>
        <w:tc>
          <w:tcPr>
            <w:tcW w:w="4551" w:type="dxa"/>
            <w:tcBorders>
              <w:top w:val="single" w:sz="7" w:space="0" w:color="000000"/>
              <w:left w:val="single" w:sz="7" w:space="0" w:color="000000"/>
              <w:bottom w:val="single" w:sz="7" w:space="0" w:color="000000"/>
              <w:right w:val="single" w:sz="7" w:space="0" w:color="000000"/>
            </w:tcBorders>
          </w:tcPr>
          <w:p w14:paraId="29202D1E" w14:textId="3C502B78" w:rsidR="00693A5C" w:rsidRPr="008E3E1F" w:rsidRDefault="00693A5C" w:rsidP="00BF3645">
            <w:pPr>
              <w:pStyle w:val="TableParagraph"/>
              <w:spacing w:before="4"/>
              <w:ind w:left="-1"/>
              <w:rPr>
                <w:rFonts w:ascii="Times New Roman" w:eastAsia="Times New Roman" w:hAnsi="Times New Roman" w:cs="Times New Roman"/>
              </w:rPr>
            </w:pPr>
            <w:r w:rsidRPr="008E3E1F">
              <w:rPr>
                <w:rFonts w:ascii="Times New Roman" w:eastAsia="Times New Roman" w:hAnsi="Times New Roman" w:cs="Times New Roman"/>
                <w:spacing w:val="-5"/>
              </w:rPr>
              <w:t>Niezbyt często</w:t>
            </w:r>
          </w:p>
        </w:tc>
        <w:tc>
          <w:tcPr>
            <w:tcW w:w="4536" w:type="dxa"/>
            <w:tcBorders>
              <w:top w:val="single" w:sz="7" w:space="0" w:color="000000"/>
              <w:left w:val="single" w:sz="7" w:space="0" w:color="000000"/>
              <w:bottom w:val="single" w:sz="7" w:space="0" w:color="000000"/>
              <w:right w:val="single" w:sz="7" w:space="0" w:color="000000"/>
            </w:tcBorders>
          </w:tcPr>
          <w:p w14:paraId="6B9FE771" w14:textId="77777777" w:rsidR="00693A5C" w:rsidRPr="008E3E1F" w:rsidRDefault="00693A5C" w:rsidP="00693A5C">
            <w:pPr>
              <w:pStyle w:val="TableParagraph"/>
              <w:spacing w:before="4" w:line="241" w:lineRule="auto"/>
              <w:ind w:left="-2"/>
              <w:rPr>
                <w:rFonts w:ascii="Times New Roman" w:hAnsi="Times New Roman" w:cs="Times New Roman"/>
                <w:spacing w:val="-8"/>
                <w:lang w:val="pl-PL"/>
              </w:rPr>
            </w:pPr>
            <w:r w:rsidRPr="008E3E1F">
              <w:rPr>
                <w:rFonts w:ascii="Times New Roman" w:hAnsi="Times New Roman" w:cs="Times New Roman"/>
                <w:spacing w:val="-8"/>
                <w:lang w:val="pl-PL"/>
              </w:rPr>
              <w:t>Zakażenia skóry*</w:t>
            </w:r>
          </w:p>
          <w:p w14:paraId="526F9D22" w14:textId="707EBE4E" w:rsidR="00693A5C" w:rsidRPr="008E3E1F" w:rsidRDefault="00693A5C" w:rsidP="00693A5C">
            <w:pPr>
              <w:pStyle w:val="TableParagraph"/>
              <w:spacing w:before="4" w:line="241" w:lineRule="auto"/>
              <w:ind w:left="-2"/>
              <w:rPr>
                <w:rFonts w:ascii="Times New Roman" w:eastAsia="Times New Roman" w:hAnsi="Times New Roman" w:cs="Times New Roman"/>
                <w:lang w:val="pl-PL"/>
              </w:rPr>
            </w:pPr>
            <w:r w:rsidRPr="008E3E1F">
              <w:rPr>
                <w:rFonts w:ascii="Times New Roman" w:hAnsi="Times New Roman" w:cs="Times New Roman"/>
                <w:spacing w:val="-8"/>
                <w:lang w:val="pl-PL"/>
              </w:rPr>
              <w:t>Zapalenie grudek chłonnych mieszków włosowych</w:t>
            </w:r>
          </w:p>
        </w:tc>
      </w:tr>
      <w:tr w:rsidR="00693A5C" w:rsidRPr="008E3E1F" w14:paraId="05043489" w14:textId="77777777" w:rsidTr="00BF3645">
        <w:trPr>
          <w:trHeight w:hRule="exact" w:val="270"/>
        </w:trPr>
        <w:tc>
          <w:tcPr>
            <w:tcW w:w="9087" w:type="dxa"/>
            <w:gridSpan w:val="2"/>
            <w:tcBorders>
              <w:top w:val="single" w:sz="7" w:space="0" w:color="000000"/>
              <w:left w:val="single" w:sz="7" w:space="0" w:color="000000"/>
              <w:bottom w:val="single" w:sz="7" w:space="0" w:color="000000"/>
              <w:right w:val="single" w:sz="7" w:space="0" w:color="000000"/>
            </w:tcBorders>
          </w:tcPr>
          <w:p w14:paraId="5D1EE356" w14:textId="4CD22989" w:rsidR="00693A5C" w:rsidRPr="008E3E1F" w:rsidRDefault="00693A5C" w:rsidP="00BF3645">
            <w:pPr>
              <w:pStyle w:val="TableParagraph"/>
              <w:spacing w:line="242" w:lineRule="exact"/>
              <w:ind w:left="-1"/>
              <w:rPr>
                <w:rFonts w:ascii="Times New Roman" w:eastAsia="Times New Roman" w:hAnsi="Times New Roman" w:cs="Times New Roman"/>
                <w:b/>
                <w:bCs/>
              </w:rPr>
            </w:pPr>
            <w:r w:rsidRPr="008E3E1F">
              <w:rPr>
                <w:rFonts w:ascii="Times New Roman" w:hAnsi="Times New Roman" w:cs="Times New Roman"/>
                <w:b/>
                <w:bCs/>
                <w:spacing w:val="-7"/>
              </w:rPr>
              <w:t>Zaburzenia układu immunologicznego</w:t>
            </w:r>
          </w:p>
        </w:tc>
      </w:tr>
      <w:tr w:rsidR="00693A5C" w:rsidRPr="008E3E1F" w14:paraId="350B893A" w14:textId="77777777" w:rsidTr="00BF3645">
        <w:trPr>
          <w:trHeight w:hRule="exact" w:val="270"/>
        </w:trPr>
        <w:tc>
          <w:tcPr>
            <w:tcW w:w="4551" w:type="dxa"/>
            <w:tcBorders>
              <w:top w:val="single" w:sz="7" w:space="0" w:color="000000"/>
              <w:left w:val="single" w:sz="7" w:space="0" w:color="000000"/>
              <w:bottom w:val="single" w:sz="7" w:space="0" w:color="000000"/>
              <w:right w:val="single" w:sz="7" w:space="0" w:color="000000"/>
            </w:tcBorders>
          </w:tcPr>
          <w:p w14:paraId="0D601A87" w14:textId="77B7496C" w:rsidR="00693A5C" w:rsidRPr="008E3E1F" w:rsidRDefault="00693A5C" w:rsidP="00BF3645">
            <w:pPr>
              <w:pStyle w:val="TableParagraph"/>
              <w:spacing w:line="242" w:lineRule="exact"/>
              <w:ind w:left="-1"/>
              <w:rPr>
                <w:rFonts w:ascii="Times New Roman" w:eastAsia="Times New Roman" w:hAnsi="Times New Roman" w:cs="Times New Roman"/>
              </w:rPr>
            </w:pPr>
            <w:r w:rsidRPr="008E3E1F">
              <w:rPr>
                <w:rFonts w:ascii="Times New Roman" w:eastAsia="Times New Roman" w:hAnsi="Times New Roman" w:cs="Times New Roman"/>
              </w:rPr>
              <w:t>Rzadko</w:t>
            </w:r>
          </w:p>
        </w:tc>
        <w:tc>
          <w:tcPr>
            <w:tcW w:w="4536" w:type="dxa"/>
            <w:tcBorders>
              <w:top w:val="single" w:sz="7" w:space="0" w:color="000000"/>
              <w:left w:val="single" w:sz="7" w:space="0" w:color="000000"/>
              <w:bottom w:val="single" w:sz="7" w:space="0" w:color="000000"/>
              <w:right w:val="single" w:sz="7" w:space="0" w:color="000000"/>
            </w:tcBorders>
          </w:tcPr>
          <w:p w14:paraId="3AE66DB5" w14:textId="1E868F46" w:rsidR="00693A5C" w:rsidRPr="008E3E1F" w:rsidRDefault="00693A5C" w:rsidP="00BF3645">
            <w:pPr>
              <w:pStyle w:val="TableParagraph"/>
              <w:spacing w:line="242" w:lineRule="exact"/>
              <w:ind w:left="-2"/>
              <w:rPr>
                <w:rFonts w:ascii="Times New Roman" w:eastAsia="Times New Roman" w:hAnsi="Times New Roman" w:cs="Times New Roman"/>
              </w:rPr>
            </w:pPr>
            <w:r w:rsidRPr="008E3E1F">
              <w:rPr>
                <w:rFonts w:ascii="Times New Roman" w:hAnsi="Times New Roman" w:cs="Times New Roman"/>
                <w:spacing w:val="-5"/>
              </w:rPr>
              <w:t>Nadwrażliwość</w:t>
            </w:r>
          </w:p>
        </w:tc>
      </w:tr>
      <w:tr w:rsidR="00693A5C" w:rsidRPr="008E3E1F" w14:paraId="062B29E3" w14:textId="77777777" w:rsidTr="00BF3645">
        <w:trPr>
          <w:trHeight w:hRule="exact" w:val="271"/>
        </w:trPr>
        <w:tc>
          <w:tcPr>
            <w:tcW w:w="9087" w:type="dxa"/>
            <w:gridSpan w:val="2"/>
            <w:tcBorders>
              <w:top w:val="single" w:sz="7" w:space="0" w:color="000000"/>
              <w:left w:val="single" w:sz="7" w:space="0" w:color="000000"/>
              <w:bottom w:val="single" w:sz="7" w:space="0" w:color="000000"/>
              <w:right w:val="single" w:sz="7" w:space="0" w:color="000000"/>
            </w:tcBorders>
          </w:tcPr>
          <w:p w14:paraId="169C530F" w14:textId="38AB404C" w:rsidR="00693A5C" w:rsidRPr="008E3E1F" w:rsidRDefault="00693A5C" w:rsidP="00BF3645">
            <w:pPr>
              <w:pStyle w:val="TableParagraph"/>
              <w:spacing w:line="242" w:lineRule="exact"/>
              <w:ind w:left="-1"/>
              <w:rPr>
                <w:rFonts w:ascii="Times New Roman" w:eastAsia="Times New Roman" w:hAnsi="Times New Roman" w:cs="Times New Roman"/>
                <w:b/>
                <w:bCs/>
              </w:rPr>
            </w:pPr>
            <w:r w:rsidRPr="008E3E1F">
              <w:rPr>
                <w:rFonts w:ascii="Times New Roman" w:hAnsi="Times New Roman" w:cs="Times New Roman"/>
                <w:b/>
                <w:bCs/>
                <w:spacing w:val="-4"/>
              </w:rPr>
              <w:t>Zaburzenia oka</w:t>
            </w:r>
          </w:p>
        </w:tc>
      </w:tr>
      <w:tr w:rsidR="00693A5C" w:rsidRPr="008E3E1F" w14:paraId="5A1BA06B" w14:textId="77777777" w:rsidTr="00BF3645">
        <w:trPr>
          <w:trHeight w:hRule="exact" w:val="270"/>
        </w:trPr>
        <w:tc>
          <w:tcPr>
            <w:tcW w:w="4551" w:type="dxa"/>
            <w:tcBorders>
              <w:top w:val="single" w:sz="7" w:space="0" w:color="000000"/>
              <w:left w:val="single" w:sz="7" w:space="0" w:color="000000"/>
              <w:bottom w:val="single" w:sz="7" w:space="0" w:color="000000"/>
              <w:right w:val="single" w:sz="7" w:space="0" w:color="000000"/>
            </w:tcBorders>
          </w:tcPr>
          <w:p w14:paraId="40F2AF39" w14:textId="19894E92" w:rsidR="00693A5C" w:rsidRPr="008E3E1F" w:rsidRDefault="00693A5C" w:rsidP="00BF3645">
            <w:pPr>
              <w:pStyle w:val="TableParagraph"/>
              <w:spacing w:line="242" w:lineRule="exact"/>
              <w:ind w:left="-1"/>
              <w:rPr>
                <w:rFonts w:ascii="Times New Roman" w:eastAsia="Times New Roman" w:hAnsi="Times New Roman" w:cs="Times New Roman"/>
              </w:rPr>
            </w:pPr>
            <w:r w:rsidRPr="008E3E1F">
              <w:rPr>
                <w:rFonts w:ascii="Times New Roman" w:eastAsia="Times New Roman" w:hAnsi="Times New Roman" w:cs="Times New Roman"/>
                <w:spacing w:val="-5"/>
              </w:rPr>
              <w:t>Niezbyt często</w:t>
            </w:r>
          </w:p>
        </w:tc>
        <w:tc>
          <w:tcPr>
            <w:tcW w:w="4536" w:type="dxa"/>
            <w:tcBorders>
              <w:top w:val="single" w:sz="7" w:space="0" w:color="000000"/>
              <w:left w:val="single" w:sz="7" w:space="0" w:color="000000"/>
              <w:bottom w:val="single" w:sz="7" w:space="0" w:color="000000"/>
              <w:right w:val="single" w:sz="7" w:space="0" w:color="000000"/>
            </w:tcBorders>
          </w:tcPr>
          <w:p w14:paraId="3938FBAB" w14:textId="76E83701" w:rsidR="00693A5C" w:rsidRPr="008E3E1F" w:rsidRDefault="009225AA" w:rsidP="00BF3645">
            <w:pPr>
              <w:pStyle w:val="TableParagraph"/>
              <w:spacing w:line="242" w:lineRule="exact"/>
              <w:ind w:left="-2"/>
              <w:rPr>
                <w:rFonts w:ascii="Times New Roman" w:eastAsia="Times New Roman" w:hAnsi="Times New Roman" w:cs="Times New Roman"/>
              </w:rPr>
            </w:pPr>
            <w:r w:rsidRPr="008E3E1F">
              <w:rPr>
                <w:rFonts w:ascii="Times New Roman" w:hAnsi="Times New Roman" w:cs="Times New Roman"/>
                <w:spacing w:val="-4"/>
              </w:rPr>
              <w:t>Podrażnienie oka</w:t>
            </w:r>
          </w:p>
        </w:tc>
      </w:tr>
      <w:tr w:rsidR="00693A5C" w:rsidRPr="008E3E1F" w14:paraId="077E015E" w14:textId="77777777" w:rsidTr="00BF3645">
        <w:trPr>
          <w:trHeight w:hRule="exact" w:val="270"/>
        </w:trPr>
        <w:tc>
          <w:tcPr>
            <w:tcW w:w="4551" w:type="dxa"/>
            <w:tcBorders>
              <w:top w:val="single" w:sz="7" w:space="0" w:color="000000"/>
              <w:left w:val="single" w:sz="7" w:space="0" w:color="000000"/>
              <w:bottom w:val="single" w:sz="7" w:space="0" w:color="000000"/>
              <w:right w:val="single" w:sz="7" w:space="0" w:color="000000"/>
            </w:tcBorders>
          </w:tcPr>
          <w:p w14:paraId="70E605C8" w14:textId="2B919917" w:rsidR="00693A5C" w:rsidRPr="008E3E1F" w:rsidRDefault="009225AA" w:rsidP="00BF3645">
            <w:pPr>
              <w:pStyle w:val="TableParagraph"/>
              <w:spacing w:line="242" w:lineRule="exact"/>
              <w:ind w:left="-1"/>
              <w:rPr>
                <w:rFonts w:ascii="Times New Roman" w:eastAsia="Times New Roman" w:hAnsi="Times New Roman" w:cs="Times New Roman"/>
              </w:rPr>
            </w:pPr>
            <w:r w:rsidRPr="008E3E1F">
              <w:rPr>
                <w:rFonts w:ascii="Times New Roman" w:eastAsia="Times New Roman" w:hAnsi="Times New Roman" w:cs="Times New Roman"/>
              </w:rPr>
              <w:t>Nieznana</w:t>
            </w:r>
          </w:p>
        </w:tc>
        <w:tc>
          <w:tcPr>
            <w:tcW w:w="4536" w:type="dxa"/>
            <w:tcBorders>
              <w:top w:val="single" w:sz="7" w:space="0" w:color="000000"/>
              <w:left w:val="single" w:sz="7" w:space="0" w:color="000000"/>
              <w:bottom w:val="single" w:sz="7" w:space="0" w:color="000000"/>
              <w:right w:val="single" w:sz="7" w:space="0" w:color="000000"/>
            </w:tcBorders>
          </w:tcPr>
          <w:p w14:paraId="4378AC7D" w14:textId="3A6CA559" w:rsidR="00693A5C" w:rsidRPr="008E3E1F" w:rsidRDefault="009225AA" w:rsidP="00BF3645">
            <w:pPr>
              <w:pStyle w:val="TableParagraph"/>
              <w:spacing w:line="242" w:lineRule="exact"/>
              <w:ind w:left="-2"/>
              <w:rPr>
                <w:rFonts w:ascii="Times New Roman" w:eastAsia="Times New Roman" w:hAnsi="Times New Roman" w:cs="Times New Roman"/>
              </w:rPr>
            </w:pPr>
            <w:r w:rsidRPr="008E3E1F">
              <w:rPr>
                <w:rFonts w:ascii="Times New Roman" w:eastAsia="Times New Roman" w:hAnsi="Times New Roman" w:cs="Times New Roman"/>
              </w:rPr>
              <w:t>Nieostre widzenie</w:t>
            </w:r>
            <w:r w:rsidR="00693A5C" w:rsidRPr="008E3E1F">
              <w:rPr>
                <w:rFonts w:ascii="Times New Roman" w:eastAsia="Times New Roman" w:hAnsi="Times New Roman" w:cs="Times New Roman"/>
              </w:rPr>
              <w:t>**</w:t>
            </w:r>
          </w:p>
        </w:tc>
      </w:tr>
      <w:tr w:rsidR="00693A5C" w:rsidRPr="008E3E1F" w14:paraId="16FCA74E" w14:textId="77777777" w:rsidTr="00BF3645">
        <w:trPr>
          <w:trHeight w:hRule="exact" w:val="270"/>
        </w:trPr>
        <w:tc>
          <w:tcPr>
            <w:tcW w:w="9087" w:type="dxa"/>
            <w:gridSpan w:val="2"/>
            <w:tcBorders>
              <w:top w:val="single" w:sz="7" w:space="0" w:color="000000"/>
              <w:left w:val="single" w:sz="7" w:space="0" w:color="000000"/>
              <w:bottom w:val="single" w:sz="7" w:space="0" w:color="000000"/>
              <w:right w:val="single" w:sz="7" w:space="0" w:color="000000"/>
            </w:tcBorders>
          </w:tcPr>
          <w:p w14:paraId="08073158" w14:textId="5079F801" w:rsidR="00693A5C" w:rsidRPr="008E3E1F" w:rsidRDefault="009225AA" w:rsidP="00BF3645">
            <w:pPr>
              <w:pStyle w:val="TableParagraph"/>
              <w:spacing w:line="242" w:lineRule="exact"/>
              <w:ind w:left="-1"/>
              <w:rPr>
                <w:rFonts w:ascii="Times New Roman" w:eastAsia="Times New Roman" w:hAnsi="Times New Roman" w:cs="Times New Roman"/>
                <w:b/>
                <w:bCs/>
                <w:lang w:val="pl-PL"/>
              </w:rPr>
            </w:pPr>
            <w:r w:rsidRPr="008E3E1F">
              <w:rPr>
                <w:rFonts w:ascii="Times New Roman" w:hAnsi="Times New Roman" w:cs="Times New Roman"/>
                <w:b/>
                <w:bCs/>
                <w:spacing w:val="-8"/>
                <w:lang w:val="pl-PL"/>
              </w:rPr>
              <w:t>Zaburzenia skóry i tkanki podskórnej</w:t>
            </w:r>
          </w:p>
        </w:tc>
      </w:tr>
      <w:tr w:rsidR="00693A5C" w:rsidRPr="008E3E1F" w14:paraId="668D8529" w14:textId="77777777" w:rsidTr="00BF3645">
        <w:trPr>
          <w:trHeight w:hRule="exact" w:val="271"/>
        </w:trPr>
        <w:tc>
          <w:tcPr>
            <w:tcW w:w="4551" w:type="dxa"/>
            <w:tcBorders>
              <w:top w:val="single" w:sz="7" w:space="0" w:color="000000"/>
              <w:left w:val="single" w:sz="7" w:space="0" w:color="000000"/>
              <w:bottom w:val="single" w:sz="7" w:space="0" w:color="000000"/>
              <w:right w:val="single" w:sz="7" w:space="0" w:color="000000"/>
            </w:tcBorders>
          </w:tcPr>
          <w:p w14:paraId="75AB26DC" w14:textId="05FAE750" w:rsidR="00693A5C" w:rsidRPr="008E3E1F" w:rsidRDefault="009225AA" w:rsidP="00BF3645">
            <w:pPr>
              <w:pStyle w:val="TableParagraph"/>
              <w:spacing w:line="242" w:lineRule="exact"/>
              <w:ind w:left="-1"/>
              <w:rPr>
                <w:rFonts w:ascii="Times New Roman" w:eastAsia="Times New Roman" w:hAnsi="Times New Roman" w:cs="Times New Roman"/>
              </w:rPr>
            </w:pPr>
            <w:r w:rsidRPr="008E3E1F">
              <w:rPr>
                <w:rFonts w:ascii="Times New Roman" w:eastAsia="Times New Roman" w:hAnsi="Times New Roman" w:cs="Times New Roman"/>
                <w:spacing w:val="-7"/>
              </w:rPr>
              <w:t>Często</w:t>
            </w:r>
          </w:p>
        </w:tc>
        <w:tc>
          <w:tcPr>
            <w:tcW w:w="4536" w:type="dxa"/>
            <w:tcBorders>
              <w:top w:val="single" w:sz="7" w:space="0" w:color="000000"/>
              <w:left w:val="single" w:sz="7" w:space="0" w:color="000000"/>
              <w:bottom w:val="single" w:sz="7" w:space="0" w:color="000000"/>
              <w:right w:val="single" w:sz="7" w:space="0" w:color="000000"/>
            </w:tcBorders>
          </w:tcPr>
          <w:p w14:paraId="41FEC9B9" w14:textId="39AF78C9" w:rsidR="00693A5C" w:rsidRPr="008E3E1F" w:rsidRDefault="009225AA" w:rsidP="00BF3645">
            <w:pPr>
              <w:pStyle w:val="TableParagraph"/>
              <w:spacing w:line="242" w:lineRule="exact"/>
              <w:ind w:left="-2"/>
              <w:rPr>
                <w:rFonts w:ascii="Times New Roman" w:eastAsia="Times New Roman" w:hAnsi="Times New Roman" w:cs="Times New Roman"/>
              </w:rPr>
            </w:pPr>
            <w:r w:rsidRPr="008E3E1F">
              <w:rPr>
                <w:rFonts w:ascii="Times New Roman" w:hAnsi="Times New Roman" w:cs="Times New Roman"/>
                <w:spacing w:val="-4"/>
              </w:rPr>
              <w:t>Świąd</w:t>
            </w:r>
          </w:p>
        </w:tc>
      </w:tr>
      <w:tr w:rsidR="00693A5C" w:rsidRPr="008E3E1F" w14:paraId="16A822B4" w14:textId="77777777" w:rsidTr="009225AA">
        <w:trPr>
          <w:trHeight w:hRule="exact" w:val="2171"/>
        </w:trPr>
        <w:tc>
          <w:tcPr>
            <w:tcW w:w="4551" w:type="dxa"/>
            <w:tcBorders>
              <w:top w:val="single" w:sz="7" w:space="0" w:color="000000"/>
              <w:left w:val="single" w:sz="7" w:space="0" w:color="000000"/>
              <w:bottom w:val="single" w:sz="7" w:space="0" w:color="000000"/>
              <w:right w:val="single" w:sz="7" w:space="0" w:color="000000"/>
            </w:tcBorders>
          </w:tcPr>
          <w:p w14:paraId="5E3A769F" w14:textId="52C9A23E" w:rsidR="00693A5C" w:rsidRPr="008E3E1F" w:rsidRDefault="009225AA" w:rsidP="00BF3645">
            <w:pPr>
              <w:pStyle w:val="TableParagraph"/>
              <w:spacing w:line="242" w:lineRule="exact"/>
              <w:ind w:left="-1"/>
              <w:rPr>
                <w:rFonts w:ascii="Times New Roman" w:eastAsia="Times New Roman" w:hAnsi="Times New Roman" w:cs="Times New Roman"/>
              </w:rPr>
            </w:pPr>
            <w:r w:rsidRPr="008E3E1F">
              <w:rPr>
                <w:rFonts w:ascii="Times New Roman" w:eastAsia="Times New Roman" w:hAnsi="Times New Roman" w:cs="Times New Roman"/>
                <w:spacing w:val="-5"/>
              </w:rPr>
              <w:t>Niezbyt często</w:t>
            </w:r>
          </w:p>
        </w:tc>
        <w:tc>
          <w:tcPr>
            <w:tcW w:w="4536" w:type="dxa"/>
            <w:tcBorders>
              <w:top w:val="single" w:sz="7" w:space="0" w:color="000000"/>
              <w:left w:val="single" w:sz="7" w:space="0" w:color="000000"/>
              <w:bottom w:val="single" w:sz="7" w:space="0" w:color="000000"/>
              <w:right w:val="single" w:sz="7" w:space="0" w:color="000000"/>
            </w:tcBorders>
          </w:tcPr>
          <w:p w14:paraId="7C140710" w14:textId="77777777" w:rsidR="009225AA" w:rsidRPr="008E3E1F" w:rsidRDefault="009225AA" w:rsidP="009225AA">
            <w:pPr>
              <w:pStyle w:val="TableParagraph"/>
              <w:spacing w:line="256" w:lineRule="auto"/>
              <w:ind w:left="-2" w:right="2316"/>
              <w:rPr>
                <w:rFonts w:ascii="Times New Roman" w:hAnsi="Times New Roman" w:cs="Times New Roman"/>
                <w:spacing w:val="-3"/>
                <w:lang w:val="pl-PL"/>
              </w:rPr>
            </w:pPr>
            <w:r w:rsidRPr="008E3E1F">
              <w:rPr>
                <w:rFonts w:ascii="Times New Roman" w:hAnsi="Times New Roman" w:cs="Times New Roman"/>
                <w:spacing w:val="-3"/>
                <w:lang w:val="pl-PL"/>
              </w:rPr>
              <w:t>Zaostrzenie łuszczycy</w:t>
            </w:r>
          </w:p>
          <w:p w14:paraId="275FE1BB" w14:textId="77777777" w:rsidR="009225AA" w:rsidRPr="008E3E1F" w:rsidRDefault="009225AA" w:rsidP="009225AA">
            <w:pPr>
              <w:pStyle w:val="TableParagraph"/>
              <w:spacing w:line="256" w:lineRule="auto"/>
              <w:ind w:left="-2" w:right="2316"/>
              <w:rPr>
                <w:rFonts w:ascii="Times New Roman" w:hAnsi="Times New Roman" w:cs="Times New Roman"/>
                <w:spacing w:val="-3"/>
                <w:lang w:val="pl-PL"/>
              </w:rPr>
            </w:pPr>
            <w:r w:rsidRPr="008E3E1F">
              <w:rPr>
                <w:rFonts w:ascii="Times New Roman" w:hAnsi="Times New Roman" w:cs="Times New Roman"/>
                <w:spacing w:val="-3"/>
                <w:lang w:val="pl-PL"/>
              </w:rPr>
              <w:t>Zapalenie skóry</w:t>
            </w:r>
          </w:p>
          <w:p w14:paraId="24639296" w14:textId="77777777" w:rsidR="009225AA" w:rsidRPr="008E3E1F" w:rsidRDefault="009225AA" w:rsidP="009225AA">
            <w:pPr>
              <w:pStyle w:val="TableParagraph"/>
              <w:spacing w:line="256" w:lineRule="auto"/>
              <w:ind w:left="-2" w:right="2316"/>
              <w:rPr>
                <w:rFonts w:ascii="Times New Roman" w:hAnsi="Times New Roman" w:cs="Times New Roman"/>
                <w:spacing w:val="-3"/>
                <w:lang w:val="pl-PL"/>
              </w:rPr>
            </w:pPr>
            <w:r w:rsidRPr="008E3E1F">
              <w:rPr>
                <w:rFonts w:ascii="Times New Roman" w:hAnsi="Times New Roman" w:cs="Times New Roman"/>
                <w:spacing w:val="-3"/>
                <w:lang w:val="pl-PL"/>
              </w:rPr>
              <w:t>Rumień</w:t>
            </w:r>
          </w:p>
          <w:p w14:paraId="1AFB3B31" w14:textId="77777777" w:rsidR="009225AA" w:rsidRPr="008E3E1F" w:rsidRDefault="009225AA" w:rsidP="009225AA">
            <w:pPr>
              <w:pStyle w:val="TableParagraph"/>
              <w:spacing w:line="256" w:lineRule="auto"/>
              <w:ind w:left="-2" w:right="2316"/>
              <w:rPr>
                <w:rFonts w:ascii="Times New Roman" w:hAnsi="Times New Roman" w:cs="Times New Roman"/>
                <w:spacing w:val="-3"/>
                <w:lang w:val="pl-PL"/>
              </w:rPr>
            </w:pPr>
            <w:r w:rsidRPr="008E3E1F">
              <w:rPr>
                <w:rFonts w:ascii="Times New Roman" w:hAnsi="Times New Roman" w:cs="Times New Roman"/>
                <w:spacing w:val="-3"/>
                <w:lang w:val="pl-PL"/>
              </w:rPr>
              <w:t>Wysypka***</w:t>
            </w:r>
          </w:p>
          <w:p w14:paraId="331A9135" w14:textId="77777777" w:rsidR="009225AA" w:rsidRPr="008E3E1F" w:rsidRDefault="009225AA" w:rsidP="009225AA">
            <w:pPr>
              <w:pStyle w:val="TableParagraph"/>
              <w:spacing w:line="256" w:lineRule="auto"/>
              <w:ind w:left="-2" w:right="2316"/>
              <w:rPr>
                <w:rFonts w:ascii="Times New Roman" w:hAnsi="Times New Roman" w:cs="Times New Roman"/>
                <w:spacing w:val="-3"/>
                <w:lang w:val="pl-PL"/>
              </w:rPr>
            </w:pPr>
            <w:r w:rsidRPr="008E3E1F">
              <w:rPr>
                <w:rFonts w:ascii="Times New Roman" w:hAnsi="Times New Roman" w:cs="Times New Roman"/>
                <w:spacing w:val="-3"/>
                <w:lang w:val="pl-PL"/>
              </w:rPr>
              <w:t>Trądzik</w:t>
            </w:r>
          </w:p>
          <w:p w14:paraId="1D415FE5" w14:textId="77777777" w:rsidR="009225AA" w:rsidRPr="008E3E1F" w:rsidRDefault="009225AA" w:rsidP="009225AA">
            <w:pPr>
              <w:pStyle w:val="TableParagraph"/>
              <w:spacing w:line="256" w:lineRule="auto"/>
              <w:ind w:left="-2" w:right="2316"/>
              <w:rPr>
                <w:rFonts w:ascii="Times New Roman" w:hAnsi="Times New Roman" w:cs="Times New Roman"/>
                <w:spacing w:val="-3"/>
                <w:lang w:val="pl-PL"/>
              </w:rPr>
            </w:pPr>
            <w:r w:rsidRPr="008E3E1F">
              <w:rPr>
                <w:rFonts w:ascii="Times New Roman" w:hAnsi="Times New Roman" w:cs="Times New Roman"/>
                <w:spacing w:val="-3"/>
                <w:lang w:val="pl-PL"/>
              </w:rPr>
              <w:t>Uczucie pieczenia skóry</w:t>
            </w:r>
          </w:p>
          <w:p w14:paraId="70088C29" w14:textId="77777777" w:rsidR="009225AA" w:rsidRPr="008E3E1F" w:rsidRDefault="009225AA" w:rsidP="009225AA">
            <w:pPr>
              <w:pStyle w:val="TableParagraph"/>
              <w:spacing w:line="256" w:lineRule="auto"/>
              <w:ind w:left="-2" w:right="2316"/>
              <w:rPr>
                <w:rFonts w:ascii="Times New Roman" w:hAnsi="Times New Roman" w:cs="Times New Roman"/>
                <w:spacing w:val="-3"/>
                <w:lang w:val="pl-PL"/>
              </w:rPr>
            </w:pPr>
            <w:r w:rsidRPr="008E3E1F">
              <w:rPr>
                <w:rFonts w:ascii="Times New Roman" w:hAnsi="Times New Roman" w:cs="Times New Roman"/>
                <w:spacing w:val="-3"/>
                <w:lang w:val="pl-PL"/>
              </w:rPr>
              <w:t>Podrażnienie skóry</w:t>
            </w:r>
          </w:p>
          <w:p w14:paraId="0410E183" w14:textId="62B6AED3" w:rsidR="00693A5C" w:rsidRPr="008E3E1F" w:rsidRDefault="009225AA" w:rsidP="009225AA">
            <w:pPr>
              <w:pStyle w:val="TableParagraph"/>
              <w:spacing w:before="2" w:line="256" w:lineRule="auto"/>
              <w:ind w:left="-2"/>
              <w:rPr>
                <w:rFonts w:ascii="Times New Roman" w:eastAsia="Times New Roman" w:hAnsi="Times New Roman" w:cs="Times New Roman"/>
              </w:rPr>
            </w:pPr>
            <w:r w:rsidRPr="008E3E1F">
              <w:rPr>
                <w:rFonts w:ascii="Times New Roman" w:hAnsi="Times New Roman" w:cs="Times New Roman"/>
                <w:spacing w:val="-3"/>
              </w:rPr>
              <w:t>Suchość skóry</w:t>
            </w:r>
          </w:p>
        </w:tc>
      </w:tr>
      <w:tr w:rsidR="00693A5C" w:rsidRPr="008E3E1F" w14:paraId="60EAA97E" w14:textId="77777777" w:rsidTr="00BF3645">
        <w:trPr>
          <w:trHeight w:hRule="exact" w:val="525"/>
        </w:trPr>
        <w:tc>
          <w:tcPr>
            <w:tcW w:w="4551" w:type="dxa"/>
            <w:tcBorders>
              <w:top w:val="single" w:sz="7" w:space="0" w:color="000000"/>
              <w:left w:val="single" w:sz="7" w:space="0" w:color="000000"/>
              <w:bottom w:val="single" w:sz="7" w:space="0" w:color="000000"/>
              <w:right w:val="single" w:sz="7" w:space="0" w:color="000000"/>
            </w:tcBorders>
          </w:tcPr>
          <w:p w14:paraId="4B480B23" w14:textId="3440CE40" w:rsidR="00693A5C" w:rsidRPr="008E3E1F" w:rsidRDefault="00693A5C" w:rsidP="00BF3645">
            <w:pPr>
              <w:pStyle w:val="TableParagraph"/>
              <w:spacing w:before="4"/>
              <w:ind w:left="-1"/>
              <w:rPr>
                <w:rFonts w:ascii="Times New Roman" w:eastAsia="Times New Roman" w:hAnsi="Times New Roman" w:cs="Times New Roman"/>
              </w:rPr>
            </w:pPr>
            <w:r w:rsidRPr="008E3E1F">
              <w:rPr>
                <w:rFonts w:ascii="Times New Roman" w:eastAsia="Times New Roman" w:hAnsi="Times New Roman" w:cs="Times New Roman"/>
              </w:rPr>
              <w:t>R</w:t>
            </w:r>
            <w:r w:rsidR="009225AA" w:rsidRPr="008E3E1F">
              <w:rPr>
                <w:rFonts w:ascii="Times New Roman" w:eastAsia="Times New Roman" w:hAnsi="Times New Roman" w:cs="Times New Roman"/>
              </w:rPr>
              <w:t>zadko</w:t>
            </w:r>
          </w:p>
        </w:tc>
        <w:tc>
          <w:tcPr>
            <w:tcW w:w="4536" w:type="dxa"/>
            <w:tcBorders>
              <w:top w:val="single" w:sz="7" w:space="0" w:color="000000"/>
              <w:left w:val="single" w:sz="7" w:space="0" w:color="000000"/>
              <w:bottom w:val="single" w:sz="7" w:space="0" w:color="000000"/>
              <w:right w:val="single" w:sz="7" w:space="0" w:color="000000"/>
            </w:tcBorders>
          </w:tcPr>
          <w:p w14:paraId="5A87E5C3" w14:textId="77777777" w:rsidR="009225AA" w:rsidRPr="008E3E1F" w:rsidRDefault="009225AA" w:rsidP="009225AA">
            <w:pPr>
              <w:pStyle w:val="TableParagraph"/>
              <w:spacing w:before="4" w:line="241" w:lineRule="auto"/>
              <w:ind w:left="-2" w:right="3145"/>
              <w:rPr>
                <w:rFonts w:ascii="Times New Roman" w:hAnsi="Times New Roman" w:cs="Times New Roman"/>
                <w:spacing w:val="-8"/>
                <w:lang w:val="pl-PL"/>
              </w:rPr>
            </w:pPr>
            <w:r w:rsidRPr="008E3E1F">
              <w:rPr>
                <w:rFonts w:ascii="Times New Roman" w:hAnsi="Times New Roman" w:cs="Times New Roman"/>
                <w:spacing w:val="-8"/>
                <w:lang w:val="pl-PL"/>
              </w:rPr>
              <w:t>Rozstępy skórne</w:t>
            </w:r>
          </w:p>
          <w:p w14:paraId="21C36AF3" w14:textId="2A865B5C" w:rsidR="00693A5C" w:rsidRPr="008E3E1F" w:rsidRDefault="009225AA" w:rsidP="009225AA">
            <w:pPr>
              <w:pStyle w:val="TableParagraph"/>
              <w:spacing w:before="4" w:line="241" w:lineRule="auto"/>
              <w:ind w:left="-2" w:right="118"/>
              <w:rPr>
                <w:rFonts w:ascii="Times New Roman" w:eastAsia="Times New Roman" w:hAnsi="Times New Roman" w:cs="Times New Roman"/>
                <w:lang w:val="pl-PL"/>
              </w:rPr>
            </w:pPr>
            <w:r w:rsidRPr="008E3E1F">
              <w:rPr>
                <w:rFonts w:ascii="Times New Roman" w:hAnsi="Times New Roman" w:cs="Times New Roman"/>
                <w:spacing w:val="-8"/>
                <w:lang w:val="pl-PL"/>
              </w:rPr>
              <w:t>Złuszczanie się skóry</w:t>
            </w:r>
          </w:p>
        </w:tc>
      </w:tr>
      <w:tr w:rsidR="00693A5C" w:rsidRPr="008E3E1F" w14:paraId="6C64DCBA" w14:textId="77777777" w:rsidTr="00BF3645">
        <w:trPr>
          <w:trHeight w:hRule="exact" w:val="271"/>
        </w:trPr>
        <w:tc>
          <w:tcPr>
            <w:tcW w:w="4551" w:type="dxa"/>
            <w:tcBorders>
              <w:top w:val="single" w:sz="7" w:space="0" w:color="000000"/>
              <w:left w:val="single" w:sz="7" w:space="0" w:color="000000"/>
              <w:bottom w:val="single" w:sz="7" w:space="0" w:color="000000"/>
              <w:right w:val="single" w:sz="7" w:space="0" w:color="000000"/>
            </w:tcBorders>
          </w:tcPr>
          <w:p w14:paraId="25752FFA" w14:textId="50641BF6" w:rsidR="00693A5C" w:rsidRPr="008E3E1F" w:rsidRDefault="009225AA" w:rsidP="00BF3645">
            <w:pPr>
              <w:pStyle w:val="TableParagraph"/>
              <w:spacing w:before="4" w:line="249" w:lineRule="exact"/>
              <w:ind w:left="-1"/>
              <w:rPr>
                <w:rFonts w:ascii="Times New Roman" w:eastAsia="Times New Roman" w:hAnsi="Times New Roman" w:cs="Times New Roman"/>
              </w:rPr>
            </w:pPr>
            <w:r w:rsidRPr="008E3E1F">
              <w:rPr>
                <w:rFonts w:ascii="Times New Roman" w:hAnsi="Times New Roman" w:cs="Times New Roman"/>
                <w:spacing w:val="-2"/>
              </w:rPr>
              <w:t>Nieznana</w:t>
            </w:r>
          </w:p>
        </w:tc>
        <w:tc>
          <w:tcPr>
            <w:tcW w:w="4536" w:type="dxa"/>
            <w:tcBorders>
              <w:top w:val="single" w:sz="7" w:space="0" w:color="000000"/>
              <w:left w:val="single" w:sz="7" w:space="0" w:color="000000"/>
              <w:bottom w:val="single" w:sz="7" w:space="0" w:color="000000"/>
              <w:right w:val="single" w:sz="7" w:space="0" w:color="000000"/>
            </w:tcBorders>
          </w:tcPr>
          <w:p w14:paraId="1BBE3E33" w14:textId="2F105474" w:rsidR="00693A5C" w:rsidRPr="008E3E1F" w:rsidRDefault="009225AA" w:rsidP="00BF3645">
            <w:pPr>
              <w:pStyle w:val="TableParagraph"/>
              <w:spacing w:before="4" w:line="249" w:lineRule="exact"/>
              <w:rPr>
                <w:rFonts w:ascii="Times New Roman" w:eastAsia="Times New Roman" w:hAnsi="Times New Roman" w:cs="Times New Roman"/>
              </w:rPr>
            </w:pPr>
            <w:r w:rsidRPr="008E3E1F">
              <w:rPr>
                <w:rFonts w:ascii="Times New Roman" w:hAnsi="Times New Roman" w:cs="Times New Roman"/>
                <w:spacing w:val="-3"/>
              </w:rPr>
              <w:t>Zmiany koloru włosów</w:t>
            </w:r>
            <w:r w:rsidR="00693A5C" w:rsidRPr="008E3E1F">
              <w:rPr>
                <w:rFonts w:ascii="Times New Roman" w:hAnsi="Times New Roman" w:cs="Times New Roman"/>
                <w:spacing w:val="-3"/>
              </w:rPr>
              <w:t>****</w:t>
            </w:r>
          </w:p>
        </w:tc>
      </w:tr>
      <w:tr w:rsidR="00693A5C" w:rsidRPr="008E3E1F" w14:paraId="3DFF9098" w14:textId="77777777" w:rsidTr="00BF3645">
        <w:trPr>
          <w:trHeight w:hRule="exact" w:val="270"/>
        </w:trPr>
        <w:tc>
          <w:tcPr>
            <w:tcW w:w="9087" w:type="dxa"/>
            <w:gridSpan w:val="2"/>
            <w:tcBorders>
              <w:top w:val="single" w:sz="7" w:space="0" w:color="000000"/>
              <w:left w:val="single" w:sz="7" w:space="0" w:color="000000"/>
              <w:bottom w:val="single" w:sz="7" w:space="0" w:color="000000"/>
              <w:right w:val="single" w:sz="7" w:space="0" w:color="000000"/>
            </w:tcBorders>
          </w:tcPr>
          <w:p w14:paraId="7474C03B" w14:textId="488FEE2F" w:rsidR="00693A5C" w:rsidRPr="008E3E1F" w:rsidRDefault="009225AA" w:rsidP="00BF3645">
            <w:pPr>
              <w:pStyle w:val="TableParagraph"/>
              <w:spacing w:before="3" w:line="249" w:lineRule="exact"/>
              <w:ind w:left="-1"/>
              <w:rPr>
                <w:rFonts w:ascii="Times New Roman" w:eastAsia="Times New Roman" w:hAnsi="Times New Roman" w:cs="Times New Roman"/>
                <w:b/>
                <w:bCs/>
                <w:lang w:val="pl-PL"/>
              </w:rPr>
            </w:pPr>
            <w:r w:rsidRPr="008E3E1F">
              <w:rPr>
                <w:rFonts w:ascii="Times New Roman" w:hAnsi="Times New Roman" w:cs="Times New Roman"/>
                <w:b/>
                <w:bCs/>
                <w:spacing w:val="-2"/>
                <w:lang w:val="pl-PL"/>
              </w:rPr>
              <w:lastRenderedPageBreak/>
              <w:t>Zaburzenia ogólne i stany w miejscu podania</w:t>
            </w:r>
          </w:p>
        </w:tc>
      </w:tr>
      <w:tr w:rsidR="00693A5C" w:rsidRPr="008E3E1F" w14:paraId="123C809E" w14:textId="77777777" w:rsidTr="00BF3645">
        <w:trPr>
          <w:trHeight w:hRule="exact" w:val="270"/>
        </w:trPr>
        <w:tc>
          <w:tcPr>
            <w:tcW w:w="4551" w:type="dxa"/>
            <w:tcBorders>
              <w:top w:val="single" w:sz="7" w:space="0" w:color="000000"/>
              <w:left w:val="single" w:sz="7" w:space="0" w:color="000000"/>
              <w:bottom w:val="single" w:sz="7" w:space="0" w:color="000000"/>
              <w:right w:val="single" w:sz="7" w:space="0" w:color="000000"/>
            </w:tcBorders>
          </w:tcPr>
          <w:p w14:paraId="105AE61F" w14:textId="1C60C741" w:rsidR="00693A5C" w:rsidRPr="008E3E1F" w:rsidRDefault="009225AA" w:rsidP="00BF3645">
            <w:pPr>
              <w:pStyle w:val="TableParagraph"/>
              <w:spacing w:before="4" w:line="249" w:lineRule="exact"/>
              <w:ind w:left="-1"/>
              <w:rPr>
                <w:rFonts w:ascii="Times New Roman" w:eastAsia="Times New Roman" w:hAnsi="Times New Roman" w:cs="Times New Roman"/>
              </w:rPr>
            </w:pPr>
            <w:r w:rsidRPr="008E3E1F">
              <w:rPr>
                <w:rFonts w:ascii="Times New Roman" w:eastAsia="Times New Roman" w:hAnsi="Times New Roman" w:cs="Times New Roman"/>
                <w:spacing w:val="-5"/>
              </w:rPr>
              <w:t>Niezbyt często</w:t>
            </w:r>
            <w:r w:rsidR="00693A5C" w:rsidRPr="008E3E1F">
              <w:rPr>
                <w:rFonts w:ascii="Times New Roman" w:eastAsia="Times New Roman" w:hAnsi="Times New Roman" w:cs="Times New Roman"/>
                <w:spacing w:val="29"/>
              </w:rPr>
              <w:t xml:space="preserve"> </w:t>
            </w:r>
          </w:p>
        </w:tc>
        <w:tc>
          <w:tcPr>
            <w:tcW w:w="4536" w:type="dxa"/>
            <w:tcBorders>
              <w:top w:val="single" w:sz="7" w:space="0" w:color="000000"/>
              <w:left w:val="single" w:sz="7" w:space="0" w:color="000000"/>
              <w:bottom w:val="single" w:sz="7" w:space="0" w:color="000000"/>
              <w:right w:val="single" w:sz="7" w:space="0" w:color="000000"/>
            </w:tcBorders>
          </w:tcPr>
          <w:p w14:paraId="0A3AF102" w14:textId="7C56105A" w:rsidR="00693A5C" w:rsidRPr="008E3E1F" w:rsidRDefault="009225AA" w:rsidP="00BF3645">
            <w:pPr>
              <w:pStyle w:val="TableParagraph"/>
              <w:spacing w:before="4" w:line="249" w:lineRule="exact"/>
              <w:ind w:left="-2"/>
              <w:rPr>
                <w:rFonts w:ascii="Times New Roman" w:eastAsia="Times New Roman" w:hAnsi="Times New Roman" w:cs="Times New Roman"/>
              </w:rPr>
            </w:pPr>
            <w:r w:rsidRPr="008E3E1F">
              <w:rPr>
                <w:rFonts w:ascii="Times New Roman" w:hAnsi="Times New Roman" w:cs="Times New Roman"/>
                <w:spacing w:val="-7"/>
              </w:rPr>
              <w:t>Ból w miejscu aplikacji</w:t>
            </w:r>
            <w:r w:rsidR="00693A5C" w:rsidRPr="008E3E1F">
              <w:rPr>
                <w:rFonts w:ascii="Times New Roman" w:hAnsi="Times New Roman" w:cs="Times New Roman"/>
                <w:spacing w:val="-7"/>
              </w:rPr>
              <w:t>*****</w:t>
            </w:r>
          </w:p>
        </w:tc>
      </w:tr>
      <w:tr w:rsidR="00693A5C" w:rsidRPr="008E3E1F" w14:paraId="2773FB8E" w14:textId="77777777" w:rsidTr="00BF3645">
        <w:trPr>
          <w:trHeight w:hRule="exact" w:val="270"/>
        </w:trPr>
        <w:tc>
          <w:tcPr>
            <w:tcW w:w="4551" w:type="dxa"/>
            <w:tcBorders>
              <w:top w:val="single" w:sz="7" w:space="0" w:color="000000"/>
              <w:left w:val="single" w:sz="7" w:space="0" w:color="000000"/>
              <w:bottom w:val="single" w:sz="7" w:space="0" w:color="000000"/>
              <w:right w:val="single" w:sz="7" w:space="0" w:color="000000"/>
            </w:tcBorders>
          </w:tcPr>
          <w:p w14:paraId="361EEB4A" w14:textId="68311A91" w:rsidR="00693A5C" w:rsidRPr="008E3E1F" w:rsidRDefault="00693A5C" w:rsidP="00BF3645">
            <w:pPr>
              <w:pStyle w:val="TableParagraph"/>
              <w:spacing w:before="3" w:line="249" w:lineRule="exact"/>
              <w:ind w:left="-1"/>
              <w:rPr>
                <w:rFonts w:ascii="Times New Roman" w:eastAsia="Times New Roman" w:hAnsi="Times New Roman" w:cs="Times New Roman"/>
              </w:rPr>
            </w:pPr>
            <w:r w:rsidRPr="008E3E1F">
              <w:rPr>
                <w:rFonts w:ascii="Times New Roman" w:eastAsia="Times New Roman" w:hAnsi="Times New Roman" w:cs="Times New Roman"/>
              </w:rPr>
              <w:t>R</w:t>
            </w:r>
            <w:r w:rsidR="009225AA" w:rsidRPr="008E3E1F">
              <w:rPr>
                <w:rFonts w:ascii="Times New Roman" w:eastAsia="Times New Roman" w:hAnsi="Times New Roman" w:cs="Times New Roman"/>
              </w:rPr>
              <w:t>zadko</w:t>
            </w:r>
          </w:p>
        </w:tc>
        <w:tc>
          <w:tcPr>
            <w:tcW w:w="4536" w:type="dxa"/>
            <w:tcBorders>
              <w:top w:val="single" w:sz="7" w:space="0" w:color="000000"/>
              <w:left w:val="single" w:sz="7" w:space="0" w:color="000000"/>
              <w:bottom w:val="single" w:sz="7" w:space="0" w:color="000000"/>
              <w:right w:val="single" w:sz="7" w:space="0" w:color="000000"/>
            </w:tcBorders>
          </w:tcPr>
          <w:p w14:paraId="7D03FBEF" w14:textId="77777777" w:rsidR="009225AA" w:rsidRPr="008E3E1F" w:rsidRDefault="009225AA" w:rsidP="009225AA">
            <w:pPr>
              <w:pStyle w:val="Default"/>
              <w:rPr>
                <w:rFonts w:ascii="Times New Roman" w:hAnsi="Times New Roman" w:cs="Times New Roman"/>
                <w:sz w:val="22"/>
                <w:szCs w:val="22"/>
              </w:rPr>
            </w:pPr>
            <w:r w:rsidRPr="008E3E1F">
              <w:rPr>
                <w:rFonts w:ascii="Times New Roman" w:hAnsi="Times New Roman" w:cs="Times New Roman"/>
                <w:sz w:val="22"/>
                <w:szCs w:val="22"/>
              </w:rPr>
              <w:t xml:space="preserve">Efekt z odbicia </w:t>
            </w:r>
          </w:p>
          <w:p w14:paraId="5B355112" w14:textId="3B4D5F97" w:rsidR="00693A5C" w:rsidRPr="008E3E1F" w:rsidRDefault="00693A5C" w:rsidP="00BF3645">
            <w:pPr>
              <w:pStyle w:val="TableParagraph"/>
              <w:spacing w:before="3" w:line="249" w:lineRule="exact"/>
              <w:ind w:left="-2"/>
              <w:rPr>
                <w:rFonts w:ascii="Times New Roman" w:eastAsia="Times New Roman" w:hAnsi="Times New Roman" w:cs="Times New Roman"/>
              </w:rPr>
            </w:pPr>
          </w:p>
        </w:tc>
      </w:tr>
    </w:tbl>
    <w:p w14:paraId="621C7A02" w14:textId="459FB283" w:rsidR="009225AA" w:rsidRPr="008E3E1F" w:rsidRDefault="009225AA" w:rsidP="009225AA">
      <w:pPr>
        <w:pStyle w:val="Default"/>
        <w:rPr>
          <w:sz w:val="22"/>
          <w:szCs w:val="22"/>
          <w:lang w:val="pl-PL"/>
        </w:rPr>
      </w:pPr>
      <w:r w:rsidRPr="008E3E1F">
        <w:rPr>
          <w:sz w:val="22"/>
          <w:szCs w:val="22"/>
          <w:lang w:val="pl-PL"/>
        </w:rPr>
        <w:t>*</w:t>
      </w:r>
      <w:r w:rsidRPr="008E3E1F">
        <w:rPr>
          <w:sz w:val="22"/>
          <w:szCs w:val="22"/>
          <w:lang w:val="pl-PL"/>
        </w:rPr>
        <w:tab/>
        <w:t xml:space="preserve">Raportowano infekcje skórne w tym bakteryjne, grzybicze i wirusowe. </w:t>
      </w:r>
    </w:p>
    <w:p w14:paraId="79817E08" w14:textId="13E17404" w:rsidR="009225AA" w:rsidRPr="008E3E1F" w:rsidRDefault="009225AA" w:rsidP="009225AA">
      <w:pPr>
        <w:pStyle w:val="Default"/>
        <w:rPr>
          <w:sz w:val="22"/>
          <w:szCs w:val="22"/>
          <w:lang w:val="pl-PL"/>
        </w:rPr>
      </w:pPr>
      <w:r w:rsidRPr="008E3E1F">
        <w:rPr>
          <w:sz w:val="22"/>
          <w:szCs w:val="22"/>
          <w:lang w:val="pl-PL"/>
        </w:rPr>
        <w:t xml:space="preserve">** </w:t>
      </w:r>
      <w:r w:rsidRPr="008E3E1F">
        <w:rPr>
          <w:sz w:val="22"/>
          <w:szCs w:val="22"/>
          <w:lang w:val="pl-PL"/>
        </w:rPr>
        <w:tab/>
        <w:t xml:space="preserve">Patrz także punkt 4.4 </w:t>
      </w:r>
    </w:p>
    <w:p w14:paraId="77CCFAE7" w14:textId="0BAAD057" w:rsidR="009225AA" w:rsidRPr="008E3E1F" w:rsidRDefault="009225AA" w:rsidP="009225AA">
      <w:pPr>
        <w:pStyle w:val="Default"/>
        <w:rPr>
          <w:sz w:val="22"/>
          <w:szCs w:val="22"/>
          <w:lang w:val="pl-PL"/>
        </w:rPr>
      </w:pPr>
      <w:r w:rsidRPr="008E3E1F">
        <w:rPr>
          <w:sz w:val="22"/>
          <w:szCs w:val="22"/>
          <w:lang w:val="pl-PL"/>
        </w:rPr>
        <w:t xml:space="preserve">*** </w:t>
      </w:r>
      <w:r w:rsidRPr="008E3E1F">
        <w:rPr>
          <w:sz w:val="22"/>
          <w:szCs w:val="22"/>
          <w:lang w:val="pl-PL"/>
        </w:rPr>
        <w:tab/>
        <w:t xml:space="preserve">Raportowano różnego </w:t>
      </w:r>
      <w:r w:rsidR="00FA0599" w:rsidRPr="008E3E1F">
        <w:rPr>
          <w:sz w:val="22"/>
          <w:szCs w:val="22"/>
          <w:lang w:val="pl-PL"/>
        </w:rPr>
        <w:t>rodzaju</w:t>
      </w:r>
      <w:r w:rsidRPr="008E3E1F">
        <w:rPr>
          <w:sz w:val="22"/>
          <w:szCs w:val="22"/>
          <w:lang w:val="pl-PL"/>
        </w:rPr>
        <w:t xml:space="preserve"> wysypki, takie jak rumieniowa i krostkowa. </w:t>
      </w:r>
    </w:p>
    <w:p w14:paraId="0DC275D1" w14:textId="05706F8E" w:rsidR="009225AA" w:rsidRPr="008E3E1F" w:rsidRDefault="009225AA" w:rsidP="009225AA">
      <w:pPr>
        <w:pStyle w:val="Default"/>
        <w:rPr>
          <w:sz w:val="22"/>
          <w:szCs w:val="22"/>
          <w:lang w:val="pl-PL"/>
        </w:rPr>
      </w:pPr>
      <w:r w:rsidRPr="008E3E1F">
        <w:rPr>
          <w:sz w:val="22"/>
          <w:szCs w:val="22"/>
          <w:lang w:val="pl-PL"/>
        </w:rPr>
        <w:t xml:space="preserve">**** </w:t>
      </w:r>
      <w:r w:rsidRPr="008E3E1F">
        <w:rPr>
          <w:sz w:val="22"/>
          <w:szCs w:val="22"/>
          <w:lang w:val="pl-PL"/>
        </w:rPr>
        <w:tab/>
        <w:t xml:space="preserve">Raportowano przemijające przebarwienia włosów w miejscu aplikacji na owłosionej skórze głowy do żółtawego koloru na białych lub siwych włosach. </w:t>
      </w:r>
    </w:p>
    <w:p w14:paraId="3687014F" w14:textId="45745794" w:rsidR="009225AA" w:rsidRPr="008E3E1F" w:rsidRDefault="009225AA" w:rsidP="009225AA">
      <w:pPr>
        <w:ind w:left="0" w:firstLine="0"/>
        <w:rPr>
          <w:szCs w:val="22"/>
        </w:rPr>
      </w:pPr>
      <w:r w:rsidRPr="008E3E1F">
        <w:rPr>
          <w:szCs w:val="22"/>
        </w:rPr>
        <w:t xml:space="preserve">***** </w:t>
      </w:r>
      <w:r w:rsidRPr="008E3E1F">
        <w:rPr>
          <w:szCs w:val="22"/>
        </w:rPr>
        <w:tab/>
        <w:t>Uczucie pieczenia w miejscu aplikacji, w tym ból w miejscu aplikacji.</w:t>
      </w:r>
    </w:p>
    <w:p w14:paraId="52FAB5FF" w14:textId="7724DB4A" w:rsidR="009225AA" w:rsidRPr="008E3E1F" w:rsidRDefault="009225AA" w:rsidP="009225AA">
      <w:pPr>
        <w:ind w:left="0" w:firstLine="0"/>
        <w:rPr>
          <w:szCs w:val="22"/>
        </w:rPr>
      </w:pPr>
    </w:p>
    <w:p w14:paraId="07FB0CDC" w14:textId="636DB5D4" w:rsidR="009225AA" w:rsidRPr="008E3E1F" w:rsidRDefault="009225AA" w:rsidP="009225AA">
      <w:pPr>
        <w:ind w:left="0" w:firstLine="0"/>
        <w:rPr>
          <w:szCs w:val="22"/>
        </w:rPr>
      </w:pPr>
      <w:r w:rsidRPr="008E3E1F">
        <w:rPr>
          <w:szCs w:val="22"/>
        </w:rPr>
        <w:t>Uważa się, że wymienione poniżej działania niepożądane są związane z grupą farmakologiczną odpowiednio kalcypotriolu i betametazonu:</w:t>
      </w:r>
    </w:p>
    <w:p w14:paraId="02E56FAB" w14:textId="77777777" w:rsidR="00403765" w:rsidRPr="008E3E1F" w:rsidRDefault="00403765" w:rsidP="009225AA">
      <w:pPr>
        <w:ind w:left="0" w:firstLine="0"/>
        <w:rPr>
          <w:szCs w:val="22"/>
        </w:rPr>
      </w:pPr>
    </w:p>
    <w:p w14:paraId="4528F63D" w14:textId="77777777" w:rsidR="009225AA" w:rsidRPr="008E3E1F" w:rsidRDefault="009225AA" w:rsidP="009225AA">
      <w:pPr>
        <w:ind w:left="0" w:firstLine="0"/>
        <w:rPr>
          <w:szCs w:val="22"/>
          <w:u w:val="single"/>
        </w:rPr>
      </w:pPr>
      <w:r w:rsidRPr="008E3E1F">
        <w:rPr>
          <w:szCs w:val="22"/>
          <w:u w:val="single"/>
        </w:rPr>
        <w:t>Kalcypotriol</w:t>
      </w:r>
    </w:p>
    <w:p w14:paraId="4F7B6357" w14:textId="36F9AAF2" w:rsidR="009225AA" w:rsidRPr="008E3E1F" w:rsidRDefault="009225AA" w:rsidP="009225AA">
      <w:pPr>
        <w:ind w:left="0" w:firstLine="0"/>
        <w:rPr>
          <w:szCs w:val="22"/>
        </w:rPr>
      </w:pPr>
      <w:r w:rsidRPr="008E3E1F">
        <w:rPr>
          <w:szCs w:val="22"/>
        </w:rPr>
        <w:t>Działania niepożądane obejmują reakcje w miejscu stosowania, świąd, podrażnienie skóry, pieczenie i uczucie kłucia, suchość skóry, rumień, wysypkę, zapalenie skóry, wyprysk, nasilenie łuszczycy, nadwrażliwość na światło oraz reakcje nadwrażliwości, w tym bardzo rzadkie przypadki obrzęku naczynioruchowego i obrzęku twarzy.</w:t>
      </w:r>
    </w:p>
    <w:p w14:paraId="231FC5C2" w14:textId="77777777" w:rsidR="00403765" w:rsidRPr="008E3E1F" w:rsidRDefault="00403765" w:rsidP="009225AA">
      <w:pPr>
        <w:ind w:left="0" w:firstLine="0"/>
        <w:rPr>
          <w:szCs w:val="22"/>
        </w:rPr>
      </w:pPr>
    </w:p>
    <w:p w14:paraId="4B9EF0FF" w14:textId="14F264AB" w:rsidR="009225AA" w:rsidRPr="008E3E1F" w:rsidRDefault="009225AA" w:rsidP="009225AA">
      <w:pPr>
        <w:ind w:left="0" w:firstLine="0"/>
        <w:rPr>
          <w:szCs w:val="22"/>
        </w:rPr>
      </w:pPr>
      <w:r w:rsidRPr="008E3E1F">
        <w:rPr>
          <w:szCs w:val="22"/>
        </w:rPr>
        <w:t>Działania układowe po zastosowaniu miejscowym mogą pojawiać się bardzo rzadko, powodując hiperkalcemię lub hiperkalciurię (patrz punkt 4.4).</w:t>
      </w:r>
    </w:p>
    <w:p w14:paraId="320CA8A6" w14:textId="77777777" w:rsidR="00403765" w:rsidRPr="008E3E1F" w:rsidRDefault="00403765" w:rsidP="009225AA">
      <w:pPr>
        <w:ind w:left="0" w:firstLine="0"/>
        <w:rPr>
          <w:szCs w:val="22"/>
        </w:rPr>
      </w:pPr>
    </w:p>
    <w:p w14:paraId="2B905229" w14:textId="77777777" w:rsidR="009225AA" w:rsidRPr="008E3E1F" w:rsidRDefault="009225AA" w:rsidP="009225AA">
      <w:pPr>
        <w:ind w:left="0" w:firstLine="0"/>
        <w:rPr>
          <w:szCs w:val="22"/>
        </w:rPr>
      </w:pPr>
      <w:r w:rsidRPr="008E3E1F">
        <w:rPr>
          <w:szCs w:val="22"/>
          <w:u w:val="single"/>
        </w:rPr>
        <w:t>Betametazon (w postaci dipropionianu</w:t>
      </w:r>
      <w:r w:rsidRPr="008E3E1F">
        <w:rPr>
          <w:szCs w:val="22"/>
        </w:rPr>
        <w:t>)</w:t>
      </w:r>
    </w:p>
    <w:p w14:paraId="5AACBB78" w14:textId="2AAEA872" w:rsidR="009225AA" w:rsidRPr="008E3E1F" w:rsidRDefault="009225AA" w:rsidP="009225AA">
      <w:pPr>
        <w:ind w:left="0" w:firstLine="0"/>
        <w:rPr>
          <w:szCs w:val="22"/>
        </w:rPr>
      </w:pPr>
      <w:r w:rsidRPr="008E3E1F">
        <w:rPr>
          <w:szCs w:val="22"/>
        </w:rPr>
        <w:t>Po zastosowaniu miejscowym produktu leczniczego mogą wystąpić reakcje miejscowe, zwłaszcza podczas długotrwałego stosowania, obejmujące zaniki skóry, teleangiektazje, rozstępy, zapalenie mieszków włosowych, nadmierne owłosienie, zapalenie okołowargowe, uczuleniowe kontaktowe zapalenie skóry, odbarwienia i prosaki koloidowe.</w:t>
      </w:r>
    </w:p>
    <w:p w14:paraId="0980E37A" w14:textId="77777777" w:rsidR="00403765" w:rsidRPr="008E3E1F" w:rsidRDefault="00403765" w:rsidP="009225AA">
      <w:pPr>
        <w:ind w:left="0" w:firstLine="0"/>
        <w:rPr>
          <w:szCs w:val="22"/>
        </w:rPr>
      </w:pPr>
    </w:p>
    <w:p w14:paraId="2FA0DCDC" w14:textId="30A36C6E" w:rsidR="009225AA" w:rsidRPr="008E3E1F" w:rsidRDefault="009225AA" w:rsidP="009225AA">
      <w:pPr>
        <w:ind w:left="0" w:firstLine="0"/>
        <w:rPr>
          <w:szCs w:val="22"/>
        </w:rPr>
      </w:pPr>
      <w:r w:rsidRPr="008E3E1F">
        <w:rPr>
          <w:szCs w:val="22"/>
        </w:rPr>
        <w:t>W trakcie leczenia łuszczycy kortykosteroidami do stosowania miejscowego istnieje ryzyko wystąpienia uogólnionej łuszczycy krostkowej.</w:t>
      </w:r>
    </w:p>
    <w:p w14:paraId="088378C7" w14:textId="77777777" w:rsidR="00403765" w:rsidRPr="008E3E1F" w:rsidRDefault="00403765" w:rsidP="009225AA">
      <w:pPr>
        <w:ind w:left="0" w:firstLine="0"/>
        <w:rPr>
          <w:szCs w:val="22"/>
        </w:rPr>
      </w:pPr>
    </w:p>
    <w:p w14:paraId="5BFD960D" w14:textId="4945BDD6" w:rsidR="009225AA" w:rsidRPr="008E3E1F" w:rsidRDefault="009225AA" w:rsidP="009225AA">
      <w:pPr>
        <w:ind w:left="0" w:firstLine="0"/>
        <w:rPr>
          <w:szCs w:val="22"/>
        </w:rPr>
      </w:pPr>
      <w:r w:rsidRPr="008E3E1F">
        <w:rPr>
          <w:szCs w:val="22"/>
        </w:rPr>
        <w:t>Reakcje układowe po miejscowym zastosowaniu kortykosteroidów występują u dorosłych rzadko, lecz mogą być ciężkie. Może wystąpić zahamowanie czynności kory nadnerczy, zaćma, zakażenia, wpływ na wyrównanie metaboliczne cukrzycy i wzrost ciśnienia w gałce ocznej, zwłaszcza po długotrwałym stosowaniu. Reakcje układowe występują częściej, jeżeli produkt leczniczy stosuje się pod opatrunkiem okluzyjnym (folia, fałdy skóry) albo kiedy stosowany jest długotrwale oraz na duże powierzchnie skóry (patrz punkt 4.4).</w:t>
      </w:r>
    </w:p>
    <w:p w14:paraId="7D2A8D6A" w14:textId="64800887" w:rsidR="009225AA" w:rsidRPr="008E3E1F" w:rsidRDefault="009225AA" w:rsidP="009225AA">
      <w:pPr>
        <w:ind w:left="0" w:firstLine="0"/>
        <w:rPr>
          <w:szCs w:val="22"/>
        </w:rPr>
      </w:pPr>
    </w:p>
    <w:p w14:paraId="450D98E1" w14:textId="77777777" w:rsidR="00403765" w:rsidRPr="008E3E1F" w:rsidRDefault="00403765" w:rsidP="00403765">
      <w:pPr>
        <w:pStyle w:val="Default"/>
        <w:rPr>
          <w:sz w:val="22"/>
          <w:szCs w:val="22"/>
          <w:u w:val="single"/>
          <w:lang w:val="pl-PL"/>
        </w:rPr>
      </w:pPr>
      <w:r w:rsidRPr="008E3E1F">
        <w:rPr>
          <w:sz w:val="22"/>
          <w:szCs w:val="22"/>
          <w:u w:val="single"/>
          <w:lang w:val="pl-PL"/>
        </w:rPr>
        <w:t xml:space="preserve">Dzieci i młodzież </w:t>
      </w:r>
    </w:p>
    <w:p w14:paraId="03C9FF17" w14:textId="77777777" w:rsidR="00403765" w:rsidRPr="008E3E1F" w:rsidRDefault="00403765" w:rsidP="00403765">
      <w:pPr>
        <w:ind w:left="0" w:firstLine="0"/>
        <w:rPr>
          <w:szCs w:val="22"/>
        </w:rPr>
      </w:pPr>
      <w:r w:rsidRPr="008E3E1F">
        <w:rPr>
          <w:szCs w:val="22"/>
        </w:rPr>
        <w:t xml:space="preserve">Nie zaobserwowano istotnych klinicznie różnic między profilami bezpieczeństwa w populacji dorosłych i młodzieży. </w:t>
      </w:r>
    </w:p>
    <w:p w14:paraId="1ED407F9" w14:textId="6F46A237" w:rsidR="009225AA" w:rsidRPr="008E3E1F" w:rsidRDefault="00403765" w:rsidP="00403765">
      <w:pPr>
        <w:ind w:left="0" w:firstLine="0"/>
        <w:rPr>
          <w:szCs w:val="22"/>
        </w:rPr>
      </w:pPr>
      <w:r w:rsidRPr="008E3E1F">
        <w:rPr>
          <w:szCs w:val="22"/>
        </w:rPr>
        <w:t>W trzech otwartych badaniach klinicznych leczono łącznie 216 nastolatków. Więcej informacji na temat badań znajduje się w punkcie 5.1</w:t>
      </w:r>
    </w:p>
    <w:p w14:paraId="12494286" w14:textId="77777777" w:rsidR="00403765" w:rsidRPr="008E3E1F" w:rsidRDefault="00403765" w:rsidP="00403765">
      <w:pPr>
        <w:ind w:left="0" w:firstLine="0"/>
        <w:rPr>
          <w:noProof/>
          <w:szCs w:val="22"/>
          <w:u w:val="single"/>
        </w:rPr>
      </w:pPr>
    </w:p>
    <w:p w14:paraId="41189723" w14:textId="77777777" w:rsidR="006C0D43" w:rsidRPr="008E3E1F" w:rsidRDefault="005355BC" w:rsidP="006C0D43">
      <w:pPr>
        <w:rPr>
          <w:u w:val="single"/>
        </w:rPr>
      </w:pPr>
      <w:r w:rsidRPr="008E3E1F">
        <w:rPr>
          <w:u w:val="single"/>
        </w:rPr>
        <w:t>Zgłaszanie podejrzewanych działań niepożądanych</w:t>
      </w:r>
    </w:p>
    <w:p w14:paraId="736D3A59" w14:textId="0212B5D8" w:rsidR="00403765" w:rsidRPr="008E3E1F" w:rsidRDefault="005355BC" w:rsidP="00403765">
      <w:pPr>
        <w:ind w:left="0" w:firstLine="0"/>
        <w:rPr>
          <w:rFonts w:eastAsia="Calibri"/>
          <w:bCs/>
          <w:szCs w:val="22"/>
          <w:lang w:eastAsia="zh-CN"/>
        </w:rPr>
      </w:pPr>
      <w:r w:rsidRPr="008E3E1F">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00403765" w:rsidRPr="008E3E1F">
        <w:rPr>
          <w:rFonts w:eastAsia="Calibri"/>
          <w:bCs/>
          <w:szCs w:val="22"/>
          <w:lang w:eastAsia="zh-CN"/>
        </w:rPr>
        <w:t>Departamentu Monitorowania Niepożądanych Działań Produktów Leczniczych Urzędu Rejestracji Produktów Leczniczych, Wyrobów Medycznych i Produktów Biobójczych</w:t>
      </w:r>
    </w:p>
    <w:p w14:paraId="40644A90" w14:textId="77777777" w:rsidR="00403765" w:rsidRPr="008E3E1F" w:rsidRDefault="00403765" w:rsidP="00403765">
      <w:pPr>
        <w:rPr>
          <w:szCs w:val="22"/>
        </w:rPr>
      </w:pPr>
      <w:r w:rsidRPr="008E3E1F">
        <w:rPr>
          <w:rFonts w:eastAsia="Calibri"/>
          <w:bCs/>
          <w:szCs w:val="22"/>
          <w:lang w:eastAsia="zh-CN"/>
        </w:rPr>
        <w:t xml:space="preserve">Al. Jerozolimskie </w:t>
      </w:r>
      <w:smartTag w:uri="urn:schemas-microsoft-com:office:smarttags" w:element="metricconverter">
        <w:smartTagPr>
          <w:attr w:name="ProductID" w:val="181C"/>
        </w:smartTagPr>
        <w:r w:rsidRPr="008E3E1F">
          <w:rPr>
            <w:rFonts w:eastAsia="Calibri"/>
            <w:bCs/>
            <w:szCs w:val="22"/>
            <w:lang w:eastAsia="zh-CN"/>
          </w:rPr>
          <w:t xml:space="preserve">181C </w:t>
        </w:r>
      </w:smartTag>
    </w:p>
    <w:p w14:paraId="628D553F" w14:textId="39AC35BC" w:rsidR="00403765" w:rsidRPr="008E3E1F" w:rsidRDefault="00403765" w:rsidP="00403765">
      <w:pPr>
        <w:rPr>
          <w:rFonts w:eastAsia="Calibri"/>
          <w:bCs/>
          <w:szCs w:val="22"/>
          <w:lang w:eastAsia="zh-CN"/>
        </w:rPr>
      </w:pPr>
      <w:r w:rsidRPr="008E3E1F">
        <w:rPr>
          <w:rFonts w:eastAsia="Calibri"/>
          <w:bCs/>
          <w:szCs w:val="22"/>
          <w:lang w:eastAsia="zh-CN"/>
        </w:rPr>
        <w:t>02</w:t>
      </w:r>
      <w:r w:rsidR="00160E76" w:rsidRPr="008E3E1F">
        <w:rPr>
          <w:rFonts w:eastAsia="Calibri"/>
          <w:bCs/>
          <w:szCs w:val="22"/>
          <w:lang w:eastAsia="zh-CN"/>
        </w:rPr>
        <w:t xml:space="preserve"> - </w:t>
      </w:r>
      <w:r w:rsidRPr="008E3E1F">
        <w:rPr>
          <w:rFonts w:eastAsia="Calibri"/>
          <w:bCs/>
          <w:szCs w:val="22"/>
          <w:lang w:eastAsia="zh-CN"/>
        </w:rPr>
        <w:t>222 Warszawa</w:t>
      </w:r>
    </w:p>
    <w:p w14:paraId="630C310B" w14:textId="77777777" w:rsidR="00403765" w:rsidRPr="008E3E1F" w:rsidRDefault="00403765" w:rsidP="00403765">
      <w:pPr>
        <w:rPr>
          <w:rFonts w:eastAsia="Calibri"/>
          <w:bCs/>
          <w:szCs w:val="22"/>
          <w:lang w:eastAsia="zh-CN"/>
        </w:rPr>
      </w:pPr>
      <w:r w:rsidRPr="008E3E1F">
        <w:rPr>
          <w:rFonts w:eastAsia="Calibri"/>
          <w:bCs/>
          <w:szCs w:val="22"/>
          <w:lang w:eastAsia="zh-CN"/>
        </w:rPr>
        <w:t>Tel.: + 48 22 49 21 301</w:t>
      </w:r>
    </w:p>
    <w:p w14:paraId="65C2670F" w14:textId="77777777" w:rsidR="00403765" w:rsidRPr="008E3E1F" w:rsidRDefault="00403765" w:rsidP="00403765">
      <w:pPr>
        <w:rPr>
          <w:rFonts w:eastAsia="Calibri"/>
          <w:bCs/>
          <w:szCs w:val="22"/>
          <w:lang w:eastAsia="zh-CN"/>
        </w:rPr>
      </w:pPr>
      <w:r w:rsidRPr="008E3E1F">
        <w:rPr>
          <w:rFonts w:eastAsia="Calibri"/>
          <w:bCs/>
          <w:szCs w:val="22"/>
          <w:lang w:eastAsia="zh-CN"/>
        </w:rPr>
        <w:t>Faks: + 48 22 49 21 309</w:t>
      </w:r>
    </w:p>
    <w:p w14:paraId="6DF89226" w14:textId="72CE4237" w:rsidR="00403765" w:rsidRPr="008E3E1F" w:rsidRDefault="00356391" w:rsidP="00403765">
      <w:pPr>
        <w:rPr>
          <w:rStyle w:val="Hipercze"/>
          <w:rFonts w:eastAsia="Calibri"/>
          <w:bCs/>
          <w:szCs w:val="22"/>
          <w:lang w:eastAsia="zh-CN"/>
        </w:rPr>
      </w:pPr>
      <w:hyperlink r:id="rId10" w:history="1"/>
      <w:r w:rsidR="00403765" w:rsidRPr="008E3E1F">
        <w:rPr>
          <w:rFonts w:eastAsia="Calibri"/>
          <w:bCs/>
          <w:szCs w:val="22"/>
          <w:lang w:eastAsia="zh-CN"/>
        </w:rPr>
        <w:t>Strona internetowa: </w:t>
      </w:r>
      <w:hyperlink r:id="rId11" w:history="1">
        <w:r w:rsidR="00403765" w:rsidRPr="008E3E1F">
          <w:rPr>
            <w:rStyle w:val="Hipercze"/>
            <w:rFonts w:eastAsia="Calibri"/>
            <w:bCs/>
            <w:szCs w:val="22"/>
            <w:lang w:eastAsia="zh-CN"/>
          </w:rPr>
          <w:t>https://smz.ezdrowie.gov.pl</w:t>
        </w:r>
      </w:hyperlink>
    </w:p>
    <w:p w14:paraId="6DCF32C9" w14:textId="65F5F77E" w:rsidR="00BA18D5" w:rsidRPr="008E3E1F" w:rsidRDefault="00BA18D5" w:rsidP="00403765">
      <w:pPr>
        <w:rPr>
          <w:rStyle w:val="Hipercze"/>
          <w:rFonts w:eastAsia="Calibri"/>
          <w:bCs/>
          <w:color w:val="auto"/>
          <w:szCs w:val="22"/>
          <w:u w:val="none"/>
          <w:lang w:eastAsia="zh-CN"/>
        </w:rPr>
      </w:pPr>
      <w:r w:rsidRPr="008E3E1F">
        <w:rPr>
          <w:rStyle w:val="Hipercze"/>
          <w:rFonts w:eastAsia="Calibri"/>
          <w:bCs/>
          <w:color w:val="auto"/>
          <w:szCs w:val="22"/>
          <w:u w:val="none"/>
          <w:lang w:eastAsia="zh-CN"/>
        </w:rPr>
        <w:t>Dz</w:t>
      </w:r>
      <w:r w:rsidR="003E4890" w:rsidRPr="008E3E1F">
        <w:rPr>
          <w:rStyle w:val="Hipercze"/>
          <w:rFonts w:eastAsia="Calibri"/>
          <w:bCs/>
          <w:color w:val="auto"/>
          <w:szCs w:val="22"/>
          <w:u w:val="none"/>
          <w:lang w:eastAsia="zh-CN"/>
        </w:rPr>
        <w:t>iałania niepożądane można zgłaszać również podmiotowi odpowiedzialnemu.</w:t>
      </w:r>
    </w:p>
    <w:p w14:paraId="527232C6" w14:textId="77777777" w:rsidR="00403765" w:rsidRPr="008E3E1F" w:rsidRDefault="00403765" w:rsidP="00403765">
      <w:pPr>
        <w:rPr>
          <w:rFonts w:eastAsia="Calibri"/>
          <w:bCs/>
          <w:szCs w:val="22"/>
          <w:lang w:eastAsia="zh-CN"/>
        </w:rPr>
      </w:pPr>
    </w:p>
    <w:p w14:paraId="64CD0CA9" w14:textId="77777777" w:rsidR="00A65887" w:rsidRPr="008E3E1F" w:rsidRDefault="005355BC" w:rsidP="006D5855">
      <w:pPr>
        <w:rPr>
          <w:b/>
        </w:rPr>
      </w:pPr>
      <w:r w:rsidRPr="008E3E1F">
        <w:rPr>
          <w:b/>
        </w:rPr>
        <w:t>4.9</w:t>
      </w:r>
      <w:r w:rsidRPr="008E3E1F">
        <w:rPr>
          <w:b/>
        </w:rPr>
        <w:tab/>
        <w:t>Przedawkowanie</w:t>
      </w:r>
    </w:p>
    <w:p w14:paraId="296BA733" w14:textId="77777777" w:rsidR="00A65887" w:rsidRPr="008E3E1F" w:rsidRDefault="00A65887" w:rsidP="006D5855"/>
    <w:p w14:paraId="7E9D7937" w14:textId="12D8FAE5" w:rsidR="00403765" w:rsidRPr="008E3E1F" w:rsidRDefault="00403765" w:rsidP="00403765">
      <w:pPr>
        <w:pStyle w:val="Default"/>
        <w:rPr>
          <w:sz w:val="22"/>
          <w:szCs w:val="22"/>
          <w:lang w:val="pl-PL"/>
        </w:rPr>
      </w:pPr>
      <w:r w:rsidRPr="008E3E1F">
        <w:rPr>
          <w:sz w:val="22"/>
          <w:szCs w:val="22"/>
          <w:lang w:val="pl-PL"/>
        </w:rPr>
        <w:t>Stosowanie dawek większych niż zalecane może prowadzić do nadmiernego zwiększenia stężenia wapnia w surowicy, które po przerwaniu stosowania produktu leczniczego powraca do wartości prawidłowych. Do objawów hiperkalcemii należą poliuria, zaparcia, osłabienie mięśni, zaburzenia orientacji i śpiączka.</w:t>
      </w:r>
    </w:p>
    <w:p w14:paraId="291DE2F5" w14:textId="77777777" w:rsidR="00403765" w:rsidRPr="008E3E1F" w:rsidRDefault="00403765" w:rsidP="00403765">
      <w:pPr>
        <w:pStyle w:val="Default"/>
        <w:rPr>
          <w:sz w:val="22"/>
          <w:szCs w:val="22"/>
          <w:lang w:val="pl-PL"/>
        </w:rPr>
      </w:pPr>
    </w:p>
    <w:p w14:paraId="7A4041DE" w14:textId="7A989A95" w:rsidR="00403765" w:rsidRPr="008E3E1F" w:rsidRDefault="00403765" w:rsidP="00403765">
      <w:pPr>
        <w:pStyle w:val="Default"/>
        <w:rPr>
          <w:sz w:val="22"/>
          <w:szCs w:val="22"/>
          <w:lang w:val="pl-PL"/>
        </w:rPr>
      </w:pPr>
      <w:r w:rsidRPr="008E3E1F">
        <w:rPr>
          <w:sz w:val="22"/>
          <w:szCs w:val="22"/>
          <w:lang w:val="pl-PL"/>
        </w:rPr>
        <w:t xml:space="preserve">Długotrwałe miejscowe stosowanie kortykosteroidów może hamować czynność osi przysadka - nadnercza, co prowadzi do zwykle odwracalnej wtórnej niewydolności nadnerczy. W takich przypadkach wskazane jest leczenie objawowe. </w:t>
      </w:r>
    </w:p>
    <w:p w14:paraId="4B6F2E34" w14:textId="77777777" w:rsidR="00403765" w:rsidRPr="008E3E1F" w:rsidRDefault="00403765" w:rsidP="00403765">
      <w:pPr>
        <w:pStyle w:val="Default"/>
        <w:rPr>
          <w:sz w:val="22"/>
          <w:szCs w:val="22"/>
          <w:lang w:val="pl-PL"/>
        </w:rPr>
      </w:pPr>
    </w:p>
    <w:p w14:paraId="0E2BCA7A" w14:textId="034C6646" w:rsidR="00403765" w:rsidRPr="008E3E1F" w:rsidRDefault="00403765" w:rsidP="00403765">
      <w:pPr>
        <w:pStyle w:val="Default"/>
        <w:rPr>
          <w:sz w:val="22"/>
          <w:szCs w:val="22"/>
          <w:lang w:val="pl-PL"/>
        </w:rPr>
      </w:pPr>
      <w:r w:rsidRPr="008E3E1F">
        <w:rPr>
          <w:sz w:val="22"/>
          <w:szCs w:val="22"/>
          <w:lang w:val="pl-PL"/>
        </w:rPr>
        <w:t xml:space="preserve">W razie przewlekłego zatrucia leczenie kortykosteroidami należy odstawiać stopniowo. </w:t>
      </w:r>
    </w:p>
    <w:p w14:paraId="24FC35B1" w14:textId="77777777" w:rsidR="00403765" w:rsidRPr="008E3E1F" w:rsidRDefault="00403765" w:rsidP="00403765">
      <w:pPr>
        <w:pStyle w:val="Default"/>
        <w:rPr>
          <w:sz w:val="22"/>
          <w:szCs w:val="22"/>
          <w:lang w:val="pl-PL"/>
        </w:rPr>
      </w:pPr>
    </w:p>
    <w:p w14:paraId="14C15072" w14:textId="3299AAFB" w:rsidR="00A65887" w:rsidRPr="008E3E1F" w:rsidRDefault="00403765" w:rsidP="00403765">
      <w:pPr>
        <w:ind w:left="0" w:firstLine="0"/>
      </w:pPr>
      <w:r w:rsidRPr="008E3E1F">
        <w:rPr>
          <w:szCs w:val="22"/>
        </w:rPr>
        <w:t xml:space="preserve">U jednego z pacjentów z rozległą erytrodermią łuszczycową, u którego omyłkowo zastosowano </w:t>
      </w:r>
      <w:r w:rsidRPr="008E3E1F">
        <w:t>maść</w:t>
      </w:r>
      <w:r w:rsidR="00AD7D07" w:rsidRPr="008E3E1F">
        <w:t xml:space="preserve"> zawierającą</w:t>
      </w:r>
      <w:r w:rsidRPr="008E3E1F">
        <w:t xml:space="preserve"> </w:t>
      </w:r>
      <w:bookmarkStart w:id="2" w:name="_Hlk69735637"/>
      <w:r w:rsidRPr="008E3E1F">
        <w:t>kalcypotriol + betametazon</w:t>
      </w:r>
      <w:r w:rsidR="006920BB" w:rsidRPr="008E3E1F">
        <w:t>,</w:t>
      </w:r>
      <w:r w:rsidRPr="008E3E1F">
        <w:t xml:space="preserve"> 50 mikrogramów/g + 0,5 mg/g </w:t>
      </w:r>
      <w:bookmarkEnd w:id="2"/>
      <w:r w:rsidRPr="008E3E1F">
        <w:rPr>
          <w:szCs w:val="22"/>
        </w:rPr>
        <w:t>w ilości 240 g na tydzień (co odpowiada dobowej dawce wynoszącej około 34 g) przez 5 miesięcy (maksymalna zalecana dawka wynosi 15 g na dobę), wystąpił w trakcie leczenia zespół Cushinga oraz łuszczyca krostkowa po nagłym przerwaniu leczenia.</w:t>
      </w:r>
    </w:p>
    <w:p w14:paraId="5737D8BD" w14:textId="77777777" w:rsidR="00A65887" w:rsidRPr="008E3E1F" w:rsidRDefault="00A65887" w:rsidP="006D5855"/>
    <w:p w14:paraId="1482B4C3" w14:textId="77777777" w:rsidR="00A65887" w:rsidRPr="008E3E1F" w:rsidRDefault="005355BC" w:rsidP="006D5855">
      <w:pPr>
        <w:rPr>
          <w:b/>
        </w:rPr>
      </w:pPr>
      <w:r w:rsidRPr="008E3E1F">
        <w:rPr>
          <w:b/>
        </w:rPr>
        <w:t>5.</w:t>
      </w:r>
      <w:r w:rsidRPr="008E3E1F">
        <w:rPr>
          <w:b/>
        </w:rPr>
        <w:tab/>
        <w:t>WŁAŚCIWOŚCI FARMAKOLOGICZNE</w:t>
      </w:r>
    </w:p>
    <w:p w14:paraId="755D581B" w14:textId="77777777" w:rsidR="00A65887" w:rsidRPr="008E3E1F" w:rsidRDefault="00A65887" w:rsidP="006D5855"/>
    <w:p w14:paraId="1909F7A7" w14:textId="77777777" w:rsidR="00A65887" w:rsidRPr="008E3E1F" w:rsidRDefault="005355BC" w:rsidP="006D5855">
      <w:pPr>
        <w:rPr>
          <w:b/>
        </w:rPr>
      </w:pPr>
      <w:r w:rsidRPr="008E3E1F">
        <w:rPr>
          <w:b/>
        </w:rPr>
        <w:t>5.1</w:t>
      </w:r>
      <w:r w:rsidRPr="008E3E1F">
        <w:rPr>
          <w:b/>
        </w:rPr>
        <w:tab/>
        <w:t>Właściwości farmakodynamiczne</w:t>
      </w:r>
    </w:p>
    <w:p w14:paraId="2E6E6E40" w14:textId="77777777" w:rsidR="00A65887" w:rsidRPr="008E3E1F" w:rsidRDefault="00A65887" w:rsidP="006D5855"/>
    <w:p w14:paraId="18203418" w14:textId="284207C9" w:rsidR="00BF3645" w:rsidRPr="008E3E1F" w:rsidRDefault="00BF3645" w:rsidP="00BF3645">
      <w:pPr>
        <w:pStyle w:val="Default"/>
        <w:rPr>
          <w:sz w:val="22"/>
          <w:szCs w:val="22"/>
          <w:lang w:val="pl-PL"/>
        </w:rPr>
      </w:pPr>
      <w:r w:rsidRPr="008E3E1F">
        <w:rPr>
          <w:sz w:val="22"/>
          <w:szCs w:val="22"/>
          <w:lang w:val="pl-PL"/>
        </w:rPr>
        <w:t xml:space="preserve">Grupa farmakoterapeutyczna: leki przeciwłuszczycowe; inne leki przeciwłuszczycowe do stosowania miejscowego; kalcypotriol w produktach złożonych, kod ATC: D05AX52 </w:t>
      </w:r>
    </w:p>
    <w:p w14:paraId="083163A5" w14:textId="77777777" w:rsidR="00BF3645" w:rsidRPr="008E3E1F" w:rsidRDefault="00BF3645" w:rsidP="00BF3645">
      <w:pPr>
        <w:pStyle w:val="Default"/>
        <w:rPr>
          <w:sz w:val="22"/>
          <w:szCs w:val="22"/>
          <w:lang w:val="pl-PL"/>
        </w:rPr>
      </w:pPr>
    </w:p>
    <w:p w14:paraId="267B4806" w14:textId="69C85834" w:rsidR="00BF3645" w:rsidRPr="008E3E1F" w:rsidRDefault="00BF3645" w:rsidP="00BF3645">
      <w:pPr>
        <w:pStyle w:val="Default"/>
        <w:rPr>
          <w:sz w:val="22"/>
          <w:szCs w:val="22"/>
          <w:lang w:val="pl-PL"/>
        </w:rPr>
      </w:pPr>
      <w:r w:rsidRPr="008E3E1F">
        <w:rPr>
          <w:sz w:val="22"/>
          <w:szCs w:val="22"/>
          <w:lang w:val="pl-PL"/>
        </w:rPr>
        <w:t xml:space="preserve">Kalcypotriol jest analogiem witaminy D. Dane z badań </w:t>
      </w:r>
      <w:r w:rsidRPr="008E3E1F">
        <w:rPr>
          <w:i/>
          <w:iCs/>
          <w:sz w:val="22"/>
          <w:szCs w:val="22"/>
          <w:lang w:val="pl-PL"/>
        </w:rPr>
        <w:t xml:space="preserve">in vitro </w:t>
      </w:r>
      <w:r w:rsidRPr="008E3E1F">
        <w:rPr>
          <w:sz w:val="22"/>
          <w:szCs w:val="22"/>
          <w:lang w:val="pl-PL"/>
        </w:rPr>
        <w:t xml:space="preserve">wskazują, że kalcypotriol indukuje zróżnicowanie keratynocytów oraz hamuje ich proliferację. Sugerowana jest taka podstawa jego działania w leczeniu łuszczycy. </w:t>
      </w:r>
    </w:p>
    <w:p w14:paraId="45ECA39F" w14:textId="77777777" w:rsidR="00BF3645" w:rsidRPr="008E3E1F" w:rsidRDefault="00BF3645" w:rsidP="00BF3645">
      <w:pPr>
        <w:pStyle w:val="Default"/>
        <w:rPr>
          <w:sz w:val="22"/>
          <w:szCs w:val="22"/>
          <w:lang w:val="pl-PL"/>
        </w:rPr>
      </w:pPr>
    </w:p>
    <w:p w14:paraId="5557C9FC" w14:textId="249C681F" w:rsidR="00850185" w:rsidRPr="008E3E1F" w:rsidRDefault="00DB58DE" w:rsidP="00BF3645">
      <w:pPr>
        <w:ind w:left="0" w:firstLine="0"/>
        <w:rPr>
          <w:szCs w:val="22"/>
        </w:rPr>
      </w:pPr>
      <w:r w:rsidRPr="008E3E1F">
        <w:rPr>
          <w:szCs w:val="22"/>
        </w:rPr>
        <w:t>Betametazonu d</w:t>
      </w:r>
      <w:r w:rsidR="00BF3645" w:rsidRPr="008E3E1F">
        <w:rPr>
          <w:szCs w:val="22"/>
        </w:rPr>
        <w:t>ipropionian, podobnie jak inne kortykosteroidy, działa miejscowo przeciwzapalnie, przeciwświądowo, zwężająco na naczynia krwionośne oraz immunosupresyjnie, jednak nie leczy choroby podstawowej. Opatrunek okluzyjny może nasilać jego działanie ze względu na zwiększenie przenikania produktu leczniczego przez warstwę rogową. W związku z tym następuje zwiększenie częstości występowania działań niepożądanych. Mechanizm działania przeciwzapalnego steroidów stosowanych miejscowo, ogólnie biorąc, nie jest jasny.</w:t>
      </w:r>
    </w:p>
    <w:p w14:paraId="2424B8A4" w14:textId="2FCC35E9" w:rsidR="00BF3645" w:rsidRPr="008E3E1F" w:rsidRDefault="00BF3645" w:rsidP="00BF3645">
      <w:pPr>
        <w:ind w:left="0" w:firstLine="0"/>
        <w:rPr>
          <w:szCs w:val="22"/>
        </w:rPr>
      </w:pPr>
    </w:p>
    <w:p w14:paraId="22655388" w14:textId="1F532071" w:rsidR="00BF3645" w:rsidRPr="008E3E1F" w:rsidRDefault="00BF3645" w:rsidP="00BF3645">
      <w:pPr>
        <w:pStyle w:val="Default"/>
        <w:rPr>
          <w:sz w:val="22"/>
          <w:szCs w:val="22"/>
          <w:lang w:val="pl-PL"/>
        </w:rPr>
      </w:pPr>
      <w:r w:rsidRPr="008E3E1F">
        <w:rPr>
          <w:sz w:val="22"/>
          <w:szCs w:val="22"/>
          <w:lang w:val="pl-PL"/>
        </w:rPr>
        <w:t xml:space="preserve">Odpowiedź nadnerczy na działanie ACTH określono poprzez pomiar stężenia kortyzolu w surowicy krwi u pacjentów zarówno z rozległą łuszczycą owłosionej skóry głowy, jak i tułowia stosując </w:t>
      </w:r>
      <w:r w:rsidR="005A5277" w:rsidRPr="008E3E1F">
        <w:rPr>
          <w:sz w:val="22"/>
          <w:szCs w:val="22"/>
          <w:lang w:val="pl-PL"/>
        </w:rPr>
        <w:t>skojarzenie</w:t>
      </w:r>
      <w:r w:rsidRPr="008E3E1F">
        <w:rPr>
          <w:sz w:val="22"/>
          <w:szCs w:val="22"/>
          <w:lang w:val="pl-PL"/>
        </w:rPr>
        <w:t xml:space="preserve"> produktów leczniczych </w:t>
      </w:r>
      <w:r w:rsidR="003E4890" w:rsidRPr="008E3E1F">
        <w:rPr>
          <w:sz w:val="22"/>
          <w:szCs w:val="22"/>
          <w:lang w:val="pl-PL"/>
        </w:rPr>
        <w:t xml:space="preserve">zawierających </w:t>
      </w:r>
      <w:r w:rsidRPr="008E3E1F">
        <w:rPr>
          <w:sz w:val="22"/>
          <w:szCs w:val="22"/>
          <w:lang w:val="pl-PL"/>
        </w:rPr>
        <w:t>kalcypotriol + betametazon</w:t>
      </w:r>
      <w:r w:rsidR="0075566D" w:rsidRPr="008E3E1F">
        <w:rPr>
          <w:sz w:val="22"/>
          <w:szCs w:val="22"/>
          <w:lang w:val="pl-PL"/>
        </w:rPr>
        <w:t>,</w:t>
      </w:r>
      <w:r w:rsidRPr="008E3E1F">
        <w:rPr>
          <w:sz w:val="22"/>
          <w:szCs w:val="22"/>
          <w:lang w:val="pl-PL"/>
        </w:rPr>
        <w:t xml:space="preserve"> 50 mikrogramów/g + 0,5 mg/g </w:t>
      </w:r>
      <w:r w:rsidR="005A5277" w:rsidRPr="008E3E1F">
        <w:rPr>
          <w:sz w:val="22"/>
          <w:szCs w:val="22"/>
          <w:lang w:val="pl-PL"/>
        </w:rPr>
        <w:t xml:space="preserve">w postaci </w:t>
      </w:r>
      <w:r w:rsidRPr="008E3E1F">
        <w:rPr>
          <w:sz w:val="22"/>
          <w:szCs w:val="22"/>
          <w:lang w:val="pl-PL"/>
        </w:rPr>
        <w:t>żel</w:t>
      </w:r>
      <w:r w:rsidR="005A5277" w:rsidRPr="008E3E1F">
        <w:rPr>
          <w:sz w:val="22"/>
          <w:szCs w:val="22"/>
          <w:lang w:val="pl-PL"/>
        </w:rPr>
        <w:t>u</w:t>
      </w:r>
      <w:r w:rsidRPr="008E3E1F">
        <w:rPr>
          <w:sz w:val="22"/>
          <w:szCs w:val="22"/>
          <w:lang w:val="pl-PL"/>
        </w:rPr>
        <w:t xml:space="preserve"> i kalcypotriol + betametazon</w:t>
      </w:r>
      <w:r w:rsidR="0075566D" w:rsidRPr="008E3E1F">
        <w:rPr>
          <w:sz w:val="22"/>
          <w:szCs w:val="22"/>
          <w:lang w:val="pl-PL"/>
        </w:rPr>
        <w:t>,</w:t>
      </w:r>
      <w:r w:rsidRPr="008E3E1F">
        <w:rPr>
          <w:sz w:val="22"/>
          <w:szCs w:val="22"/>
          <w:lang w:val="pl-PL"/>
        </w:rPr>
        <w:t xml:space="preserve"> 50 mikrogramów/g + 0,5 mg/g </w:t>
      </w:r>
      <w:r w:rsidR="005A5277" w:rsidRPr="008E3E1F">
        <w:rPr>
          <w:sz w:val="22"/>
          <w:szCs w:val="22"/>
          <w:lang w:val="pl-PL"/>
        </w:rPr>
        <w:t xml:space="preserve">w postaci </w:t>
      </w:r>
      <w:r w:rsidRPr="008E3E1F">
        <w:rPr>
          <w:sz w:val="22"/>
          <w:szCs w:val="22"/>
          <w:lang w:val="pl-PL"/>
        </w:rPr>
        <w:t>maś</w:t>
      </w:r>
      <w:r w:rsidR="005A5277" w:rsidRPr="008E3E1F">
        <w:rPr>
          <w:sz w:val="22"/>
          <w:szCs w:val="22"/>
          <w:lang w:val="pl-PL"/>
        </w:rPr>
        <w:t>ci</w:t>
      </w:r>
      <w:r w:rsidR="00FF0CF0" w:rsidRPr="008E3E1F">
        <w:rPr>
          <w:sz w:val="22"/>
          <w:szCs w:val="22"/>
          <w:lang w:val="pl-PL"/>
        </w:rPr>
        <w:t xml:space="preserve"> w dawce 106 g na tydzień</w:t>
      </w:r>
      <w:r w:rsidRPr="008E3E1F">
        <w:rPr>
          <w:sz w:val="22"/>
          <w:szCs w:val="22"/>
          <w:lang w:val="pl-PL"/>
        </w:rPr>
        <w:t>.</w:t>
      </w:r>
    </w:p>
    <w:p w14:paraId="64D8E2AB" w14:textId="54417930" w:rsidR="00BF3645" w:rsidRPr="008E3E1F" w:rsidRDefault="00BF3645" w:rsidP="00BF3645">
      <w:pPr>
        <w:pStyle w:val="Default"/>
        <w:rPr>
          <w:sz w:val="22"/>
          <w:szCs w:val="22"/>
          <w:lang w:val="pl-PL"/>
        </w:rPr>
      </w:pPr>
      <w:r w:rsidRPr="008E3E1F">
        <w:rPr>
          <w:sz w:val="22"/>
          <w:szCs w:val="22"/>
          <w:lang w:val="pl-PL"/>
        </w:rPr>
        <w:t>Graniczne zmniejszenie odpowiedzi kortyzolu po 30 minutach po stymulacji ACTH zauważono u 5 z 32 pacjentów (15,6%) po 4 tygodniach leczenia oraz u 2 z 11 pacjentów (18,2%), którzy kontynuowali leczenie do 8 tygodni. We wszystkich przypadkach stężenie kortyzolu w surowicy było prawidłowe po 60 minutach po stymulacji ACTH. Nie stwierdzono zmian metabolizmu wapnia u tych pacjentów. W związku z powyższym, jeżeli chodzi o zahamowanie czynności osi podwzgórze-przysadka-nadnercza (ang. hypothalamus-pituitary-adrenal – HPA), niniejsze badanie wykazuje, że bardzo duże dawki żelu i maści</w:t>
      </w:r>
      <w:r w:rsidR="00041D0E" w:rsidRPr="008E3E1F">
        <w:rPr>
          <w:sz w:val="22"/>
          <w:szCs w:val="22"/>
          <w:lang w:val="pl-PL"/>
        </w:rPr>
        <w:t xml:space="preserve"> zawierające</w:t>
      </w:r>
      <w:r w:rsidRPr="008E3E1F">
        <w:rPr>
          <w:sz w:val="22"/>
          <w:szCs w:val="22"/>
          <w:lang w:val="pl-PL"/>
        </w:rPr>
        <w:t xml:space="preserve"> kalcypotriol + betametazon</w:t>
      </w:r>
      <w:r w:rsidR="00FF0CF0" w:rsidRPr="008E3E1F">
        <w:rPr>
          <w:sz w:val="22"/>
          <w:szCs w:val="22"/>
          <w:lang w:val="pl-PL"/>
        </w:rPr>
        <w:t>,</w:t>
      </w:r>
      <w:r w:rsidRPr="008E3E1F">
        <w:rPr>
          <w:sz w:val="22"/>
          <w:szCs w:val="22"/>
          <w:lang w:val="pl-PL"/>
        </w:rPr>
        <w:t xml:space="preserve"> 50 mikrogramów/g + 0,5 mg/g mogą mieć niewielki wpływ na czynność osi HPA. </w:t>
      </w:r>
    </w:p>
    <w:p w14:paraId="45077C26" w14:textId="77777777" w:rsidR="00BF3645" w:rsidRPr="008E3E1F" w:rsidRDefault="00BF3645" w:rsidP="00BF3645">
      <w:pPr>
        <w:pStyle w:val="Default"/>
        <w:rPr>
          <w:sz w:val="22"/>
          <w:szCs w:val="22"/>
          <w:lang w:val="pl-PL"/>
        </w:rPr>
      </w:pPr>
    </w:p>
    <w:p w14:paraId="483CE650" w14:textId="7768CA15" w:rsidR="00BF3645" w:rsidRPr="008E3E1F" w:rsidRDefault="00BF3645" w:rsidP="00BF3645">
      <w:pPr>
        <w:ind w:left="0" w:firstLine="0"/>
        <w:rPr>
          <w:szCs w:val="22"/>
        </w:rPr>
      </w:pPr>
      <w:r w:rsidRPr="008E3E1F">
        <w:rPr>
          <w:szCs w:val="22"/>
        </w:rPr>
        <w:t xml:space="preserve">Skuteczność stosowania żelu </w:t>
      </w:r>
      <w:r w:rsidR="00041D0E" w:rsidRPr="008E3E1F">
        <w:rPr>
          <w:szCs w:val="22"/>
        </w:rPr>
        <w:t xml:space="preserve">zawierającego </w:t>
      </w:r>
      <w:r w:rsidRPr="008E3E1F">
        <w:t>kalcypotriol + betametazon</w:t>
      </w:r>
      <w:r w:rsidR="0008166E" w:rsidRPr="008E3E1F">
        <w:t>,</w:t>
      </w:r>
      <w:r w:rsidRPr="008E3E1F">
        <w:t xml:space="preserve"> 50 mikrogramów/g + 0,5 mg/g</w:t>
      </w:r>
      <w:r w:rsidRPr="008E3E1F">
        <w:rPr>
          <w:szCs w:val="22"/>
        </w:rPr>
        <w:t xml:space="preserve"> raz na dobę zbadano w dwóch 8-tygodniowych, badaniach klinicznych z randomizacją, prowadzonych metodą podwójnie ślepej próby, obejmujących ogółem ponad 2900 pacjentów z łuszczycą owłosionej skóry głowy, o co najmniej łagodnym stopniu zaawansowania w ocenie nasilenia choroby przez badacza (ang. Investigator’s Global Assessment – IGA). </w:t>
      </w:r>
      <w:r w:rsidR="00B105A3" w:rsidRPr="008E3E1F">
        <w:rPr>
          <w:szCs w:val="22"/>
        </w:rPr>
        <w:t xml:space="preserve">Produktami </w:t>
      </w:r>
      <w:r w:rsidRPr="008E3E1F">
        <w:rPr>
          <w:szCs w:val="22"/>
        </w:rPr>
        <w:lastRenderedPageBreak/>
        <w:t>porównywanym były</w:t>
      </w:r>
      <w:r w:rsidR="00DB58DE" w:rsidRPr="008E3E1F">
        <w:rPr>
          <w:szCs w:val="22"/>
        </w:rPr>
        <w:t xml:space="preserve"> betametazonu</w:t>
      </w:r>
      <w:r w:rsidRPr="008E3E1F">
        <w:rPr>
          <w:szCs w:val="22"/>
        </w:rPr>
        <w:t xml:space="preserve"> dipropionian podawany w podłożu żelu, kalcypotriol w podłożu żelu oraz (w jednym badaniu), samo podłoże żelu - podawane raz na dobę. Wyniki badań w odniesieniu do głównego kryterium odpowiedzi (brak choroby lub bardzo łagodna choroba wg IGA w 8 tygodniu) wykazały, że kalcypotriol + betametazon</w:t>
      </w:r>
      <w:r w:rsidR="00B105A3" w:rsidRPr="008E3E1F">
        <w:rPr>
          <w:szCs w:val="22"/>
        </w:rPr>
        <w:t>,</w:t>
      </w:r>
      <w:r w:rsidRPr="008E3E1F">
        <w:rPr>
          <w:szCs w:val="22"/>
        </w:rPr>
        <w:t xml:space="preserve"> 50 mikrogramów/g + 0,5 mg/g </w:t>
      </w:r>
      <w:r w:rsidR="00041D0E" w:rsidRPr="008E3E1F">
        <w:rPr>
          <w:szCs w:val="22"/>
        </w:rPr>
        <w:t xml:space="preserve">w postaci </w:t>
      </w:r>
      <w:r w:rsidRPr="008E3E1F">
        <w:rPr>
          <w:szCs w:val="22"/>
        </w:rPr>
        <w:t>żel</w:t>
      </w:r>
      <w:r w:rsidR="00041D0E" w:rsidRPr="008E3E1F">
        <w:rPr>
          <w:szCs w:val="22"/>
        </w:rPr>
        <w:t>u</w:t>
      </w:r>
      <w:r w:rsidRPr="008E3E1F">
        <w:rPr>
          <w:szCs w:val="22"/>
        </w:rPr>
        <w:t xml:space="preserve"> był statystycznie bardziej skuteczny niż </w:t>
      </w:r>
      <w:r w:rsidR="00B105A3" w:rsidRPr="008E3E1F">
        <w:rPr>
          <w:szCs w:val="22"/>
        </w:rPr>
        <w:t>produkty</w:t>
      </w:r>
      <w:r w:rsidRPr="008E3E1F">
        <w:rPr>
          <w:szCs w:val="22"/>
        </w:rPr>
        <w:t xml:space="preserve"> porównywane. Wyniki badań dotyczących szybkości rozpoczęcia działania w oparciu o podobne dane po 2 tygodniach również wykazały, że </w:t>
      </w:r>
      <w:r w:rsidRPr="008E3E1F">
        <w:t>kalcypotriol + betametazon</w:t>
      </w:r>
      <w:r w:rsidR="00B105A3" w:rsidRPr="008E3E1F">
        <w:t>,</w:t>
      </w:r>
      <w:r w:rsidRPr="008E3E1F">
        <w:t xml:space="preserve"> 50 mikrogramów/g + 0,5 mg/g </w:t>
      </w:r>
      <w:r w:rsidR="001E18DB" w:rsidRPr="008E3E1F">
        <w:t xml:space="preserve">w postaci </w:t>
      </w:r>
      <w:r w:rsidRPr="008E3E1F">
        <w:rPr>
          <w:szCs w:val="22"/>
        </w:rPr>
        <w:t>żel</w:t>
      </w:r>
      <w:r w:rsidR="001E18DB" w:rsidRPr="008E3E1F">
        <w:rPr>
          <w:szCs w:val="22"/>
        </w:rPr>
        <w:t>u</w:t>
      </w:r>
      <w:r w:rsidRPr="008E3E1F">
        <w:rPr>
          <w:szCs w:val="22"/>
        </w:rPr>
        <w:t xml:space="preserve"> jest istotnie statystycznie bardziej skuteczny niż </w:t>
      </w:r>
      <w:r w:rsidR="00A24AD8" w:rsidRPr="008E3E1F">
        <w:rPr>
          <w:szCs w:val="22"/>
        </w:rPr>
        <w:t xml:space="preserve">produkty </w:t>
      </w:r>
      <w:r w:rsidRPr="008E3E1F">
        <w:rPr>
          <w:szCs w:val="22"/>
        </w:rPr>
        <w:t>porównywane.</w:t>
      </w:r>
    </w:p>
    <w:p w14:paraId="25F58C71" w14:textId="58198365" w:rsidR="00BF3645" w:rsidRPr="008E3E1F" w:rsidRDefault="00BF3645" w:rsidP="00BF3645">
      <w:pPr>
        <w:ind w:left="0" w:firstLine="0"/>
        <w:rPr>
          <w:szCs w:val="22"/>
        </w:rPr>
      </w:pPr>
    </w:p>
    <w:tbl>
      <w:tblPr>
        <w:tblStyle w:val="TableNormal1"/>
        <w:tblW w:w="9783" w:type="dxa"/>
        <w:tblInd w:w="105" w:type="dxa"/>
        <w:tblLayout w:type="fixed"/>
        <w:tblLook w:val="01E0" w:firstRow="1" w:lastRow="1" w:firstColumn="1" w:lastColumn="1" w:noHBand="0" w:noVBand="0"/>
      </w:tblPr>
      <w:tblGrid>
        <w:gridCol w:w="1490"/>
        <w:gridCol w:w="3218"/>
        <w:gridCol w:w="1893"/>
        <w:gridCol w:w="1712"/>
        <w:gridCol w:w="1470"/>
      </w:tblGrid>
      <w:tr w:rsidR="00BF3645" w:rsidRPr="008E3E1F" w14:paraId="7B9F479A" w14:textId="77777777" w:rsidTr="00BF3645">
        <w:trPr>
          <w:trHeight w:hRule="exact" w:val="1671"/>
        </w:trPr>
        <w:tc>
          <w:tcPr>
            <w:tcW w:w="1490" w:type="dxa"/>
            <w:tcBorders>
              <w:top w:val="single" w:sz="7" w:space="0" w:color="000000"/>
              <w:left w:val="single" w:sz="7" w:space="0" w:color="000000"/>
              <w:bottom w:val="single" w:sz="7" w:space="0" w:color="000000"/>
              <w:right w:val="single" w:sz="7" w:space="0" w:color="000000"/>
            </w:tcBorders>
          </w:tcPr>
          <w:p w14:paraId="5E5A982F" w14:textId="174008CF" w:rsidR="00BF3645" w:rsidRPr="008E3E1F" w:rsidRDefault="00BF3645" w:rsidP="00BF3645">
            <w:pPr>
              <w:pStyle w:val="TableParagraph"/>
              <w:spacing w:before="3" w:line="249" w:lineRule="auto"/>
              <w:jc w:val="center"/>
              <w:rPr>
                <w:rFonts w:ascii="Times New Roman" w:eastAsia="Times New Roman" w:hAnsi="Times New Roman" w:cs="Times New Roman"/>
                <w:lang w:val="pl-PL"/>
              </w:rPr>
            </w:pPr>
            <w:r w:rsidRPr="008E3E1F">
              <w:rPr>
                <w:rFonts w:ascii="Times New Roman" w:hAnsi="Times New Roman" w:cs="Times New Roman"/>
                <w:lang w:val="pl-PL"/>
              </w:rPr>
              <w:t>% pacjentów bez choroby lub z bardzo łagodnym przebiegiem choroby</w:t>
            </w:r>
          </w:p>
        </w:tc>
        <w:tc>
          <w:tcPr>
            <w:tcW w:w="3218" w:type="dxa"/>
            <w:tcBorders>
              <w:top w:val="single" w:sz="7" w:space="0" w:color="000000"/>
              <w:left w:val="single" w:sz="7" w:space="0" w:color="000000"/>
              <w:bottom w:val="single" w:sz="7" w:space="0" w:color="000000"/>
              <w:right w:val="single" w:sz="7" w:space="0" w:color="000000"/>
            </w:tcBorders>
          </w:tcPr>
          <w:p w14:paraId="2ECBCE30" w14:textId="0B6D3C6B" w:rsidR="00434CF7" w:rsidRPr="008E3E1F" w:rsidRDefault="001E18DB" w:rsidP="00B23E28">
            <w:pPr>
              <w:pStyle w:val="TableParagraph"/>
              <w:spacing w:before="3" w:line="242" w:lineRule="auto"/>
              <w:ind w:hanging="136"/>
              <w:jc w:val="center"/>
              <w:rPr>
                <w:rFonts w:ascii="Times New Roman" w:hAnsi="Times New Roman" w:cs="Times New Roman"/>
                <w:spacing w:val="-4"/>
                <w:lang w:val="pl-PL" w:bidi="pl-PL"/>
              </w:rPr>
            </w:pPr>
            <w:r w:rsidRPr="008E3E1F">
              <w:rPr>
                <w:rFonts w:ascii="Times New Roman" w:hAnsi="Times New Roman" w:cs="Times New Roman"/>
                <w:spacing w:val="-4"/>
                <w:lang w:val="pl-PL" w:bidi="pl-PL"/>
              </w:rPr>
              <w:t xml:space="preserve">Skojarzenie </w:t>
            </w:r>
            <w:r w:rsidR="00B23E28" w:rsidRPr="008E3E1F">
              <w:rPr>
                <w:rFonts w:ascii="Times New Roman" w:hAnsi="Times New Roman" w:cs="Times New Roman"/>
                <w:spacing w:val="-4"/>
                <w:lang w:val="pl-PL" w:bidi="pl-PL"/>
              </w:rPr>
              <w:t xml:space="preserve">betametazonu </w:t>
            </w:r>
            <w:r w:rsidRPr="008E3E1F">
              <w:rPr>
                <w:rFonts w:ascii="Times New Roman" w:hAnsi="Times New Roman" w:cs="Times New Roman"/>
                <w:spacing w:val="-4"/>
                <w:lang w:val="pl-PL" w:bidi="pl-PL"/>
              </w:rPr>
              <w:t>diprop</w:t>
            </w:r>
            <w:r w:rsidR="00252855" w:rsidRPr="008E3E1F">
              <w:rPr>
                <w:rFonts w:ascii="Times New Roman" w:hAnsi="Times New Roman" w:cs="Times New Roman"/>
                <w:spacing w:val="-4"/>
                <w:lang w:val="pl-PL" w:bidi="pl-PL"/>
              </w:rPr>
              <w:t>i</w:t>
            </w:r>
            <w:r w:rsidRPr="008E3E1F">
              <w:rPr>
                <w:rFonts w:ascii="Times New Roman" w:hAnsi="Times New Roman" w:cs="Times New Roman"/>
                <w:spacing w:val="-4"/>
                <w:lang w:val="pl-PL" w:bidi="pl-PL"/>
              </w:rPr>
              <w:t>onian</w:t>
            </w:r>
            <w:r w:rsidR="00897D99" w:rsidRPr="008E3E1F">
              <w:rPr>
                <w:rFonts w:ascii="Times New Roman" w:hAnsi="Times New Roman" w:cs="Times New Roman"/>
                <w:spacing w:val="-4"/>
                <w:lang w:val="pl-PL" w:bidi="pl-PL"/>
              </w:rPr>
              <w:t>u</w:t>
            </w:r>
            <w:r w:rsidRPr="008E3E1F">
              <w:rPr>
                <w:rFonts w:ascii="Times New Roman" w:hAnsi="Times New Roman" w:cs="Times New Roman"/>
                <w:spacing w:val="-4"/>
                <w:lang w:val="pl-PL" w:bidi="pl-PL"/>
              </w:rPr>
              <w:t xml:space="preserve"> i kalcypotriol</w:t>
            </w:r>
            <w:r w:rsidR="00897D99" w:rsidRPr="008E3E1F">
              <w:rPr>
                <w:rFonts w:ascii="Times New Roman" w:hAnsi="Times New Roman" w:cs="Times New Roman"/>
                <w:spacing w:val="-4"/>
                <w:lang w:val="pl-PL" w:bidi="pl-PL"/>
              </w:rPr>
              <w:t>u</w:t>
            </w:r>
            <w:r w:rsidRPr="008E3E1F">
              <w:rPr>
                <w:rFonts w:ascii="Times New Roman" w:hAnsi="Times New Roman" w:cs="Times New Roman"/>
                <w:spacing w:val="-4"/>
                <w:lang w:val="pl-PL" w:bidi="pl-PL"/>
              </w:rPr>
              <w:t xml:space="preserve"> </w:t>
            </w:r>
          </w:p>
          <w:p w14:paraId="6AB47CE3" w14:textId="223D900C" w:rsidR="001E18DB" w:rsidRPr="008E3E1F" w:rsidRDefault="001E18DB" w:rsidP="001E18DB">
            <w:pPr>
              <w:pStyle w:val="TableParagraph"/>
              <w:spacing w:before="3" w:line="242" w:lineRule="auto"/>
              <w:ind w:hanging="136"/>
              <w:jc w:val="center"/>
              <w:rPr>
                <w:rFonts w:ascii="Times New Roman" w:hAnsi="Times New Roman" w:cs="Times New Roman"/>
                <w:spacing w:val="-4"/>
                <w:lang w:val="pl-PL" w:bidi="pl-PL"/>
              </w:rPr>
            </w:pPr>
            <w:r w:rsidRPr="008E3E1F">
              <w:rPr>
                <w:rFonts w:ascii="Times New Roman" w:hAnsi="Times New Roman" w:cs="Times New Roman"/>
                <w:spacing w:val="-4"/>
                <w:lang w:val="pl-PL" w:bidi="pl-PL"/>
              </w:rPr>
              <w:t>w postaci żelu</w:t>
            </w:r>
          </w:p>
          <w:p w14:paraId="548D2F7F" w14:textId="0A1D7C39" w:rsidR="00BF3645" w:rsidRPr="008E3E1F" w:rsidRDefault="00BF3645" w:rsidP="00BF3645">
            <w:pPr>
              <w:pStyle w:val="TableParagraph"/>
              <w:spacing w:before="3" w:line="242" w:lineRule="auto"/>
              <w:ind w:hanging="136"/>
              <w:jc w:val="center"/>
              <w:rPr>
                <w:rFonts w:ascii="Times New Roman" w:eastAsia="Times New Roman" w:hAnsi="Times New Roman" w:cs="Times New Roman"/>
                <w:lang w:val="pl-PL"/>
              </w:rPr>
            </w:pPr>
            <w:r w:rsidRPr="008E3E1F">
              <w:rPr>
                <w:rFonts w:ascii="Times New Roman" w:hAnsi="Times New Roman" w:cs="Times New Roman"/>
                <w:spacing w:val="-4"/>
                <w:lang w:val="pl-PL"/>
              </w:rPr>
              <w:t>(n=1</w:t>
            </w:r>
            <w:r w:rsidR="00A24AD8" w:rsidRPr="008E3E1F">
              <w:rPr>
                <w:rFonts w:ascii="Times New Roman" w:hAnsi="Times New Roman" w:cs="Times New Roman"/>
                <w:spacing w:val="-4"/>
                <w:lang w:val="pl-PL"/>
              </w:rPr>
              <w:t>,</w:t>
            </w:r>
            <w:r w:rsidRPr="008E3E1F">
              <w:rPr>
                <w:rFonts w:ascii="Times New Roman" w:hAnsi="Times New Roman" w:cs="Times New Roman"/>
                <w:spacing w:val="-4"/>
                <w:lang w:val="pl-PL"/>
              </w:rPr>
              <w:t>108)</w:t>
            </w:r>
          </w:p>
        </w:tc>
        <w:tc>
          <w:tcPr>
            <w:tcW w:w="1893" w:type="dxa"/>
            <w:tcBorders>
              <w:top w:val="single" w:sz="7" w:space="0" w:color="000000"/>
              <w:left w:val="single" w:sz="7" w:space="0" w:color="000000"/>
              <w:bottom w:val="single" w:sz="7" w:space="0" w:color="000000"/>
              <w:right w:val="single" w:sz="7" w:space="0" w:color="000000"/>
            </w:tcBorders>
          </w:tcPr>
          <w:p w14:paraId="4763EE9B" w14:textId="5095570F" w:rsidR="00BF3645" w:rsidRPr="008E3E1F" w:rsidRDefault="00DB58DE" w:rsidP="00DB58DE">
            <w:pPr>
              <w:pStyle w:val="TableParagraph"/>
              <w:spacing w:before="3" w:line="249" w:lineRule="auto"/>
              <w:jc w:val="center"/>
              <w:rPr>
                <w:rFonts w:ascii="Times New Roman" w:eastAsia="Times New Roman" w:hAnsi="Times New Roman" w:cs="Times New Roman"/>
              </w:rPr>
            </w:pPr>
            <w:r w:rsidRPr="008E3E1F">
              <w:rPr>
                <w:rFonts w:ascii="Times New Roman" w:hAnsi="Times New Roman" w:cs="Times New Roman"/>
                <w:spacing w:val="-2"/>
              </w:rPr>
              <w:t>Betametazonu d</w:t>
            </w:r>
            <w:r w:rsidR="00BF3645" w:rsidRPr="008E3E1F">
              <w:rPr>
                <w:rFonts w:ascii="Times New Roman" w:hAnsi="Times New Roman" w:cs="Times New Roman"/>
                <w:spacing w:val="-2"/>
              </w:rPr>
              <w:t xml:space="preserve">ipropionian </w:t>
            </w:r>
            <w:r w:rsidR="00BF3645" w:rsidRPr="008E3E1F">
              <w:rPr>
                <w:rFonts w:ascii="Times New Roman" w:hAnsi="Times New Roman" w:cs="Times New Roman"/>
                <w:spacing w:val="-7"/>
              </w:rPr>
              <w:t>(n=1,118)</w:t>
            </w:r>
          </w:p>
        </w:tc>
        <w:tc>
          <w:tcPr>
            <w:tcW w:w="1712" w:type="dxa"/>
            <w:tcBorders>
              <w:top w:val="single" w:sz="7" w:space="0" w:color="000000"/>
              <w:left w:val="single" w:sz="7" w:space="0" w:color="000000"/>
              <w:bottom w:val="single" w:sz="7" w:space="0" w:color="000000"/>
              <w:right w:val="single" w:sz="7" w:space="0" w:color="000000"/>
            </w:tcBorders>
          </w:tcPr>
          <w:p w14:paraId="5FC5977C" w14:textId="77777777" w:rsidR="00BF3645" w:rsidRPr="008E3E1F" w:rsidRDefault="00BF3645" w:rsidP="00BF3645">
            <w:pPr>
              <w:pStyle w:val="TableParagraph"/>
              <w:spacing w:before="6"/>
              <w:jc w:val="center"/>
              <w:rPr>
                <w:rFonts w:ascii="Times New Roman" w:eastAsia="Times New Roman" w:hAnsi="Times New Roman" w:cs="Times New Roman"/>
              </w:rPr>
            </w:pPr>
          </w:p>
          <w:p w14:paraId="3A514E75" w14:textId="04F2F169" w:rsidR="00BF3645" w:rsidRPr="008E3E1F" w:rsidRDefault="00BF3645" w:rsidP="00BF3645">
            <w:pPr>
              <w:pStyle w:val="TableParagraph"/>
              <w:spacing w:line="256" w:lineRule="auto"/>
              <w:ind w:hanging="150"/>
              <w:jc w:val="center"/>
              <w:rPr>
                <w:rFonts w:ascii="Times New Roman" w:hAnsi="Times New Roman" w:cs="Times New Roman"/>
                <w:spacing w:val="23"/>
                <w:w w:val="102"/>
              </w:rPr>
            </w:pPr>
            <w:r w:rsidRPr="008E3E1F">
              <w:rPr>
                <w:rFonts w:ascii="Times New Roman" w:hAnsi="Times New Roman" w:cs="Times New Roman"/>
                <w:spacing w:val="-7"/>
              </w:rPr>
              <w:t>Kalcypotriol</w:t>
            </w:r>
          </w:p>
          <w:p w14:paraId="5C3BB33F" w14:textId="77777777" w:rsidR="00BF3645" w:rsidRPr="008E3E1F" w:rsidRDefault="00BF3645" w:rsidP="00BF3645">
            <w:pPr>
              <w:pStyle w:val="TableParagraph"/>
              <w:spacing w:line="256" w:lineRule="auto"/>
              <w:ind w:hanging="150"/>
              <w:jc w:val="center"/>
              <w:rPr>
                <w:rFonts w:ascii="Times New Roman" w:eastAsia="Times New Roman" w:hAnsi="Times New Roman" w:cs="Times New Roman"/>
              </w:rPr>
            </w:pPr>
            <w:r w:rsidRPr="008E3E1F">
              <w:rPr>
                <w:rFonts w:ascii="Times New Roman" w:hAnsi="Times New Roman" w:cs="Times New Roman"/>
                <w:spacing w:val="-6"/>
              </w:rPr>
              <w:t>(n=558)</w:t>
            </w:r>
          </w:p>
        </w:tc>
        <w:tc>
          <w:tcPr>
            <w:tcW w:w="1470" w:type="dxa"/>
            <w:tcBorders>
              <w:top w:val="single" w:sz="7" w:space="0" w:color="000000"/>
              <w:left w:val="single" w:sz="7" w:space="0" w:color="000000"/>
              <w:bottom w:val="single" w:sz="7" w:space="0" w:color="000000"/>
              <w:right w:val="single" w:sz="7" w:space="0" w:color="000000"/>
            </w:tcBorders>
          </w:tcPr>
          <w:p w14:paraId="7958626E" w14:textId="77777777" w:rsidR="00BF3645" w:rsidRPr="008E3E1F" w:rsidRDefault="00BF3645" w:rsidP="00BF3645">
            <w:pPr>
              <w:pStyle w:val="TableParagraph"/>
              <w:spacing w:before="6"/>
              <w:jc w:val="center"/>
              <w:rPr>
                <w:rFonts w:ascii="Times New Roman" w:eastAsia="Times New Roman" w:hAnsi="Times New Roman" w:cs="Times New Roman"/>
              </w:rPr>
            </w:pPr>
          </w:p>
          <w:p w14:paraId="4EC52167" w14:textId="6029FCA3" w:rsidR="00BF3645" w:rsidRPr="008E3E1F" w:rsidRDefault="00723CBC" w:rsidP="00BF3645">
            <w:pPr>
              <w:pStyle w:val="TableParagraph"/>
              <w:spacing w:line="256" w:lineRule="auto"/>
              <w:ind w:hanging="151"/>
              <w:jc w:val="center"/>
              <w:rPr>
                <w:rFonts w:ascii="Times New Roman" w:eastAsia="Times New Roman" w:hAnsi="Times New Roman" w:cs="Times New Roman"/>
              </w:rPr>
            </w:pPr>
            <w:r w:rsidRPr="008E3E1F">
              <w:rPr>
                <w:rFonts w:ascii="Times New Roman" w:hAnsi="Times New Roman" w:cs="Times New Roman"/>
                <w:spacing w:val="-3"/>
              </w:rPr>
              <w:t>Podłoże żelu</w:t>
            </w:r>
            <w:r w:rsidR="00BF3645" w:rsidRPr="008E3E1F">
              <w:rPr>
                <w:rFonts w:ascii="Times New Roman" w:hAnsi="Times New Roman" w:cs="Times New Roman"/>
                <w:spacing w:val="25"/>
                <w:w w:val="102"/>
              </w:rPr>
              <w:t xml:space="preserve"> </w:t>
            </w:r>
            <w:r w:rsidR="00BF3645" w:rsidRPr="008E3E1F">
              <w:rPr>
                <w:rFonts w:ascii="Times New Roman" w:hAnsi="Times New Roman" w:cs="Times New Roman"/>
                <w:spacing w:val="-6"/>
              </w:rPr>
              <w:t>(n=136)</w:t>
            </w:r>
          </w:p>
        </w:tc>
      </w:tr>
      <w:tr w:rsidR="00BF3645" w:rsidRPr="008E3E1F" w14:paraId="43C5BB20" w14:textId="77777777" w:rsidTr="00BF3645">
        <w:trPr>
          <w:trHeight w:hRule="exact" w:val="405"/>
        </w:trPr>
        <w:tc>
          <w:tcPr>
            <w:tcW w:w="1490" w:type="dxa"/>
            <w:tcBorders>
              <w:top w:val="single" w:sz="7" w:space="0" w:color="000000"/>
              <w:left w:val="single" w:sz="7" w:space="0" w:color="000000"/>
              <w:bottom w:val="single" w:sz="7" w:space="0" w:color="000000"/>
              <w:right w:val="single" w:sz="7" w:space="0" w:color="000000"/>
            </w:tcBorders>
          </w:tcPr>
          <w:p w14:paraId="288AE153" w14:textId="2280CAA2" w:rsidR="00BF3645" w:rsidRPr="008E3E1F" w:rsidRDefault="00723CBC" w:rsidP="00BF3645">
            <w:pPr>
              <w:pStyle w:val="TableParagraph"/>
              <w:spacing w:before="4"/>
              <w:ind w:left="104"/>
              <w:rPr>
                <w:rFonts w:ascii="Times New Roman" w:eastAsia="Times New Roman" w:hAnsi="Times New Roman" w:cs="Times New Roman"/>
              </w:rPr>
            </w:pPr>
            <w:r w:rsidRPr="008E3E1F">
              <w:rPr>
                <w:rFonts w:ascii="Times New Roman" w:hAnsi="Times New Roman" w:cs="Times New Roman"/>
                <w:spacing w:val="1"/>
              </w:rPr>
              <w:t>tydzień</w:t>
            </w:r>
            <w:r w:rsidR="00BF3645" w:rsidRPr="008E3E1F">
              <w:rPr>
                <w:rFonts w:ascii="Times New Roman" w:hAnsi="Times New Roman" w:cs="Times New Roman"/>
                <w:spacing w:val="-3"/>
              </w:rPr>
              <w:t xml:space="preserve"> </w:t>
            </w:r>
            <w:r w:rsidR="00BF3645" w:rsidRPr="008E3E1F">
              <w:rPr>
                <w:rFonts w:ascii="Times New Roman" w:hAnsi="Times New Roman" w:cs="Times New Roman"/>
              </w:rPr>
              <w:t>2</w:t>
            </w:r>
          </w:p>
        </w:tc>
        <w:tc>
          <w:tcPr>
            <w:tcW w:w="3218" w:type="dxa"/>
            <w:tcBorders>
              <w:top w:val="single" w:sz="7" w:space="0" w:color="000000"/>
              <w:left w:val="single" w:sz="7" w:space="0" w:color="000000"/>
              <w:bottom w:val="single" w:sz="7" w:space="0" w:color="000000"/>
              <w:right w:val="single" w:sz="7" w:space="0" w:color="000000"/>
            </w:tcBorders>
          </w:tcPr>
          <w:p w14:paraId="72F2E2B9" w14:textId="5EE55CA0" w:rsidR="00BF3645" w:rsidRPr="008E3E1F" w:rsidRDefault="00BF3645" w:rsidP="00BF3645">
            <w:pPr>
              <w:pStyle w:val="TableParagraph"/>
              <w:spacing w:before="4"/>
              <w:ind w:left="479"/>
              <w:rPr>
                <w:rFonts w:ascii="Times New Roman" w:eastAsia="Times New Roman" w:hAnsi="Times New Roman" w:cs="Times New Roman"/>
              </w:rPr>
            </w:pPr>
            <w:r w:rsidRPr="008E3E1F">
              <w:rPr>
                <w:rFonts w:ascii="Times New Roman" w:hAnsi="Times New Roman" w:cs="Times New Roman"/>
                <w:spacing w:val="-4"/>
              </w:rPr>
              <w:t>53</w:t>
            </w:r>
            <w:r w:rsidR="0053793B" w:rsidRPr="008E3E1F">
              <w:rPr>
                <w:rFonts w:ascii="Times New Roman" w:hAnsi="Times New Roman" w:cs="Times New Roman"/>
                <w:spacing w:val="-4"/>
              </w:rPr>
              <w:t>,</w:t>
            </w:r>
            <w:r w:rsidRPr="008E3E1F">
              <w:rPr>
                <w:rFonts w:ascii="Times New Roman" w:hAnsi="Times New Roman" w:cs="Times New Roman"/>
                <w:spacing w:val="-4"/>
              </w:rPr>
              <w:t>2</w:t>
            </w:r>
            <w:r w:rsidRPr="008E3E1F">
              <w:rPr>
                <w:rFonts w:ascii="Times New Roman" w:hAnsi="Times New Roman" w:cs="Times New Roman"/>
                <w:spacing w:val="8"/>
              </w:rPr>
              <w:t xml:space="preserve"> </w:t>
            </w:r>
            <w:r w:rsidRPr="008E3E1F">
              <w:rPr>
                <w:rFonts w:ascii="Times New Roman" w:hAnsi="Times New Roman" w:cs="Times New Roman"/>
              </w:rPr>
              <w:t>%</w:t>
            </w:r>
          </w:p>
        </w:tc>
        <w:tc>
          <w:tcPr>
            <w:tcW w:w="1893" w:type="dxa"/>
            <w:tcBorders>
              <w:top w:val="single" w:sz="7" w:space="0" w:color="000000"/>
              <w:left w:val="single" w:sz="7" w:space="0" w:color="000000"/>
              <w:bottom w:val="single" w:sz="7" w:space="0" w:color="000000"/>
              <w:right w:val="single" w:sz="7" w:space="0" w:color="000000"/>
            </w:tcBorders>
          </w:tcPr>
          <w:p w14:paraId="6AF0CE89" w14:textId="44BD672C" w:rsidR="00BF3645" w:rsidRPr="008E3E1F" w:rsidRDefault="00BF3645" w:rsidP="0053793B">
            <w:pPr>
              <w:pStyle w:val="TableParagraph"/>
              <w:spacing w:before="4"/>
              <w:ind w:left="449"/>
              <w:rPr>
                <w:rFonts w:ascii="Times New Roman" w:eastAsia="Times New Roman" w:hAnsi="Times New Roman" w:cs="Times New Roman"/>
              </w:rPr>
            </w:pPr>
            <w:r w:rsidRPr="008E3E1F">
              <w:rPr>
                <w:rFonts w:ascii="Times New Roman" w:hAnsi="Times New Roman" w:cs="Times New Roman"/>
                <w:spacing w:val="-4"/>
              </w:rPr>
              <w:t>42</w:t>
            </w:r>
            <w:r w:rsidR="0053793B" w:rsidRPr="008E3E1F">
              <w:rPr>
                <w:rFonts w:ascii="Times New Roman" w:hAnsi="Times New Roman" w:cs="Times New Roman"/>
                <w:spacing w:val="-4"/>
              </w:rPr>
              <w:t>,</w:t>
            </w:r>
            <w:r w:rsidRPr="008E3E1F">
              <w:rPr>
                <w:rFonts w:ascii="Times New Roman" w:hAnsi="Times New Roman" w:cs="Times New Roman"/>
                <w:spacing w:val="-4"/>
              </w:rPr>
              <w:t>8</w:t>
            </w:r>
            <w:r w:rsidRPr="008E3E1F">
              <w:rPr>
                <w:rFonts w:ascii="Times New Roman" w:hAnsi="Times New Roman" w:cs="Times New Roman"/>
                <w:spacing w:val="12"/>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8"/>
                <w:vertAlign w:val="superscript"/>
              </w:rPr>
              <w:t>1</w:t>
            </w:r>
          </w:p>
        </w:tc>
        <w:tc>
          <w:tcPr>
            <w:tcW w:w="1712" w:type="dxa"/>
            <w:tcBorders>
              <w:top w:val="single" w:sz="7" w:space="0" w:color="000000"/>
              <w:left w:val="single" w:sz="7" w:space="0" w:color="000000"/>
              <w:bottom w:val="single" w:sz="7" w:space="0" w:color="000000"/>
              <w:right w:val="single" w:sz="7" w:space="0" w:color="000000"/>
            </w:tcBorders>
          </w:tcPr>
          <w:p w14:paraId="33305D60" w14:textId="0F788304" w:rsidR="00BF3645" w:rsidRPr="008E3E1F" w:rsidRDefault="00BF3645" w:rsidP="00BF3645">
            <w:pPr>
              <w:pStyle w:val="TableParagraph"/>
              <w:spacing w:before="4"/>
              <w:ind w:left="449"/>
              <w:rPr>
                <w:rFonts w:ascii="Times New Roman" w:eastAsia="Times New Roman" w:hAnsi="Times New Roman" w:cs="Times New Roman"/>
              </w:rPr>
            </w:pPr>
            <w:r w:rsidRPr="008E3E1F">
              <w:rPr>
                <w:rFonts w:ascii="Times New Roman" w:hAnsi="Times New Roman" w:cs="Times New Roman"/>
                <w:spacing w:val="-4"/>
              </w:rPr>
              <w:t>17</w:t>
            </w:r>
            <w:r w:rsidR="0053793B" w:rsidRPr="008E3E1F">
              <w:rPr>
                <w:rFonts w:ascii="Times New Roman" w:hAnsi="Times New Roman" w:cs="Times New Roman"/>
                <w:spacing w:val="-4"/>
              </w:rPr>
              <w:t>,</w:t>
            </w:r>
            <w:r w:rsidRPr="008E3E1F">
              <w:rPr>
                <w:rFonts w:ascii="Times New Roman" w:hAnsi="Times New Roman" w:cs="Times New Roman"/>
                <w:spacing w:val="-4"/>
              </w:rPr>
              <w:t>2</w:t>
            </w:r>
            <w:r w:rsidRPr="008E3E1F">
              <w:rPr>
                <w:rFonts w:ascii="Times New Roman" w:hAnsi="Times New Roman" w:cs="Times New Roman"/>
                <w:spacing w:val="12"/>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8"/>
                <w:vertAlign w:val="superscript"/>
              </w:rPr>
              <w:t>1</w:t>
            </w:r>
          </w:p>
        </w:tc>
        <w:tc>
          <w:tcPr>
            <w:tcW w:w="1470" w:type="dxa"/>
            <w:tcBorders>
              <w:top w:val="single" w:sz="7" w:space="0" w:color="000000"/>
              <w:left w:val="single" w:sz="7" w:space="0" w:color="000000"/>
              <w:bottom w:val="single" w:sz="7" w:space="0" w:color="000000"/>
              <w:right w:val="single" w:sz="7" w:space="0" w:color="000000"/>
            </w:tcBorders>
          </w:tcPr>
          <w:p w14:paraId="617AEC3D" w14:textId="0A074412" w:rsidR="00BF3645" w:rsidRPr="008E3E1F" w:rsidRDefault="00BF3645" w:rsidP="00BF3645">
            <w:pPr>
              <w:pStyle w:val="TableParagraph"/>
              <w:spacing w:before="4"/>
              <w:ind w:left="434"/>
              <w:rPr>
                <w:rFonts w:ascii="Times New Roman" w:eastAsia="Times New Roman" w:hAnsi="Times New Roman" w:cs="Times New Roman"/>
              </w:rPr>
            </w:pPr>
            <w:r w:rsidRPr="008E3E1F">
              <w:rPr>
                <w:rFonts w:ascii="Times New Roman" w:hAnsi="Times New Roman" w:cs="Times New Roman"/>
                <w:spacing w:val="-4"/>
              </w:rPr>
              <w:t>11</w:t>
            </w:r>
            <w:r w:rsidR="0053793B" w:rsidRPr="008E3E1F">
              <w:rPr>
                <w:rFonts w:ascii="Times New Roman" w:hAnsi="Times New Roman" w:cs="Times New Roman"/>
                <w:spacing w:val="-4"/>
              </w:rPr>
              <w:t>,</w:t>
            </w:r>
            <w:r w:rsidRPr="008E3E1F">
              <w:rPr>
                <w:rFonts w:ascii="Times New Roman" w:hAnsi="Times New Roman" w:cs="Times New Roman"/>
                <w:spacing w:val="-4"/>
              </w:rPr>
              <w:t>8</w:t>
            </w:r>
            <w:r w:rsidRPr="008E3E1F">
              <w:rPr>
                <w:rFonts w:ascii="Times New Roman" w:hAnsi="Times New Roman" w:cs="Times New Roman"/>
                <w:spacing w:val="13"/>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8"/>
                <w:vertAlign w:val="superscript"/>
              </w:rPr>
              <w:t>1</w:t>
            </w:r>
          </w:p>
        </w:tc>
      </w:tr>
      <w:tr w:rsidR="00BF3645" w:rsidRPr="008E3E1F" w14:paraId="49797490" w14:textId="77777777" w:rsidTr="00BF3645">
        <w:trPr>
          <w:trHeight w:hRule="exact" w:val="406"/>
        </w:trPr>
        <w:tc>
          <w:tcPr>
            <w:tcW w:w="1490" w:type="dxa"/>
            <w:tcBorders>
              <w:top w:val="single" w:sz="7" w:space="0" w:color="000000"/>
              <w:left w:val="single" w:sz="7" w:space="0" w:color="000000"/>
              <w:bottom w:val="single" w:sz="7" w:space="0" w:color="000000"/>
              <w:right w:val="single" w:sz="7" w:space="0" w:color="000000"/>
            </w:tcBorders>
          </w:tcPr>
          <w:p w14:paraId="13A881BC" w14:textId="1C797FBD" w:rsidR="00BF3645" w:rsidRPr="008E3E1F" w:rsidRDefault="00723CBC" w:rsidP="00BF3645">
            <w:pPr>
              <w:pStyle w:val="TableParagraph"/>
              <w:spacing w:before="3"/>
              <w:ind w:left="104"/>
              <w:rPr>
                <w:rFonts w:ascii="Times New Roman" w:eastAsia="Times New Roman" w:hAnsi="Times New Roman" w:cs="Times New Roman"/>
              </w:rPr>
            </w:pPr>
            <w:r w:rsidRPr="008E3E1F">
              <w:rPr>
                <w:rFonts w:ascii="Times New Roman" w:hAnsi="Times New Roman" w:cs="Times New Roman"/>
                <w:spacing w:val="1"/>
              </w:rPr>
              <w:t>tydzień</w:t>
            </w:r>
            <w:r w:rsidR="00BF3645" w:rsidRPr="008E3E1F">
              <w:rPr>
                <w:rFonts w:ascii="Times New Roman" w:hAnsi="Times New Roman" w:cs="Times New Roman"/>
                <w:spacing w:val="-3"/>
              </w:rPr>
              <w:t xml:space="preserve"> </w:t>
            </w:r>
            <w:r w:rsidR="00BF3645" w:rsidRPr="008E3E1F">
              <w:rPr>
                <w:rFonts w:ascii="Times New Roman" w:hAnsi="Times New Roman" w:cs="Times New Roman"/>
              </w:rPr>
              <w:t>8</w:t>
            </w:r>
          </w:p>
        </w:tc>
        <w:tc>
          <w:tcPr>
            <w:tcW w:w="3218" w:type="dxa"/>
            <w:tcBorders>
              <w:top w:val="single" w:sz="7" w:space="0" w:color="000000"/>
              <w:left w:val="single" w:sz="7" w:space="0" w:color="000000"/>
              <w:bottom w:val="single" w:sz="7" w:space="0" w:color="000000"/>
              <w:right w:val="single" w:sz="7" w:space="0" w:color="000000"/>
            </w:tcBorders>
          </w:tcPr>
          <w:p w14:paraId="4285CB3C" w14:textId="201F5E2A" w:rsidR="00BF3645" w:rsidRPr="008E3E1F" w:rsidRDefault="00BF3645" w:rsidP="00BF3645">
            <w:pPr>
              <w:pStyle w:val="TableParagraph"/>
              <w:spacing w:before="3"/>
              <w:ind w:left="479"/>
              <w:rPr>
                <w:rFonts w:ascii="Times New Roman" w:eastAsia="Times New Roman" w:hAnsi="Times New Roman" w:cs="Times New Roman"/>
              </w:rPr>
            </w:pPr>
            <w:r w:rsidRPr="008E3E1F">
              <w:rPr>
                <w:rFonts w:ascii="Times New Roman" w:hAnsi="Times New Roman" w:cs="Times New Roman"/>
                <w:spacing w:val="-4"/>
              </w:rPr>
              <w:t>69</w:t>
            </w:r>
            <w:r w:rsidR="0053793B" w:rsidRPr="008E3E1F">
              <w:rPr>
                <w:rFonts w:ascii="Times New Roman" w:hAnsi="Times New Roman" w:cs="Times New Roman"/>
                <w:spacing w:val="-4"/>
              </w:rPr>
              <w:t>,</w:t>
            </w:r>
            <w:r w:rsidRPr="008E3E1F">
              <w:rPr>
                <w:rFonts w:ascii="Times New Roman" w:hAnsi="Times New Roman" w:cs="Times New Roman"/>
                <w:spacing w:val="-4"/>
              </w:rPr>
              <w:t>8</w:t>
            </w:r>
            <w:r w:rsidRPr="008E3E1F">
              <w:rPr>
                <w:rFonts w:ascii="Times New Roman" w:hAnsi="Times New Roman" w:cs="Times New Roman"/>
                <w:spacing w:val="8"/>
              </w:rPr>
              <w:t xml:space="preserve"> </w:t>
            </w:r>
            <w:r w:rsidRPr="008E3E1F">
              <w:rPr>
                <w:rFonts w:ascii="Times New Roman" w:hAnsi="Times New Roman" w:cs="Times New Roman"/>
              </w:rPr>
              <w:t>%</w:t>
            </w:r>
          </w:p>
        </w:tc>
        <w:tc>
          <w:tcPr>
            <w:tcW w:w="1893" w:type="dxa"/>
            <w:tcBorders>
              <w:top w:val="single" w:sz="7" w:space="0" w:color="000000"/>
              <w:left w:val="single" w:sz="7" w:space="0" w:color="000000"/>
              <w:bottom w:val="single" w:sz="7" w:space="0" w:color="000000"/>
              <w:right w:val="single" w:sz="7" w:space="0" w:color="000000"/>
            </w:tcBorders>
          </w:tcPr>
          <w:p w14:paraId="21D290A5" w14:textId="3038371C" w:rsidR="00BF3645" w:rsidRPr="008E3E1F" w:rsidRDefault="00BF3645" w:rsidP="00BF3645">
            <w:pPr>
              <w:pStyle w:val="TableParagraph"/>
              <w:spacing w:before="3"/>
              <w:ind w:left="449"/>
              <w:rPr>
                <w:rFonts w:ascii="Times New Roman" w:eastAsia="Times New Roman" w:hAnsi="Times New Roman" w:cs="Times New Roman"/>
              </w:rPr>
            </w:pPr>
            <w:r w:rsidRPr="008E3E1F">
              <w:rPr>
                <w:rFonts w:ascii="Times New Roman" w:hAnsi="Times New Roman" w:cs="Times New Roman"/>
                <w:spacing w:val="-4"/>
              </w:rPr>
              <w:t>62</w:t>
            </w:r>
            <w:r w:rsidR="0053793B" w:rsidRPr="008E3E1F">
              <w:rPr>
                <w:rFonts w:ascii="Times New Roman" w:hAnsi="Times New Roman" w:cs="Times New Roman"/>
                <w:spacing w:val="-4"/>
              </w:rPr>
              <w:t>,</w:t>
            </w:r>
            <w:r w:rsidRPr="008E3E1F">
              <w:rPr>
                <w:rFonts w:ascii="Times New Roman" w:hAnsi="Times New Roman" w:cs="Times New Roman"/>
                <w:spacing w:val="-4"/>
              </w:rPr>
              <w:t>5</w:t>
            </w:r>
            <w:r w:rsidRPr="008E3E1F">
              <w:rPr>
                <w:rFonts w:ascii="Times New Roman" w:hAnsi="Times New Roman" w:cs="Times New Roman"/>
                <w:spacing w:val="12"/>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7"/>
                <w:vertAlign w:val="superscript"/>
              </w:rPr>
              <w:t>1</w:t>
            </w:r>
          </w:p>
        </w:tc>
        <w:tc>
          <w:tcPr>
            <w:tcW w:w="1712" w:type="dxa"/>
            <w:tcBorders>
              <w:top w:val="single" w:sz="7" w:space="0" w:color="000000"/>
              <w:left w:val="single" w:sz="7" w:space="0" w:color="000000"/>
              <w:bottom w:val="single" w:sz="7" w:space="0" w:color="000000"/>
              <w:right w:val="single" w:sz="7" w:space="0" w:color="000000"/>
            </w:tcBorders>
          </w:tcPr>
          <w:p w14:paraId="2603C73C" w14:textId="67597893" w:rsidR="00BF3645" w:rsidRPr="008E3E1F" w:rsidRDefault="00BF3645" w:rsidP="00BF3645">
            <w:pPr>
              <w:pStyle w:val="TableParagraph"/>
              <w:spacing w:before="3"/>
              <w:ind w:left="449"/>
              <w:rPr>
                <w:rFonts w:ascii="Times New Roman" w:eastAsia="Times New Roman" w:hAnsi="Times New Roman" w:cs="Times New Roman"/>
              </w:rPr>
            </w:pPr>
            <w:r w:rsidRPr="008E3E1F">
              <w:rPr>
                <w:rFonts w:ascii="Times New Roman" w:hAnsi="Times New Roman" w:cs="Times New Roman"/>
                <w:spacing w:val="-4"/>
              </w:rPr>
              <w:t>40</w:t>
            </w:r>
            <w:r w:rsidR="0053793B" w:rsidRPr="008E3E1F">
              <w:rPr>
                <w:rFonts w:ascii="Times New Roman" w:hAnsi="Times New Roman" w:cs="Times New Roman"/>
                <w:spacing w:val="-4"/>
              </w:rPr>
              <w:t>,</w:t>
            </w:r>
            <w:r w:rsidRPr="008E3E1F">
              <w:rPr>
                <w:rFonts w:ascii="Times New Roman" w:hAnsi="Times New Roman" w:cs="Times New Roman"/>
                <w:spacing w:val="-4"/>
              </w:rPr>
              <w:t>1</w:t>
            </w:r>
            <w:r w:rsidRPr="008E3E1F">
              <w:rPr>
                <w:rFonts w:ascii="Times New Roman" w:hAnsi="Times New Roman" w:cs="Times New Roman"/>
                <w:spacing w:val="12"/>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7"/>
                <w:vertAlign w:val="superscript"/>
              </w:rPr>
              <w:t>1</w:t>
            </w:r>
          </w:p>
        </w:tc>
        <w:tc>
          <w:tcPr>
            <w:tcW w:w="1470" w:type="dxa"/>
            <w:tcBorders>
              <w:top w:val="single" w:sz="7" w:space="0" w:color="000000"/>
              <w:left w:val="single" w:sz="7" w:space="0" w:color="000000"/>
              <w:bottom w:val="single" w:sz="7" w:space="0" w:color="000000"/>
              <w:right w:val="single" w:sz="7" w:space="0" w:color="000000"/>
            </w:tcBorders>
          </w:tcPr>
          <w:p w14:paraId="79FF1299" w14:textId="21BDA9A2" w:rsidR="00BF3645" w:rsidRPr="008E3E1F" w:rsidRDefault="00BF3645" w:rsidP="00BF3645">
            <w:pPr>
              <w:pStyle w:val="TableParagraph"/>
              <w:spacing w:before="3"/>
              <w:ind w:left="434"/>
              <w:rPr>
                <w:rFonts w:ascii="Times New Roman" w:eastAsia="Times New Roman" w:hAnsi="Times New Roman" w:cs="Times New Roman"/>
              </w:rPr>
            </w:pPr>
            <w:r w:rsidRPr="008E3E1F">
              <w:rPr>
                <w:rFonts w:ascii="Times New Roman" w:hAnsi="Times New Roman" w:cs="Times New Roman"/>
                <w:spacing w:val="-4"/>
              </w:rPr>
              <w:t>22</w:t>
            </w:r>
            <w:r w:rsidR="0053793B" w:rsidRPr="008E3E1F">
              <w:rPr>
                <w:rFonts w:ascii="Times New Roman" w:hAnsi="Times New Roman" w:cs="Times New Roman"/>
                <w:spacing w:val="-4"/>
              </w:rPr>
              <w:t>,</w:t>
            </w:r>
            <w:r w:rsidRPr="008E3E1F">
              <w:rPr>
                <w:rFonts w:ascii="Times New Roman" w:hAnsi="Times New Roman" w:cs="Times New Roman"/>
                <w:spacing w:val="-4"/>
              </w:rPr>
              <w:t>8</w:t>
            </w:r>
            <w:r w:rsidRPr="008E3E1F">
              <w:rPr>
                <w:rFonts w:ascii="Times New Roman" w:hAnsi="Times New Roman" w:cs="Times New Roman"/>
                <w:spacing w:val="13"/>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7"/>
                <w:vertAlign w:val="superscript"/>
              </w:rPr>
              <w:t>1</w:t>
            </w:r>
          </w:p>
        </w:tc>
      </w:tr>
    </w:tbl>
    <w:p w14:paraId="6D2B896A" w14:textId="0C39BB56" w:rsidR="00BF3645" w:rsidRPr="008E3E1F" w:rsidRDefault="00BF3645" w:rsidP="00BF3645">
      <w:pPr>
        <w:ind w:left="0" w:firstLine="0"/>
        <w:rPr>
          <w:spacing w:val="1"/>
          <w:w w:val="105"/>
          <w:sz w:val="16"/>
        </w:rPr>
      </w:pPr>
      <w:r w:rsidRPr="008E3E1F">
        <w:rPr>
          <w:w w:val="105"/>
          <w:position w:val="7"/>
          <w:sz w:val="10"/>
        </w:rPr>
        <w:t>1</w:t>
      </w:r>
      <w:r w:rsidRPr="008E3E1F">
        <w:rPr>
          <w:spacing w:val="-2"/>
          <w:w w:val="105"/>
          <w:position w:val="7"/>
          <w:sz w:val="10"/>
        </w:rPr>
        <w:t xml:space="preserve"> </w:t>
      </w:r>
      <w:r w:rsidR="00723CBC" w:rsidRPr="008E3E1F">
        <w:rPr>
          <w:spacing w:val="1"/>
          <w:w w:val="105"/>
          <w:sz w:val="16"/>
        </w:rPr>
        <w:t xml:space="preserve">Istotnie statystycznie mniej skuteczny niż </w:t>
      </w:r>
      <w:r w:rsidR="00580AD1" w:rsidRPr="008E3E1F">
        <w:rPr>
          <w:spacing w:val="1"/>
          <w:w w:val="105"/>
          <w:sz w:val="16"/>
        </w:rPr>
        <w:t xml:space="preserve">skojarzenie </w:t>
      </w:r>
      <w:r w:rsidR="00B23E28" w:rsidRPr="008E3E1F">
        <w:rPr>
          <w:spacing w:val="1"/>
          <w:w w:val="105"/>
          <w:sz w:val="16"/>
        </w:rPr>
        <w:t xml:space="preserve">betametazonu </w:t>
      </w:r>
      <w:r w:rsidR="00580AD1" w:rsidRPr="008E3E1F">
        <w:rPr>
          <w:spacing w:val="1"/>
          <w:w w:val="105"/>
          <w:sz w:val="16"/>
        </w:rPr>
        <w:t>dipropionian</w:t>
      </w:r>
      <w:r w:rsidR="00897D99" w:rsidRPr="008E3E1F">
        <w:rPr>
          <w:spacing w:val="1"/>
          <w:w w:val="105"/>
          <w:sz w:val="16"/>
        </w:rPr>
        <w:t>u</w:t>
      </w:r>
      <w:r w:rsidR="00580AD1" w:rsidRPr="008E3E1F">
        <w:rPr>
          <w:spacing w:val="1"/>
          <w:w w:val="105"/>
          <w:sz w:val="16"/>
        </w:rPr>
        <w:t xml:space="preserve"> i</w:t>
      </w:r>
      <w:r w:rsidR="00723CBC" w:rsidRPr="008E3E1F">
        <w:rPr>
          <w:spacing w:val="1"/>
          <w:w w:val="105"/>
          <w:sz w:val="16"/>
        </w:rPr>
        <w:t xml:space="preserve"> kalcypotriol</w:t>
      </w:r>
      <w:r w:rsidR="00897D99" w:rsidRPr="008E3E1F">
        <w:rPr>
          <w:spacing w:val="1"/>
          <w:w w:val="105"/>
          <w:sz w:val="16"/>
        </w:rPr>
        <w:t>u</w:t>
      </w:r>
      <w:r w:rsidR="0031270B" w:rsidRPr="008E3E1F">
        <w:rPr>
          <w:spacing w:val="1"/>
          <w:w w:val="105"/>
          <w:sz w:val="16"/>
        </w:rPr>
        <w:t xml:space="preserve"> w postaci żelu</w:t>
      </w:r>
      <w:r w:rsidR="00723CBC" w:rsidRPr="008E3E1F">
        <w:rPr>
          <w:spacing w:val="1"/>
          <w:w w:val="105"/>
          <w:sz w:val="16"/>
        </w:rPr>
        <w:t xml:space="preserve"> (P&lt;0,001)</w:t>
      </w:r>
    </w:p>
    <w:p w14:paraId="57501D9E" w14:textId="77777777" w:rsidR="00723CBC" w:rsidRPr="008E3E1F" w:rsidRDefault="00723CBC" w:rsidP="00BF3645">
      <w:pPr>
        <w:ind w:left="0" w:firstLine="0"/>
        <w:rPr>
          <w:szCs w:val="22"/>
        </w:rPr>
      </w:pPr>
    </w:p>
    <w:p w14:paraId="4E9A38E7" w14:textId="1DD48067" w:rsidR="00BF3645" w:rsidRPr="008E3E1F" w:rsidRDefault="00723CBC" w:rsidP="00BF3645">
      <w:pPr>
        <w:ind w:left="0" w:firstLine="0"/>
        <w:rPr>
          <w:szCs w:val="22"/>
        </w:rPr>
      </w:pPr>
      <w:r w:rsidRPr="008E3E1F">
        <w:rPr>
          <w:szCs w:val="22"/>
        </w:rPr>
        <w:t xml:space="preserve">Skuteczność stosowania żelu </w:t>
      </w:r>
      <w:r w:rsidR="0031270B" w:rsidRPr="008E3E1F">
        <w:rPr>
          <w:szCs w:val="22"/>
        </w:rPr>
        <w:t xml:space="preserve">zawierającego </w:t>
      </w:r>
      <w:r w:rsidRPr="008E3E1F">
        <w:t>kalcypotriol + betametazon</w:t>
      </w:r>
      <w:r w:rsidR="00A24AD8" w:rsidRPr="008E3E1F">
        <w:t>,</w:t>
      </w:r>
      <w:r w:rsidRPr="008E3E1F">
        <w:t xml:space="preserve"> 50 mikrogramów/g + 0,5 mg/g </w:t>
      </w:r>
      <w:r w:rsidRPr="008E3E1F">
        <w:rPr>
          <w:szCs w:val="22"/>
        </w:rPr>
        <w:t xml:space="preserve">raz na dobę na skórę ciała inną niż owłosiona skóra głowy zbadano w 8-tygodniowych badaniach klinicznych z randomizacją, przeprowadzonych metodą podwójnie ślepej próby, obejmujących 296 pacjentów z łuszczycą zwyczajną o łagodnym bądź umiarkowanym przebiegu choroby według oceny badacza. </w:t>
      </w:r>
      <w:r w:rsidR="00E16155" w:rsidRPr="008E3E1F">
        <w:rPr>
          <w:szCs w:val="22"/>
        </w:rPr>
        <w:t>Produ</w:t>
      </w:r>
      <w:r w:rsidRPr="008E3E1F">
        <w:rPr>
          <w:szCs w:val="22"/>
        </w:rPr>
        <w:t>k</w:t>
      </w:r>
      <w:r w:rsidR="00E16155" w:rsidRPr="008E3E1F">
        <w:rPr>
          <w:szCs w:val="22"/>
        </w:rPr>
        <w:t>t</w:t>
      </w:r>
      <w:r w:rsidRPr="008E3E1F">
        <w:rPr>
          <w:szCs w:val="22"/>
        </w:rPr>
        <w:t xml:space="preserve">ami porównywanymi były: </w:t>
      </w:r>
      <w:r w:rsidR="00B23E28" w:rsidRPr="008E3E1F">
        <w:rPr>
          <w:szCs w:val="22"/>
        </w:rPr>
        <w:t xml:space="preserve">betametazonu  </w:t>
      </w:r>
      <w:r w:rsidRPr="008E3E1F">
        <w:rPr>
          <w:szCs w:val="22"/>
        </w:rPr>
        <w:t>dipropionian w podłożu żelu, kalcypotriol w podłożu żelu, samo podłoże żelu, wszystkie stosowane raz na dobę. Podstawowym kryterium odpowiedzi był stan kontrolny choroby według oceny IGA po 4 i 8 tygodniu. Wyrównanie choroby definiowano jako stan bez zmian lub z minimalnymi objawami łuszczycy u pacjentów o umiarkowanym przebiegu choroby w stanie wyjściowym, lub jako stan bez zmian u pacjentów z łagodnym przebiegiem choroby w stanie wyjściowym. Procentowa zmiana ciężkości przebiegu łuszczycy i wskaźnika nasilenia łuszczycy i pola zmian (ang. Psoriasis Severity and Area Index – PASI) w odniesieniu do stanu wyjściowego w 4 i 8 tygodniu, stanowiły wtórne kryterium odpowiedzi na lek.</w:t>
      </w:r>
    </w:p>
    <w:p w14:paraId="48C90C42" w14:textId="63E821E8" w:rsidR="00723CBC" w:rsidRPr="008E3E1F" w:rsidRDefault="00723CBC" w:rsidP="00BF3645">
      <w:pPr>
        <w:ind w:left="0" w:firstLine="0"/>
        <w:rPr>
          <w:szCs w:val="22"/>
        </w:rPr>
      </w:pPr>
    </w:p>
    <w:tbl>
      <w:tblPr>
        <w:tblStyle w:val="TableNormal1"/>
        <w:tblW w:w="9783" w:type="dxa"/>
        <w:tblInd w:w="105" w:type="dxa"/>
        <w:tblLayout w:type="fixed"/>
        <w:tblLook w:val="01E0" w:firstRow="1" w:lastRow="1" w:firstColumn="1" w:lastColumn="1" w:noHBand="0" w:noVBand="0"/>
      </w:tblPr>
      <w:tblGrid>
        <w:gridCol w:w="1467"/>
        <w:gridCol w:w="3199"/>
        <w:gridCol w:w="1907"/>
        <w:gridCol w:w="1763"/>
        <w:gridCol w:w="1447"/>
      </w:tblGrid>
      <w:tr w:rsidR="00723CBC" w:rsidRPr="008E3E1F" w14:paraId="5682B4F6" w14:textId="77777777" w:rsidTr="00723CBC">
        <w:trPr>
          <w:trHeight w:hRule="exact" w:val="1720"/>
        </w:trPr>
        <w:tc>
          <w:tcPr>
            <w:tcW w:w="1467" w:type="dxa"/>
            <w:tcBorders>
              <w:top w:val="single" w:sz="7" w:space="0" w:color="000000"/>
              <w:left w:val="single" w:sz="7" w:space="0" w:color="000000"/>
              <w:bottom w:val="single" w:sz="7" w:space="0" w:color="000000"/>
              <w:right w:val="single" w:sz="7" w:space="0" w:color="000000"/>
            </w:tcBorders>
          </w:tcPr>
          <w:p w14:paraId="1D774ED0" w14:textId="77777777" w:rsidR="00723CBC" w:rsidRPr="008E3E1F" w:rsidRDefault="00723CBC" w:rsidP="00723CBC">
            <w:pPr>
              <w:pStyle w:val="Default"/>
              <w:jc w:val="center"/>
              <w:rPr>
                <w:rFonts w:ascii="Times New Roman" w:hAnsi="Times New Roman" w:cs="Times New Roman"/>
                <w:sz w:val="22"/>
                <w:szCs w:val="22"/>
              </w:rPr>
            </w:pPr>
            <w:r w:rsidRPr="008E3E1F">
              <w:rPr>
                <w:rFonts w:ascii="Times New Roman" w:hAnsi="Times New Roman" w:cs="Times New Roman"/>
                <w:sz w:val="22"/>
                <w:szCs w:val="22"/>
              </w:rPr>
              <w:t xml:space="preserve">% pacjentów z chorobą wyrównaną </w:t>
            </w:r>
          </w:p>
          <w:p w14:paraId="7FC3CB29" w14:textId="07BE136B" w:rsidR="00723CBC" w:rsidRPr="008E3E1F" w:rsidRDefault="00723CBC" w:rsidP="009D41F2">
            <w:pPr>
              <w:pStyle w:val="TableParagraph"/>
              <w:spacing w:line="256" w:lineRule="auto"/>
              <w:ind w:left="149" w:right="143" w:hanging="15"/>
              <w:jc w:val="center"/>
              <w:rPr>
                <w:rFonts w:ascii="Times New Roman" w:eastAsia="Times New Roman" w:hAnsi="Times New Roman" w:cs="Times New Roman"/>
              </w:rPr>
            </w:pPr>
          </w:p>
        </w:tc>
        <w:tc>
          <w:tcPr>
            <w:tcW w:w="3199" w:type="dxa"/>
            <w:tcBorders>
              <w:top w:val="single" w:sz="7" w:space="0" w:color="000000"/>
              <w:left w:val="single" w:sz="7" w:space="0" w:color="000000"/>
              <w:bottom w:val="single" w:sz="7" w:space="0" w:color="000000"/>
              <w:right w:val="single" w:sz="7" w:space="0" w:color="000000"/>
            </w:tcBorders>
          </w:tcPr>
          <w:p w14:paraId="62274AFB" w14:textId="5609E23D" w:rsidR="0079686A" w:rsidRPr="008E3E1F" w:rsidRDefault="0079686A" w:rsidP="00B23E28">
            <w:pPr>
              <w:pStyle w:val="TableParagraph"/>
              <w:spacing w:before="3" w:line="242" w:lineRule="auto"/>
              <w:ind w:hanging="136"/>
              <w:jc w:val="center"/>
              <w:rPr>
                <w:rFonts w:ascii="Times New Roman" w:hAnsi="Times New Roman" w:cs="Times New Roman"/>
                <w:spacing w:val="-4"/>
                <w:lang w:val="pl-PL" w:bidi="pl-PL"/>
              </w:rPr>
            </w:pPr>
            <w:r w:rsidRPr="008E3E1F">
              <w:rPr>
                <w:rFonts w:ascii="Times New Roman" w:hAnsi="Times New Roman" w:cs="Times New Roman"/>
                <w:spacing w:val="-4"/>
                <w:lang w:val="pl-PL" w:bidi="pl-PL"/>
              </w:rPr>
              <w:t xml:space="preserve">Skojarzenie </w:t>
            </w:r>
            <w:r w:rsidR="00B23E28" w:rsidRPr="008E3E1F">
              <w:rPr>
                <w:rFonts w:ascii="Times New Roman" w:hAnsi="Times New Roman" w:cs="Times New Roman"/>
                <w:spacing w:val="-4"/>
                <w:lang w:val="pl-PL" w:bidi="pl-PL"/>
              </w:rPr>
              <w:t xml:space="preserve">betametazonu </w:t>
            </w:r>
            <w:r w:rsidRPr="008E3E1F">
              <w:rPr>
                <w:rFonts w:ascii="Times New Roman" w:hAnsi="Times New Roman" w:cs="Times New Roman"/>
                <w:spacing w:val="-4"/>
                <w:lang w:val="pl-PL" w:bidi="pl-PL"/>
              </w:rPr>
              <w:t>diprop</w:t>
            </w:r>
            <w:r w:rsidR="00252855" w:rsidRPr="008E3E1F">
              <w:rPr>
                <w:rFonts w:ascii="Times New Roman" w:hAnsi="Times New Roman" w:cs="Times New Roman"/>
                <w:spacing w:val="-4"/>
                <w:lang w:val="pl-PL" w:bidi="pl-PL"/>
              </w:rPr>
              <w:t>i</w:t>
            </w:r>
            <w:r w:rsidRPr="008E3E1F">
              <w:rPr>
                <w:rFonts w:ascii="Times New Roman" w:hAnsi="Times New Roman" w:cs="Times New Roman"/>
                <w:spacing w:val="-4"/>
                <w:lang w:val="pl-PL" w:bidi="pl-PL"/>
              </w:rPr>
              <w:t>onian</w:t>
            </w:r>
            <w:r w:rsidR="00897D99" w:rsidRPr="008E3E1F">
              <w:rPr>
                <w:rFonts w:ascii="Times New Roman" w:hAnsi="Times New Roman" w:cs="Times New Roman"/>
                <w:spacing w:val="-4"/>
                <w:lang w:val="pl-PL" w:bidi="pl-PL"/>
              </w:rPr>
              <w:t>u</w:t>
            </w:r>
            <w:r w:rsidRPr="008E3E1F">
              <w:rPr>
                <w:rFonts w:ascii="Times New Roman" w:hAnsi="Times New Roman" w:cs="Times New Roman"/>
                <w:spacing w:val="-4"/>
                <w:lang w:val="pl-PL" w:bidi="pl-PL"/>
              </w:rPr>
              <w:t xml:space="preserve"> i kalcypotriol</w:t>
            </w:r>
            <w:r w:rsidR="00897D99" w:rsidRPr="008E3E1F">
              <w:rPr>
                <w:rFonts w:ascii="Times New Roman" w:hAnsi="Times New Roman" w:cs="Times New Roman"/>
                <w:spacing w:val="-4"/>
                <w:lang w:val="pl-PL" w:bidi="pl-PL"/>
              </w:rPr>
              <w:t>u</w:t>
            </w:r>
            <w:r w:rsidRPr="008E3E1F">
              <w:rPr>
                <w:rFonts w:ascii="Times New Roman" w:hAnsi="Times New Roman" w:cs="Times New Roman"/>
                <w:spacing w:val="-4"/>
                <w:lang w:val="pl-PL" w:bidi="pl-PL"/>
              </w:rPr>
              <w:t xml:space="preserve"> </w:t>
            </w:r>
          </w:p>
          <w:p w14:paraId="18745CD9" w14:textId="77777777" w:rsidR="0079686A" w:rsidRPr="008E3E1F" w:rsidRDefault="0079686A" w:rsidP="0079686A">
            <w:pPr>
              <w:pStyle w:val="TableParagraph"/>
              <w:spacing w:before="3" w:line="242" w:lineRule="auto"/>
              <w:ind w:hanging="136"/>
              <w:jc w:val="center"/>
              <w:rPr>
                <w:rFonts w:ascii="Times New Roman" w:hAnsi="Times New Roman" w:cs="Times New Roman"/>
                <w:spacing w:val="-4"/>
                <w:lang w:val="pl-PL" w:bidi="pl-PL"/>
              </w:rPr>
            </w:pPr>
            <w:r w:rsidRPr="008E3E1F">
              <w:rPr>
                <w:rFonts w:ascii="Times New Roman" w:hAnsi="Times New Roman" w:cs="Times New Roman"/>
                <w:spacing w:val="-4"/>
                <w:lang w:val="pl-PL" w:bidi="pl-PL"/>
              </w:rPr>
              <w:t>w postaci żelu</w:t>
            </w:r>
          </w:p>
          <w:p w14:paraId="1555DA95" w14:textId="34E53A2D" w:rsidR="00723CBC" w:rsidRPr="008E3E1F" w:rsidRDefault="0079686A" w:rsidP="0079686A">
            <w:pPr>
              <w:pStyle w:val="TableParagraph"/>
              <w:spacing w:line="257" w:lineRule="auto"/>
              <w:ind w:left="210" w:hanging="210"/>
              <w:jc w:val="center"/>
              <w:rPr>
                <w:rFonts w:ascii="Times New Roman" w:eastAsia="Times New Roman" w:hAnsi="Times New Roman" w:cs="Times New Roman"/>
                <w:lang w:val="pl-PL"/>
              </w:rPr>
            </w:pPr>
            <w:r w:rsidRPr="008E3E1F" w:rsidDel="0079686A">
              <w:rPr>
                <w:rFonts w:ascii="Times New Roman" w:hAnsi="Times New Roman" w:cs="Times New Roman"/>
                <w:spacing w:val="-4"/>
                <w:lang w:val="pl-PL"/>
              </w:rPr>
              <w:t xml:space="preserve"> </w:t>
            </w:r>
            <w:r w:rsidR="00723CBC" w:rsidRPr="008E3E1F">
              <w:rPr>
                <w:rFonts w:ascii="Times New Roman" w:hAnsi="Times New Roman" w:cs="Times New Roman"/>
                <w:spacing w:val="-6"/>
                <w:lang w:val="pl-PL"/>
              </w:rPr>
              <w:t>(n=126)</w:t>
            </w:r>
          </w:p>
        </w:tc>
        <w:tc>
          <w:tcPr>
            <w:tcW w:w="1907" w:type="dxa"/>
            <w:tcBorders>
              <w:top w:val="single" w:sz="7" w:space="0" w:color="000000"/>
              <w:left w:val="single" w:sz="7" w:space="0" w:color="000000"/>
              <w:bottom w:val="single" w:sz="7" w:space="0" w:color="000000"/>
              <w:right w:val="single" w:sz="7" w:space="0" w:color="000000"/>
            </w:tcBorders>
          </w:tcPr>
          <w:p w14:paraId="19AF552E" w14:textId="6F2B041A" w:rsidR="00723CBC" w:rsidRPr="008E3E1F" w:rsidRDefault="00C974B2" w:rsidP="00DB58DE">
            <w:pPr>
              <w:pStyle w:val="TableParagraph"/>
              <w:spacing w:line="249" w:lineRule="auto"/>
              <w:ind w:left="163" w:right="154"/>
              <w:jc w:val="center"/>
              <w:rPr>
                <w:rFonts w:ascii="Times New Roman" w:eastAsia="Times New Roman" w:hAnsi="Times New Roman" w:cs="Times New Roman"/>
              </w:rPr>
            </w:pPr>
            <w:r w:rsidRPr="008E3E1F">
              <w:rPr>
                <w:rFonts w:ascii="Times New Roman" w:hAnsi="Times New Roman" w:cs="Times New Roman"/>
                <w:spacing w:val="-2"/>
              </w:rPr>
              <w:t>Betametazonu d</w:t>
            </w:r>
            <w:r w:rsidR="00723CBC" w:rsidRPr="008E3E1F">
              <w:rPr>
                <w:rFonts w:ascii="Times New Roman" w:hAnsi="Times New Roman" w:cs="Times New Roman"/>
                <w:spacing w:val="-2"/>
              </w:rPr>
              <w:t xml:space="preserve">ipropionian </w:t>
            </w:r>
            <w:r w:rsidR="00723CBC" w:rsidRPr="008E3E1F">
              <w:rPr>
                <w:rFonts w:ascii="Times New Roman" w:hAnsi="Times New Roman" w:cs="Times New Roman"/>
                <w:spacing w:val="-6"/>
              </w:rPr>
              <w:t>(n=68)</w:t>
            </w:r>
          </w:p>
        </w:tc>
        <w:tc>
          <w:tcPr>
            <w:tcW w:w="1763" w:type="dxa"/>
            <w:tcBorders>
              <w:top w:val="single" w:sz="7" w:space="0" w:color="000000"/>
              <w:left w:val="single" w:sz="7" w:space="0" w:color="000000"/>
              <w:bottom w:val="single" w:sz="7" w:space="0" w:color="000000"/>
              <w:right w:val="single" w:sz="7" w:space="0" w:color="000000"/>
            </w:tcBorders>
          </w:tcPr>
          <w:p w14:paraId="76639163" w14:textId="77777777" w:rsidR="00723CBC" w:rsidRPr="008E3E1F" w:rsidRDefault="00723CBC" w:rsidP="009D41F2">
            <w:pPr>
              <w:pStyle w:val="TableParagraph"/>
              <w:spacing w:before="6"/>
              <w:rPr>
                <w:rFonts w:ascii="Times New Roman" w:eastAsia="Times New Roman" w:hAnsi="Times New Roman" w:cs="Times New Roman"/>
              </w:rPr>
            </w:pPr>
          </w:p>
          <w:p w14:paraId="5E60358D" w14:textId="77777777" w:rsidR="00723CBC" w:rsidRPr="008E3E1F" w:rsidRDefault="00723CBC" w:rsidP="00723CBC">
            <w:pPr>
              <w:pStyle w:val="TableParagraph"/>
              <w:spacing w:line="256" w:lineRule="auto"/>
              <w:ind w:hanging="150"/>
              <w:jc w:val="center"/>
              <w:rPr>
                <w:rFonts w:ascii="Times New Roman" w:hAnsi="Times New Roman" w:cs="Times New Roman"/>
                <w:spacing w:val="23"/>
                <w:w w:val="102"/>
              </w:rPr>
            </w:pPr>
            <w:r w:rsidRPr="008E3E1F">
              <w:rPr>
                <w:rFonts w:ascii="Times New Roman" w:hAnsi="Times New Roman" w:cs="Times New Roman"/>
                <w:spacing w:val="-7"/>
              </w:rPr>
              <w:t>Kalcypotriol</w:t>
            </w:r>
          </w:p>
          <w:p w14:paraId="64CD6E56" w14:textId="5BAB86D3" w:rsidR="00723CBC" w:rsidRPr="008E3E1F" w:rsidRDefault="00723CBC" w:rsidP="009D41F2">
            <w:pPr>
              <w:pStyle w:val="TableParagraph"/>
              <w:spacing w:line="242" w:lineRule="auto"/>
              <w:ind w:left="555" w:right="341" w:hanging="211"/>
              <w:rPr>
                <w:rFonts w:ascii="Times New Roman" w:eastAsia="Times New Roman" w:hAnsi="Times New Roman" w:cs="Times New Roman"/>
              </w:rPr>
            </w:pPr>
            <w:r w:rsidRPr="008E3E1F">
              <w:rPr>
                <w:rFonts w:ascii="Times New Roman" w:hAnsi="Times New Roman" w:cs="Times New Roman"/>
                <w:spacing w:val="-6"/>
              </w:rPr>
              <w:t>(n=67)</w:t>
            </w:r>
          </w:p>
        </w:tc>
        <w:tc>
          <w:tcPr>
            <w:tcW w:w="1447" w:type="dxa"/>
            <w:tcBorders>
              <w:top w:val="single" w:sz="7" w:space="0" w:color="000000"/>
              <w:left w:val="single" w:sz="7" w:space="0" w:color="000000"/>
              <w:bottom w:val="single" w:sz="7" w:space="0" w:color="000000"/>
              <w:right w:val="single" w:sz="7" w:space="0" w:color="000000"/>
            </w:tcBorders>
          </w:tcPr>
          <w:p w14:paraId="380EBE52" w14:textId="77777777" w:rsidR="00723CBC" w:rsidRPr="008E3E1F" w:rsidRDefault="00723CBC" w:rsidP="009D41F2">
            <w:pPr>
              <w:pStyle w:val="TableParagraph"/>
              <w:spacing w:before="6"/>
              <w:rPr>
                <w:rFonts w:ascii="Times New Roman" w:eastAsia="Times New Roman" w:hAnsi="Times New Roman" w:cs="Times New Roman"/>
              </w:rPr>
            </w:pPr>
          </w:p>
          <w:p w14:paraId="28A82AE7" w14:textId="04E564D2" w:rsidR="00723CBC" w:rsidRPr="008E3E1F" w:rsidRDefault="00723CBC" w:rsidP="00723CBC">
            <w:pPr>
              <w:pStyle w:val="TableParagraph"/>
              <w:spacing w:line="242" w:lineRule="auto"/>
              <w:jc w:val="center"/>
              <w:rPr>
                <w:rFonts w:ascii="Times New Roman" w:eastAsia="Times New Roman" w:hAnsi="Times New Roman" w:cs="Times New Roman"/>
              </w:rPr>
            </w:pPr>
            <w:r w:rsidRPr="008E3E1F">
              <w:rPr>
                <w:rFonts w:ascii="Times New Roman" w:hAnsi="Times New Roman" w:cs="Times New Roman"/>
                <w:spacing w:val="-3"/>
              </w:rPr>
              <w:t>Podłoże żelu</w:t>
            </w:r>
            <w:r w:rsidRPr="008E3E1F">
              <w:rPr>
                <w:rFonts w:ascii="Times New Roman" w:hAnsi="Times New Roman" w:cs="Times New Roman"/>
                <w:spacing w:val="25"/>
                <w:w w:val="102"/>
              </w:rPr>
              <w:t xml:space="preserve"> </w:t>
            </w:r>
            <w:r w:rsidRPr="008E3E1F">
              <w:rPr>
                <w:rFonts w:ascii="Times New Roman" w:hAnsi="Times New Roman" w:cs="Times New Roman"/>
                <w:spacing w:val="-6"/>
              </w:rPr>
              <w:t>(n=35)</w:t>
            </w:r>
          </w:p>
        </w:tc>
      </w:tr>
      <w:tr w:rsidR="00723CBC" w:rsidRPr="008E3E1F" w14:paraId="2D6B1296" w14:textId="77777777" w:rsidTr="00723CBC">
        <w:trPr>
          <w:trHeight w:hRule="exact" w:val="405"/>
        </w:trPr>
        <w:tc>
          <w:tcPr>
            <w:tcW w:w="1467" w:type="dxa"/>
            <w:tcBorders>
              <w:top w:val="single" w:sz="7" w:space="0" w:color="000000"/>
              <w:left w:val="single" w:sz="7" w:space="0" w:color="000000"/>
              <w:bottom w:val="single" w:sz="7" w:space="0" w:color="000000"/>
              <w:right w:val="single" w:sz="7" w:space="0" w:color="000000"/>
            </w:tcBorders>
          </w:tcPr>
          <w:p w14:paraId="6F65216C" w14:textId="3D26359C" w:rsidR="00723CBC" w:rsidRPr="008E3E1F" w:rsidRDefault="00723CBC" w:rsidP="00723CBC">
            <w:pPr>
              <w:pStyle w:val="TableParagraph"/>
              <w:spacing w:before="3"/>
              <w:ind w:left="457"/>
              <w:rPr>
                <w:rFonts w:ascii="Times New Roman" w:eastAsia="Times New Roman" w:hAnsi="Times New Roman" w:cs="Times New Roman"/>
              </w:rPr>
            </w:pPr>
            <w:r w:rsidRPr="008E3E1F">
              <w:rPr>
                <w:rFonts w:ascii="Times New Roman" w:hAnsi="Times New Roman" w:cs="Times New Roman"/>
                <w:spacing w:val="1"/>
              </w:rPr>
              <w:t>tydzień</w:t>
            </w:r>
            <w:r w:rsidRPr="008E3E1F">
              <w:rPr>
                <w:rFonts w:ascii="Times New Roman" w:hAnsi="Times New Roman" w:cs="Times New Roman"/>
                <w:spacing w:val="12"/>
              </w:rPr>
              <w:t xml:space="preserve"> </w:t>
            </w:r>
            <w:r w:rsidRPr="008E3E1F">
              <w:rPr>
                <w:rFonts w:ascii="Times New Roman" w:hAnsi="Times New Roman" w:cs="Times New Roman"/>
              </w:rPr>
              <w:t>4</w:t>
            </w:r>
          </w:p>
        </w:tc>
        <w:tc>
          <w:tcPr>
            <w:tcW w:w="3199" w:type="dxa"/>
            <w:tcBorders>
              <w:top w:val="single" w:sz="7" w:space="0" w:color="000000"/>
              <w:left w:val="single" w:sz="7" w:space="0" w:color="000000"/>
              <w:bottom w:val="single" w:sz="7" w:space="0" w:color="000000"/>
              <w:right w:val="single" w:sz="7" w:space="0" w:color="000000"/>
            </w:tcBorders>
          </w:tcPr>
          <w:p w14:paraId="15C02732" w14:textId="2C626E09" w:rsidR="00723CBC" w:rsidRPr="008E3E1F" w:rsidRDefault="00723CBC" w:rsidP="009D41F2">
            <w:pPr>
              <w:pStyle w:val="TableParagraph"/>
              <w:spacing w:before="3"/>
              <w:ind w:left="509"/>
              <w:rPr>
                <w:rFonts w:ascii="Times New Roman" w:eastAsia="Times New Roman" w:hAnsi="Times New Roman" w:cs="Times New Roman"/>
              </w:rPr>
            </w:pPr>
            <w:r w:rsidRPr="008E3E1F">
              <w:rPr>
                <w:rFonts w:ascii="Times New Roman" w:hAnsi="Times New Roman" w:cs="Times New Roman"/>
                <w:spacing w:val="-4"/>
              </w:rPr>
              <w:t>20</w:t>
            </w:r>
            <w:r w:rsidR="00DD6D0E" w:rsidRPr="008E3E1F">
              <w:rPr>
                <w:rFonts w:ascii="Times New Roman" w:hAnsi="Times New Roman" w:cs="Times New Roman"/>
                <w:spacing w:val="-4"/>
              </w:rPr>
              <w:t>,</w:t>
            </w:r>
            <w:r w:rsidRPr="008E3E1F">
              <w:rPr>
                <w:rFonts w:ascii="Times New Roman" w:hAnsi="Times New Roman" w:cs="Times New Roman"/>
                <w:spacing w:val="-4"/>
              </w:rPr>
              <w:t>6</w:t>
            </w:r>
            <w:r w:rsidRPr="008E3E1F">
              <w:rPr>
                <w:rFonts w:ascii="Times New Roman" w:hAnsi="Times New Roman" w:cs="Times New Roman"/>
                <w:spacing w:val="9"/>
              </w:rPr>
              <w:t xml:space="preserve"> </w:t>
            </w:r>
            <w:r w:rsidRPr="008E3E1F">
              <w:rPr>
                <w:rFonts w:ascii="Times New Roman" w:hAnsi="Times New Roman" w:cs="Times New Roman"/>
              </w:rPr>
              <w:t>%</w:t>
            </w:r>
          </w:p>
        </w:tc>
        <w:tc>
          <w:tcPr>
            <w:tcW w:w="1907" w:type="dxa"/>
            <w:tcBorders>
              <w:top w:val="single" w:sz="7" w:space="0" w:color="000000"/>
              <w:left w:val="single" w:sz="7" w:space="0" w:color="000000"/>
              <w:bottom w:val="single" w:sz="7" w:space="0" w:color="000000"/>
              <w:right w:val="single" w:sz="7" w:space="0" w:color="000000"/>
            </w:tcBorders>
          </w:tcPr>
          <w:p w14:paraId="07AC5F7E" w14:textId="7AC7787E" w:rsidR="00723CBC" w:rsidRPr="008E3E1F" w:rsidRDefault="00723CBC" w:rsidP="009D41F2">
            <w:pPr>
              <w:pStyle w:val="TableParagraph"/>
              <w:spacing w:before="3"/>
              <w:ind w:left="494"/>
              <w:rPr>
                <w:rFonts w:ascii="Times New Roman" w:eastAsia="Times New Roman" w:hAnsi="Times New Roman" w:cs="Times New Roman"/>
              </w:rPr>
            </w:pPr>
            <w:r w:rsidRPr="008E3E1F">
              <w:rPr>
                <w:rFonts w:ascii="Times New Roman" w:hAnsi="Times New Roman" w:cs="Times New Roman"/>
                <w:spacing w:val="-4"/>
              </w:rPr>
              <w:t>10</w:t>
            </w:r>
            <w:r w:rsidR="00DD6D0E" w:rsidRPr="008E3E1F">
              <w:rPr>
                <w:rFonts w:ascii="Times New Roman" w:hAnsi="Times New Roman" w:cs="Times New Roman"/>
                <w:spacing w:val="-4"/>
              </w:rPr>
              <w:t>,</w:t>
            </w:r>
            <w:r w:rsidRPr="008E3E1F">
              <w:rPr>
                <w:rFonts w:ascii="Times New Roman" w:hAnsi="Times New Roman" w:cs="Times New Roman"/>
                <w:spacing w:val="-4"/>
              </w:rPr>
              <w:t>3</w:t>
            </w:r>
            <w:r w:rsidRPr="008E3E1F">
              <w:rPr>
                <w:rFonts w:ascii="Times New Roman" w:hAnsi="Times New Roman" w:cs="Times New Roman"/>
                <w:spacing w:val="13"/>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8"/>
                <w:vertAlign w:val="superscript"/>
              </w:rPr>
              <w:t>1</w:t>
            </w:r>
          </w:p>
        </w:tc>
        <w:tc>
          <w:tcPr>
            <w:tcW w:w="1763" w:type="dxa"/>
            <w:tcBorders>
              <w:top w:val="single" w:sz="7" w:space="0" w:color="000000"/>
              <w:left w:val="single" w:sz="7" w:space="0" w:color="000000"/>
              <w:bottom w:val="single" w:sz="7" w:space="0" w:color="000000"/>
              <w:right w:val="single" w:sz="7" w:space="0" w:color="000000"/>
            </w:tcBorders>
          </w:tcPr>
          <w:p w14:paraId="7AD80C55" w14:textId="39AF703E" w:rsidR="00723CBC" w:rsidRPr="008E3E1F" w:rsidRDefault="00723CBC" w:rsidP="009D41F2">
            <w:pPr>
              <w:pStyle w:val="TableParagraph"/>
              <w:spacing w:before="3"/>
              <w:ind w:left="540"/>
              <w:rPr>
                <w:rFonts w:ascii="Times New Roman" w:eastAsia="Times New Roman" w:hAnsi="Times New Roman" w:cs="Times New Roman"/>
              </w:rPr>
            </w:pPr>
            <w:r w:rsidRPr="008E3E1F">
              <w:rPr>
                <w:rFonts w:ascii="Times New Roman" w:hAnsi="Times New Roman" w:cs="Times New Roman"/>
                <w:spacing w:val="-2"/>
              </w:rPr>
              <w:t>4</w:t>
            </w:r>
            <w:r w:rsidR="00DD6D0E" w:rsidRPr="008E3E1F">
              <w:rPr>
                <w:rFonts w:ascii="Times New Roman" w:hAnsi="Times New Roman" w:cs="Times New Roman"/>
                <w:spacing w:val="-2"/>
              </w:rPr>
              <w:t>,</w:t>
            </w:r>
            <w:r w:rsidRPr="008E3E1F">
              <w:rPr>
                <w:rFonts w:ascii="Times New Roman" w:hAnsi="Times New Roman" w:cs="Times New Roman"/>
                <w:spacing w:val="-2"/>
              </w:rPr>
              <w:t>5</w:t>
            </w:r>
            <w:r w:rsidRPr="008E3E1F">
              <w:rPr>
                <w:rFonts w:ascii="Times New Roman" w:hAnsi="Times New Roman" w:cs="Times New Roman"/>
                <w:spacing w:val="11"/>
              </w:rPr>
              <w:t xml:space="preserve"> </w:t>
            </w:r>
            <w:r w:rsidRPr="008E3E1F">
              <w:rPr>
                <w:rFonts w:ascii="Times New Roman" w:hAnsi="Times New Roman" w:cs="Times New Roman"/>
                <w:spacing w:val="2"/>
              </w:rPr>
              <w:t>%</w:t>
            </w:r>
            <w:r w:rsidRPr="008E3E1F">
              <w:rPr>
                <w:rFonts w:ascii="Times New Roman" w:hAnsi="Times New Roman" w:cs="Times New Roman"/>
                <w:spacing w:val="2"/>
                <w:position w:val="8"/>
                <w:vertAlign w:val="superscript"/>
              </w:rPr>
              <w:t>1</w:t>
            </w:r>
          </w:p>
        </w:tc>
        <w:tc>
          <w:tcPr>
            <w:tcW w:w="1447" w:type="dxa"/>
            <w:tcBorders>
              <w:top w:val="single" w:sz="7" w:space="0" w:color="000000"/>
              <w:left w:val="single" w:sz="7" w:space="0" w:color="000000"/>
              <w:bottom w:val="single" w:sz="7" w:space="0" w:color="000000"/>
              <w:right w:val="single" w:sz="7" w:space="0" w:color="000000"/>
            </w:tcBorders>
          </w:tcPr>
          <w:p w14:paraId="4D5E157C" w14:textId="2C8841E4" w:rsidR="00723CBC" w:rsidRPr="008E3E1F" w:rsidRDefault="00723CBC" w:rsidP="009D41F2">
            <w:pPr>
              <w:pStyle w:val="TableParagraph"/>
              <w:spacing w:before="3"/>
              <w:ind w:left="524"/>
              <w:rPr>
                <w:rFonts w:ascii="Times New Roman" w:eastAsia="Times New Roman" w:hAnsi="Times New Roman" w:cs="Times New Roman"/>
              </w:rPr>
            </w:pPr>
            <w:r w:rsidRPr="008E3E1F">
              <w:rPr>
                <w:rFonts w:ascii="Times New Roman" w:hAnsi="Times New Roman" w:cs="Times New Roman"/>
                <w:spacing w:val="-2"/>
              </w:rPr>
              <w:t>2</w:t>
            </w:r>
            <w:r w:rsidR="00DD6D0E" w:rsidRPr="008E3E1F">
              <w:rPr>
                <w:rFonts w:ascii="Times New Roman" w:hAnsi="Times New Roman" w:cs="Times New Roman"/>
                <w:spacing w:val="-2"/>
              </w:rPr>
              <w:t>,</w:t>
            </w:r>
            <w:r w:rsidRPr="008E3E1F">
              <w:rPr>
                <w:rFonts w:ascii="Times New Roman" w:hAnsi="Times New Roman" w:cs="Times New Roman"/>
                <w:spacing w:val="-2"/>
              </w:rPr>
              <w:t>9</w:t>
            </w:r>
            <w:r w:rsidRPr="008E3E1F">
              <w:rPr>
                <w:rFonts w:ascii="Times New Roman" w:hAnsi="Times New Roman" w:cs="Times New Roman"/>
                <w:spacing w:val="11"/>
              </w:rPr>
              <w:t xml:space="preserve"> </w:t>
            </w:r>
            <w:r w:rsidRPr="008E3E1F">
              <w:rPr>
                <w:rFonts w:ascii="Times New Roman" w:hAnsi="Times New Roman" w:cs="Times New Roman"/>
                <w:spacing w:val="2"/>
              </w:rPr>
              <w:t>%</w:t>
            </w:r>
            <w:r w:rsidRPr="008E3E1F">
              <w:rPr>
                <w:rFonts w:ascii="Times New Roman" w:hAnsi="Times New Roman" w:cs="Times New Roman"/>
                <w:spacing w:val="2"/>
                <w:position w:val="8"/>
                <w:vertAlign w:val="superscript"/>
              </w:rPr>
              <w:t>1</w:t>
            </w:r>
          </w:p>
        </w:tc>
      </w:tr>
      <w:tr w:rsidR="00723CBC" w:rsidRPr="008E3E1F" w14:paraId="0F565B41" w14:textId="77777777" w:rsidTr="00723CBC">
        <w:trPr>
          <w:trHeight w:hRule="exact" w:val="405"/>
        </w:trPr>
        <w:tc>
          <w:tcPr>
            <w:tcW w:w="1467" w:type="dxa"/>
            <w:tcBorders>
              <w:top w:val="single" w:sz="7" w:space="0" w:color="000000"/>
              <w:left w:val="single" w:sz="7" w:space="0" w:color="000000"/>
              <w:bottom w:val="single" w:sz="7" w:space="0" w:color="000000"/>
              <w:right w:val="single" w:sz="7" w:space="0" w:color="000000"/>
            </w:tcBorders>
          </w:tcPr>
          <w:p w14:paraId="7FB4C47A" w14:textId="2A41CA17" w:rsidR="00723CBC" w:rsidRPr="008E3E1F" w:rsidRDefault="00723CBC" w:rsidP="00723CBC">
            <w:pPr>
              <w:pStyle w:val="TableParagraph"/>
              <w:spacing w:before="3"/>
              <w:ind w:left="457"/>
              <w:rPr>
                <w:rFonts w:ascii="Times New Roman" w:eastAsia="Times New Roman" w:hAnsi="Times New Roman" w:cs="Times New Roman"/>
              </w:rPr>
            </w:pPr>
            <w:r w:rsidRPr="008E3E1F">
              <w:rPr>
                <w:rFonts w:ascii="Times New Roman" w:hAnsi="Times New Roman" w:cs="Times New Roman"/>
                <w:spacing w:val="1"/>
              </w:rPr>
              <w:t>tydzień</w:t>
            </w:r>
            <w:r w:rsidRPr="008E3E1F">
              <w:rPr>
                <w:rFonts w:ascii="Times New Roman" w:hAnsi="Times New Roman" w:cs="Times New Roman"/>
                <w:spacing w:val="12"/>
              </w:rPr>
              <w:t xml:space="preserve"> </w:t>
            </w:r>
            <w:r w:rsidRPr="008E3E1F">
              <w:rPr>
                <w:rFonts w:ascii="Times New Roman" w:hAnsi="Times New Roman" w:cs="Times New Roman"/>
              </w:rPr>
              <w:t>8</w:t>
            </w:r>
          </w:p>
        </w:tc>
        <w:tc>
          <w:tcPr>
            <w:tcW w:w="3199" w:type="dxa"/>
            <w:tcBorders>
              <w:top w:val="single" w:sz="7" w:space="0" w:color="000000"/>
              <w:left w:val="single" w:sz="7" w:space="0" w:color="000000"/>
              <w:bottom w:val="single" w:sz="7" w:space="0" w:color="000000"/>
              <w:right w:val="single" w:sz="7" w:space="0" w:color="000000"/>
            </w:tcBorders>
          </w:tcPr>
          <w:p w14:paraId="54E2812B" w14:textId="572414BA" w:rsidR="00723CBC" w:rsidRPr="008E3E1F" w:rsidRDefault="00723CBC" w:rsidP="009D41F2">
            <w:pPr>
              <w:pStyle w:val="TableParagraph"/>
              <w:spacing w:before="3"/>
              <w:ind w:left="509"/>
              <w:rPr>
                <w:rFonts w:ascii="Times New Roman" w:eastAsia="Times New Roman" w:hAnsi="Times New Roman" w:cs="Times New Roman"/>
              </w:rPr>
            </w:pPr>
            <w:r w:rsidRPr="008E3E1F">
              <w:rPr>
                <w:rFonts w:ascii="Times New Roman" w:hAnsi="Times New Roman" w:cs="Times New Roman"/>
                <w:spacing w:val="-4"/>
              </w:rPr>
              <w:t>31</w:t>
            </w:r>
            <w:r w:rsidR="00DD6D0E" w:rsidRPr="008E3E1F">
              <w:rPr>
                <w:rFonts w:ascii="Times New Roman" w:hAnsi="Times New Roman" w:cs="Times New Roman"/>
                <w:spacing w:val="-4"/>
              </w:rPr>
              <w:t>,</w:t>
            </w:r>
            <w:r w:rsidRPr="008E3E1F">
              <w:rPr>
                <w:rFonts w:ascii="Times New Roman" w:hAnsi="Times New Roman" w:cs="Times New Roman"/>
                <w:spacing w:val="-4"/>
              </w:rPr>
              <w:t>7</w:t>
            </w:r>
            <w:r w:rsidRPr="008E3E1F">
              <w:rPr>
                <w:rFonts w:ascii="Times New Roman" w:hAnsi="Times New Roman" w:cs="Times New Roman"/>
                <w:spacing w:val="9"/>
              </w:rPr>
              <w:t xml:space="preserve"> </w:t>
            </w:r>
            <w:r w:rsidRPr="008E3E1F">
              <w:rPr>
                <w:rFonts w:ascii="Times New Roman" w:hAnsi="Times New Roman" w:cs="Times New Roman"/>
              </w:rPr>
              <w:t>%</w:t>
            </w:r>
          </w:p>
        </w:tc>
        <w:tc>
          <w:tcPr>
            <w:tcW w:w="1907" w:type="dxa"/>
            <w:tcBorders>
              <w:top w:val="single" w:sz="7" w:space="0" w:color="000000"/>
              <w:left w:val="single" w:sz="7" w:space="0" w:color="000000"/>
              <w:bottom w:val="single" w:sz="7" w:space="0" w:color="000000"/>
              <w:right w:val="single" w:sz="7" w:space="0" w:color="000000"/>
            </w:tcBorders>
          </w:tcPr>
          <w:p w14:paraId="10822A69" w14:textId="58E118F1" w:rsidR="00723CBC" w:rsidRPr="008E3E1F" w:rsidRDefault="00723CBC" w:rsidP="009D41F2">
            <w:pPr>
              <w:pStyle w:val="TableParagraph"/>
              <w:spacing w:before="3"/>
              <w:ind w:left="494"/>
              <w:rPr>
                <w:rFonts w:ascii="Times New Roman" w:eastAsia="Times New Roman" w:hAnsi="Times New Roman" w:cs="Times New Roman"/>
              </w:rPr>
            </w:pPr>
            <w:r w:rsidRPr="008E3E1F">
              <w:rPr>
                <w:rFonts w:ascii="Times New Roman" w:hAnsi="Times New Roman" w:cs="Times New Roman"/>
                <w:spacing w:val="-4"/>
              </w:rPr>
              <w:t>19</w:t>
            </w:r>
            <w:r w:rsidR="00DD6D0E" w:rsidRPr="008E3E1F">
              <w:rPr>
                <w:rFonts w:ascii="Times New Roman" w:hAnsi="Times New Roman" w:cs="Times New Roman"/>
                <w:spacing w:val="-4"/>
              </w:rPr>
              <w:t>,</w:t>
            </w:r>
            <w:r w:rsidRPr="008E3E1F">
              <w:rPr>
                <w:rFonts w:ascii="Times New Roman" w:hAnsi="Times New Roman" w:cs="Times New Roman"/>
                <w:spacing w:val="-4"/>
              </w:rPr>
              <w:t>1</w:t>
            </w:r>
            <w:r w:rsidRPr="008E3E1F">
              <w:rPr>
                <w:rFonts w:ascii="Times New Roman" w:hAnsi="Times New Roman" w:cs="Times New Roman"/>
                <w:spacing w:val="13"/>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7"/>
                <w:vertAlign w:val="superscript"/>
              </w:rPr>
              <w:t>1</w:t>
            </w:r>
          </w:p>
        </w:tc>
        <w:tc>
          <w:tcPr>
            <w:tcW w:w="1763" w:type="dxa"/>
            <w:tcBorders>
              <w:top w:val="single" w:sz="7" w:space="0" w:color="000000"/>
              <w:left w:val="single" w:sz="7" w:space="0" w:color="000000"/>
              <w:bottom w:val="single" w:sz="7" w:space="0" w:color="000000"/>
              <w:right w:val="single" w:sz="7" w:space="0" w:color="000000"/>
            </w:tcBorders>
          </w:tcPr>
          <w:p w14:paraId="6CA1C52D" w14:textId="34C88599" w:rsidR="00723CBC" w:rsidRPr="008E3E1F" w:rsidRDefault="00723CBC" w:rsidP="009D41F2">
            <w:pPr>
              <w:pStyle w:val="TableParagraph"/>
              <w:spacing w:before="3"/>
              <w:ind w:left="495"/>
              <w:rPr>
                <w:rFonts w:ascii="Times New Roman" w:eastAsia="Times New Roman" w:hAnsi="Times New Roman" w:cs="Times New Roman"/>
              </w:rPr>
            </w:pPr>
            <w:r w:rsidRPr="008E3E1F">
              <w:rPr>
                <w:rFonts w:ascii="Times New Roman" w:hAnsi="Times New Roman" w:cs="Times New Roman"/>
                <w:spacing w:val="-4"/>
              </w:rPr>
              <w:t>13</w:t>
            </w:r>
            <w:r w:rsidR="00DD6D0E" w:rsidRPr="008E3E1F">
              <w:rPr>
                <w:rFonts w:ascii="Times New Roman" w:hAnsi="Times New Roman" w:cs="Times New Roman"/>
                <w:spacing w:val="-4"/>
              </w:rPr>
              <w:t>,</w:t>
            </w:r>
            <w:r w:rsidRPr="008E3E1F">
              <w:rPr>
                <w:rFonts w:ascii="Times New Roman" w:hAnsi="Times New Roman" w:cs="Times New Roman"/>
                <w:spacing w:val="-4"/>
              </w:rPr>
              <w:t>4</w:t>
            </w:r>
            <w:r w:rsidRPr="008E3E1F">
              <w:rPr>
                <w:rFonts w:ascii="Times New Roman" w:hAnsi="Times New Roman" w:cs="Times New Roman"/>
                <w:spacing w:val="13"/>
              </w:rPr>
              <w:t xml:space="preserve"> </w:t>
            </w:r>
            <w:r w:rsidRPr="008E3E1F">
              <w:rPr>
                <w:rFonts w:ascii="Times New Roman" w:hAnsi="Times New Roman" w:cs="Times New Roman"/>
                <w:spacing w:val="2"/>
              </w:rPr>
              <w:t>%</w:t>
            </w:r>
            <w:r w:rsidRPr="008E3E1F">
              <w:rPr>
                <w:rFonts w:ascii="Times New Roman" w:hAnsi="Times New Roman" w:cs="Times New Roman"/>
                <w:spacing w:val="2"/>
                <w:position w:val="7"/>
                <w:vertAlign w:val="superscript"/>
              </w:rPr>
              <w:t>1</w:t>
            </w:r>
          </w:p>
        </w:tc>
        <w:tc>
          <w:tcPr>
            <w:tcW w:w="1447" w:type="dxa"/>
            <w:tcBorders>
              <w:top w:val="single" w:sz="7" w:space="0" w:color="000000"/>
              <w:left w:val="single" w:sz="7" w:space="0" w:color="000000"/>
              <w:bottom w:val="single" w:sz="7" w:space="0" w:color="000000"/>
              <w:right w:val="single" w:sz="7" w:space="0" w:color="000000"/>
            </w:tcBorders>
          </w:tcPr>
          <w:p w14:paraId="151630AF" w14:textId="407E1960" w:rsidR="00723CBC" w:rsidRPr="008E3E1F" w:rsidRDefault="00723CBC" w:rsidP="009D41F2">
            <w:pPr>
              <w:pStyle w:val="TableParagraph"/>
              <w:spacing w:before="3"/>
              <w:ind w:left="524"/>
              <w:rPr>
                <w:rFonts w:ascii="Times New Roman" w:eastAsia="Times New Roman" w:hAnsi="Times New Roman" w:cs="Times New Roman"/>
              </w:rPr>
            </w:pPr>
            <w:r w:rsidRPr="008E3E1F">
              <w:rPr>
                <w:rFonts w:ascii="Times New Roman" w:hAnsi="Times New Roman" w:cs="Times New Roman"/>
                <w:spacing w:val="-2"/>
              </w:rPr>
              <w:t>0</w:t>
            </w:r>
            <w:r w:rsidR="00DD6D0E" w:rsidRPr="008E3E1F">
              <w:rPr>
                <w:rFonts w:ascii="Times New Roman" w:hAnsi="Times New Roman" w:cs="Times New Roman"/>
                <w:spacing w:val="-2"/>
              </w:rPr>
              <w:t>,</w:t>
            </w:r>
            <w:r w:rsidRPr="008E3E1F">
              <w:rPr>
                <w:rFonts w:ascii="Times New Roman" w:hAnsi="Times New Roman" w:cs="Times New Roman"/>
                <w:spacing w:val="-2"/>
              </w:rPr>
              <w:t>0</w:t>
            </w:r>
            <w:r w:rsidRPr="008E3E1F">
              <w:rPr>
                <w:rFonts w:ascii="Times New Roman" w:hAnsi="Times New Roman" w:cs="Times New Roman"/>
                <w:spacing w:val="11"/>
              </w:rPr>
              <w:t xml:space="preserve"> </w:t>
            </w:r>
            <w:r w:rsidRPr="008E3E1F">
              <w:rPr>
                <w:rFonts w:ascii="Times New Roman" w:hAnsi="Times New Roman" w:cs="Times New Roman"/>
                <w:spacing w:val="2"/>
              </w:rPr>
              <w:t>%</w:t>
            </w:r>
            <w:r w:rsidRPr="008E3E1F">
              <w:rPr>
                <w:rFonts w:ascii="Times New Roman" w:hAnsi="Times New Roman" w:cs="Times New Roman"/>
                <w:spacing w:val="2"/>
                <w:position w:val="7"/>
                <w:vertAlign w:val="superscript"/>
              </w:rPr>
              <w:t>1</w:t>
            </w:r>
          </w:p>
        </w:tc>
      </w:tr>
    </w:tbl>
    <w:p w14:paraId="638E1F7B" w14:textId="663DA956" w:rsidR="00BF3645" w:rsidRPr="008E3E1F" w:rsidRDefault="00723CBC" w:rsidP="00BF3645">
      <w:pPr>
        <w:ind w:left="0" w:firstLine="0"/>
        <w:rPr>
          <w:sz w:val="18"/>
          <w:szCs w:val="18"/>
        </w:rPr>
      </w:pPr>
      <w:r w:rsidRPr="008E3E1F">
        <w:rPr>
          <w:szCs w:val="22"/>
          <w:vertAlign w:val="superscript"/>
        </w:rPr>
        <w:t>1</w:t>
      </w:r>
      <w:r w:rsidRPr="008E3E1F">
        <w:rPr>
          <w:sz w:val="12"/>
          <w:szCs w:val="12"/>
        </w:rPr>
        <w:t xml:space="preserve"> </w:t>
      </w:r>
      <w:r w:rsidRPr="008E3E1F">
        <w:rPr>
          <w:sz w:val="18"/>
          <w:szCs w:val="18"/>
        </w:rPr>
        <w:t xml:space="preserve">Statystycznie znaczniej mniej skuteczny niż </w:t>
      </w:r>
      <w:r w:rsidR="00EC14CA" w:rsidRPr="008E3E1F">
        <w:rPr>
          <w:spacing w:val="1"/>
          <w:w w:val="105"/>
          <w:sz w:val="16"/>
        </w:rPr>
        <w:t>skojarzenie</w:t>
      </w:r>
      <w:r w:rsidR="00B23E28" w:rsidRPr="008E3E1F">
        <w:rPr>
          <w:spacing w:val="1"/>
          <w:w w:val="105"/>
          <w:sz w:val="16"/>
        </w:rPr>
        <w:t xml:space="preserve"> betametazonu</w:t>
      </w:r>
      <w:r w:rsidR="00EC14CA" w:rsidRPr="008E3E1F">
        <w:rPr>
          <w:spacing w:val="1"/>
          <w:w w:val="105"/>
          <w:sz w:val="16"/>
        </w:rPr>
        <w:t xml:space="preserve"> dipropion</w:t>
      </w:r>
      <w:r w:rsidR="00DB60F9" w:rsidRPr="008E3E1F">
        <w:rPr>
          <w:spacing w:val="1"/>
          <w:w w:val="105"/>
          <w:sz w:val="16"/>
        </w:rPr>
        <w:t>ian</w:t>
      </w:r>
      <w:r w:rsidR="00897D99" w:rsidRPr="008E3E1F">
        <w:rPr>
          <w:spacing w:val="1"/>
          <w:w w:val="105"/>
          <w:sz w:val="16"/>
        </w:rPr>
        <w:t>u</w:t>
      </w:r>
      <w:r w:rsidR="00DB60F9" w:rsidRPr="008E3E1F">
        <w:rPr>
          <w:spacing w:val="1"/>
          <w:w w:val="105"/>
          <w:sz w:val="16"/>
        </w:rPr>
        <w:t xml:space="preserve"> i kalcypotriol</w:t>
      </w:r>
      <w:r w:rsidR="00897D99" w:rsidRPr="008E3E1F">
        <w:rPr>
          <w:spacing w:val="1"/>
          <w:w w:val="105"/>
          <w:sz w:val="16"/>
        </w:rPr>
        <w:t>u</w:t>
      </w:r>
      <w:r w:rsidR="00EC14CA" w:rsidRPr="008E3E1F">
        <w:rPr>
          <w:spacing w:val="1"/>
          <w:w w:val="105"/>
          <w:sz w:val="16"/>
        </w:rPr>
        <w:t xml:space="preserve"> w postaci żelu</w:t>
      </w:r>
      <w:r w:rsidRPr="008E3E1F">
        <w:rPr>
          <w:spacing w:val="1"/>
          <w:w w:val="105"/>
          <w:sz w:val="16"/>
        </w:rPr>
        <w:t xml:space="preserve"> </w:t>
      </w:r>
      <w:r w:rsidRPr="008E3E1F">
        <w:rPr>
          <w:sz w:val="18"/>
          <w:szCs w:val="18"/>
        </w:rPr>
        <w:t>(P&lt;0,05)</w:t>
      </w:r>
    </w:p>
    <w:p w14:paraId="188AA0E7" w14:textId="3127E9D5" w:rsidR="00723CBC" w:rsidRPr="008E3E1F" w:rsidRDefault="00723CBC" w:rsidP="00BF3645">
      <w:pPr>
        <w:ind w:left="0" w:firstLine="0"/>
        <w:rPr>
          <w:sz w:val="18"/>
          <w:szCs w:val="18"/>
        </w:rPr>
      </w:pPr>
    </w:p>
    <w:p w14:paraId="6342584F" w14:textId="77777777" w:rsidR="00723CBC" w:rsidRPr="008E3E1F" w:rsidRDefault="00723CBC" w:rsidP="00BF3645">
      <w:pPr>
        <w:ind w:left="0" w:firstLine="0"/>
        <w:rPr>
          <w:sz w:val="18"/>
          <w:szCs w:val="18"/>
        </w:rPr>
      </w:pPr>
    </w:p>
    <w:tbl>
      <w:tblPr>
        <w:tblStyle w:val="TableNormal1"/>
        <w:tblW w:w="9783" w:type="dxa"/>
        <w:tblInd w:w="105" w:type="dxa"/>
        <w:tblLayout w:type="fixed"/>
        <w:tblLook w:val="01E0" w:firstRow="1" w:lastRow="1" w:firstColumn="1" w:lastColumn="1" w:noHBand="0" w:noVBand="0"/>
      </w:tblPr>
      <w:tblGrid>
        <w:gridCol w:w="1591"/>
        <w:gridCol w:w="3122"/>
        <w:gridCol w:w="1883"/>
        <w:gridCol w:w="1754"/>
        <w:gridCol w:w="1433"/>
      </w:tblGrid>
      <w:tr w:rsidR="00723CBC" w:rsidRPr="008E3E1F" w14:paraId="1BA87E02" w14:textId="77777777" w:rsidTr="00723CBC">
        <w:trPr>
          <w:trHeight w:hRule="exact" w:val="1090"/>
        </w:trPr>
        <w:tc>
          <w:tcPr>
            <w:tcW w:w="1591" w:type="dxa"/>
            <w:tcBorders>
              <w:top w:val="single" w:sz="7" w:space="0" w:color="000000"/>
              <w:left w:val="single" w:sz="7" w:space="0" w:color="000000"/>
              <w:bottom w:val="single" w:sz="7" w:space="0" w:color="000000"/>
              <w:right w:val="single" w:sz="7" w:space="0" w:color="000000"/>
            </w:tcBorders>
          </w:tcPr>
          <w:p w14:paraId="7262A0FB" w14:textId="68348177" w:rsidR="00723CBC" w:rsidRPr="008E3E1F" w:rsidRDefault="00723CBC" w:rsidP="009D41F2">
            <w:pPr>
              <w:pStyle w:val="TableParagraph"/>
              <w:spacing w:before="4" w:line="242" w:lineRule="auto"/>
              <w:ind w:hanging="5"/>
              <w:jc w:val="center"/>
              <w:rPr>
                <w:rFonts w:ascii="Times New Roman" w:eastAsia="Times New Roman" w:hAnsi="Times New Roman" w:cs="Times New Roman"/>
                <w:lang w:val="pl-PL"/>
              </w:rPr>
            </w:pPr>
            <w:r w:rsidRPr="008E3E1F">
              <w:rPr>
                <w:rFonts w:ascii="Times New Roman" w:hAnsi="Times New Roman" w:cs="Times New Roman"/>
                <w:lang w:val="pl-PL"/>
              </w:rPr>
              <w:t xml:space="preserve">Średni procent zmniejszenia wskaźnika PASI </w:t>
            </w:r>
            <w:r w:rsidRPr="008E3E1F">
              <w:rPr>
                <w:rFonts w:ascii="Times New Roman" w:hAnsi="Times New Roman" w:cs="Times New Roman"/>
                <w:spacing w:val="-1"/>
                <w:lang w:val="pl-PL"/>
              </w:rPr>
              <w:t>(SD)</w:t>
            </w:r>
          </w:p>
        </w:tc>
        <w:tc>
          <w:tcPr>
            <w:tcW w:w="3122" w:type="dxa"/>
            <w:tcBorders>
              <w:top w:val="single" w:sz="7" w:space="0" w:color="000000"/>
              <w:left w:val="single" w:sz="7" w:space="0" w:color="000000"/>
              <w:bottom w:val="single" w:sz="7" w:space="0" w:color="000000"/>
              <w:right w:val="single" w:sz="7" w:space="0" w:color="000000"/>
            </w:tcBorders>
          </w:tcPr>
          <w:p w14:paraId="0560E3ED" w14:textId="3969BAF8" w:rsidR="00EC14CA" w:rsidRPr="008E3E1F" w:rsidRDefault="00EC14CA" w:rsidP="00B23E28">
            <w:pPr>
              <w:pStyle w:val="TableParagraph"/>
              <w:spacing w:before="4" w:line="241" w:lineRule="auto"/>
              <w:ind w:hanging="211"/>
              <w:jc w:val="center"/>
              <w:rPr>
                <w:rFonts w:ascii="Times New Roman" w:hAnsi="Times New Roman" w:cs="Times New Roman"/>
                <w:spacing w:val="-4"/>
                <w:lang w:val="pl-PL"/>
              </w:rPr>
            </w:pPr>
            <w:r w:rsidRPr="008E3E1F">
              <w:rPr>
                <w:rFonts w:ascii="Times New Roman" w:hAnsi="Times New Roman" w:cs="Times New Roman"/>
                <w:spacing w:val="-4"/>
                <w:lang w:val="pl-PL"/>
              </w:rPr>
              <w:t xml:space="preserve">Skojarzenie </w:t>
            </w:r>
            <w:r w:rsidR="00B23E28" w:rsidRPr="008E3E1F">
              <w:rPr>
                <w:rFonts w:ascii="Times New Roman" w:hAnsi="Times New Roman" w:cs="Times New Roman"/>
                <w:spacing w:val="-4"/>
                <w:lang w:val="pl-PL"/>
              </w:rPr>
              <w:t xml:space="preserve">betametazonu </w:t>
            </w:r>
            <w:r w:rsidRPr="008E3E1F">
              <w:rPr>
                <w:rFonts w:ascii="Times New Roman" w:hAnsi="Times New Roman" w:cs="Times New Roman"/>
                <w:spacing w:val="-4"/>
                <w:lang w:val="pl-PL"/>
              </w:rPr>
              <w:t>diprop</w:t>
            </w:r>
            <w:r w:rsidR="00252855" w:rsidRPr="008E3E1F">
              <w:rPr>
                <w:rFonts w:ascii="Times New Roman" w:hAnsi="Times New Roman" w:cs="Times New Roman"/>
                <w:spacing w:val="-4"/>
                <w:lang w:val="pl-PL"/>
              </w:rPr>
              <w:t>i</w:t>
            </w:r>
            <w:r w:rsidRPr="008E3E1F">
              <w:rPr>
                <w:rFonts w:ascii="Times New Roman" w:hAnsi="Times New Roman" w:cs="Times New Roman"/>
                <w:spacing w:val="-4"/>
                <w:lang w:val="pl-PL"/>
              </w:rPr>
              <w:t>onian</w:t>
            </w:r>
            <w:r w:rsidR="00D37407" w:rsidRPr="008E3E1F">
              <w:rPr>
                <w:rFonts w:ascii="Times New Roman" w:hAnsi="Times New Roman" w:cs="Times New Roman"/>
                <w:spacing w:val="-4"/>
                <w:lang w:val="pl-PL"/>
              </w:rPr>
              <w:t>u</w:t>
            </w:r>
            <w:r w:rsidRPr="008E3E1F">
              <w:rPr>
                <w:rFonts w:ascii="Times New Roman" w:hAnsi="Times New Roman" w:cs="Times New Roman"/>
                <w:spacing w:val="-4"/>
                <w:lang w:val="pl-PL"/>
              </w:rPr>
              <w:t xml:space="preserve"> i kalcypotriol</w:t>
            </w:r>
            <w:r w:rsidR="00D37407" w:rsidRPr="008E3E1F">
              <w:rPr>
                <w:rFonts w:ascii="Times New Roman" w:hAnsi="Times New Roman" w:cs="Times New Roman"/>
                <w:spacing w:val="-4"/>
                <w:lang w:val="pl-PL"/>
              </w:rPr>
              <w:t>u</w:t>
            </w:r>
            <w:r w:rsidRPr="008E3E1F">
              <w:rPr>
                <w:rFonts w:ascii="Times New Roman" w:hAnsi="Times New Roman" w:cs="Times New Roman"/>
                <w:spacing w:val="-4"/>
                <w:lang w:val="pl-PL"/>
              </w:rPr>
              <w:t xml:space="preserve"> </w:t>
            </w:r>
          </w:p>
          <w:p w14:paraId="5185062C" w14:textId="6DC88488" w:rsidR="00EC14CA" w:rsidRPr="008E3E1F" w:rsidRDefault="00EC14CA" w:rsidP="009D41F2">
            <w:pPr>
              <w:pStyle w:val="TableParagraph"/>
              <w:spacing w:before="4" w:line="241" w:lineRule="auto"/>
              <w:ind w:hanging="211"/>
              <w:jc w:val="center"/>
              <w:rPr>
                <w:rFonts w:ascii="Times New Roman" w:hAnsi="Times New Roman" w:cs="Times New Roman"/>
                <w:spacing w:val="-6"/>
                <w:lang w:val="pl-PL"/>
              </w:rPr>
            </w:pPr>
            <w:r w:rsidRPr="008E3E1F">
              <w:rPr>
                <w:rFonts w:ascii="Times New Roman" w:hAnsi="Times New Roman" w:cs="Times New Roman"/>
                <w:spacing w:val="-4"/>
                <w:lang w:val="pl-PL"/>
              </w:rPr>
              <w:t>w postaci żelu</w:t>
            </w:r>
            <w:r w:rsidRPr="008E3E1F" w:rsidDel="00EC14CA">
              <w:rPr>
                <w:rFonts w:ascii="Times New Roman" w:hAnsi="Times New Roman" w:cs="Times New Roman"/>
                <w:spacing w:val="-4"/>
                <w:lang w:val="pl-PL"/>
              </w:rPr>
              <w:t xml:space="preserve"> </w:t>
            </w:r>
          </w:p>
          <w:p w14:paraId="4CC69FDE" w14:textId="26B38F16" w:rsidR="00723CBC" w:rsidRPr="008E3E1F" w:rsidRDefault="00723CBC" w:rsidP="009D41F2">
            <w:pPr>
              <w:pStyle w:val="TableParagraph"/>
              <w:spacing w:before="4" w:line="241" w:lineRule="auto"/>
              <w:ind w:hanging="211"/>
              <w:jc w:val="center"/>
              <w:rPr>
                <w:rFonts w:ascii="Times New Roman" w:eastAsia="Times New Roman" w:hAnsi="Times New Roman" w:cs="Times New Roman"/>
              </w:rPr>
            </w:pPr>
            <w:r w:rsidRPr="008E3E1F">
              <w:rPr>
                <w:rFonts w:ascii="Times New Roman" w:hAnsi="Times New Roman" w:cs="Times New Roman"/>
                <w:spacing w:val="-6"/>
              </w:rPr>
              <w:t>(n=126)</w:t>
            </w:r>
          </w:p>
        </w:tc>
        <w:tc>
          <w:tcPr>
            <w:tcW w:w="1883" w:type="dxa"/>
            <w:tcBorders>
              <w:top w:val="single" w:sz="7" w:space="0" w:color="000000"/>
              <w:left w:val="single" w:sz="7" w:space="0" w:color="000000"/>
              <w:bottom w:val="single" w:sz="7" w:space="0" w:color="000000"/>
              <w:right w:val="single" w:sz="7" w:space="0" w:color="000000"/>
            </w:tcBorders>
          </w:tcPr>
          <w:p w14:paraId="471B239B" w14:textId="790C8688" w:rsidR="00723CBC" w:rsidRPr="008E3E1F" w:rsidRDefault="00C974B2" w:rsidP="009D41F2">
            <w:pPr>
              <w:pStyle w:val="TableParagraph"/>
              <w:spacing w:before="4" w:line="242" w:lineRule="auto"/>
              <w:jc w:val="center"/>
              <w:rPr>
                <w:rFonts w:ascii="Times New Roman" w:hAnsi="Times New Roman" w:cs="Times New Roman"/>
                <w:spacing w:val="-2"/>
              </w:rPr>
            </w:pPr>
            <w:r w:rsidRPr="008E3E1F">
              <w:rPr>
                <w:rFonts w:ascii="Times New Roman" w:hAnsi="Times New Roman" w:cs="Times New Roman"/>
                <w:spacing w:val="-2"/>
              </w:rPr>
              <w:t>Betametazonu d</w:t>
            </w:r>
            <w:r w:rsidR="00723CBC" w:rsidRPr="008E3E1F">
              <w:rPr>
                <w:rFonts w:ascii="Times New Roman" w:hAnsi="Times New Roman" w:cs="Times New Roman"/>
                <w:spacing w:val="-2"/>
              </w:rPr>
              <w:t xml:space="preserve">ipropionian </w:t>
            </w:r>
          </w:p>
          <w:p w14:paraId="5EA1D5FA" w14:textId="6A4A7FF1" w:rsidR="00723CBC" w:rsidRPr="008E3E1F" w:rsidRDefault="00723CBC" w:rsidP="009D41F2">
            <w:pPr>
              <w:pStyle w:val="TableParagraph"/>
              <w:spacing w:before="4" w:line="242" w:lineRule="auto"/>
              <w:jc w:val="center"/>
              <w:rPr>
                <w:rFonts w:ascii="Times New Roman" w:eastAsia="Times New Roman" w:hAnsi="Times New Roman" w:cs="Times New Roman"/>
              </w:rPr>
            </w:pPr>
            <w:r w:rsidRPr="008E3E1F">
              <w:rPr>
                <w:rFonts w:ascii="Times New Roman" w:hAnsi="Times New Roman" w:cs="Times New Roman"/>
                <w:spacing w:val="-6"/>
              </w:rPr>
              <w:t>(n=68)</w:t>
            </w:r>
          </w:p>
        </w:tc>
        <w:tc>
          <w:tcPr>
            <w:tcW w:w="1754" w:type="dxa"/>
            <w:tcBorders>
              <w:top w:val="single" w:sz="7" w:space="0" w:color="000000"/>
              <w:left w:val="single" w:sz="7" w:space="0" w:color="000000"/>
              <w:bottom w:val="single" w:sz="7" w:space="0" w:color="000000"/>
              <w:right w:val="single" w:sz="7" w:space="0" w:color="000000"/>
            </w:tcBorders>
          </w:tcPr>
          <w:p w14:paraId="019AD33B" w14:textId="77777777" w:rsidR="00723CBC" w:rsidRPr="008E3E1F" w:rsidRDefault="00723CBC" w:rsidP="009D41F2">
            <w:pPr>
              <w:pStyle w:val="TableParagraph"/>
              <w:spacing w:before="6"/>
              <w:jc w:val="center"/>
              <w:rPr>
                <w:rFonts w:ascii="Times New Roman" w:eastAsia="Times New Roman" w:hAnsi="Times New Roman" w:cs="Times New Roman"/>
              </w:rPr>
            </w:pPr>
          </w:p>
          <w:p w14:paraId="35EEF93A" w14:textId="77777777" w:rsidR="00723CBC" w:rsidRPr="008E3E1F" w:rsidRDefault="00723CBC" w:rsidP="00723CBC">
            <w:pPr>
              <w:pStyle w:val="TableParagraph"/>
              <w:spacing w:line="256" w:lineRule="auto"/>
              <w:ind w:hanging="150"/>
              <w:jc w:val="center"/>
              <w:rPr>
                <w:rFonts w:ascii="Times New Roman" w:hAnsi="Times New Roman" w:cs="Times New Roman"/>
                <w:spacing w:val="23"/>
                <w:w w:val="102"/>
              </w:rPr>
            </w:pPr>
            <w:r w:rsidRPr="008E3E1F">
              <w:rPr>
                <w:rFonts w:ascii="Times New Roman" w:hAnsi="Times New Roman" w:cs="Times New Roman"/>
                <w:spacing w:val="-7"/>
              </w:rPr>
              <w:t>Kalcypotriol</w:t>
            </w:r>
          </w:p>
          <w:p w14:paraId="22C41E96" w14:textId="77777777" w:rsidR="00723CBC" w:rsidRPr="008E3E1F" w:rsidRDefault="00723CBC" w:rsidP="009D41F2">
            <w:pPr>
              <w:pStyle w:val="TableParagraph"/>
              <w:spacing w:line="242" w:lineRule="auto"/>
              <w:ind w:hanging="211"/>
              <w:jc w:val="center"/>
              <w:rPr>
                <w:rFonts w:ascii="Times New Roman" w:eastAsia="Times New Roman" w:hAnsi="Times New Roman" w:cs="Times New Roman"/>
              </w:rPr>
            </w:pPr>
            <w:r w:rsidRPr="008E3E1F">
              <w:rPr>
                <w:rFonts w:ascii="Times New Roman" w:hAnsi="Times New Roman" w:cs="Times New Roman"/>
                <w:spacing w:val="-6"/>
              </w:rPr>
              <w:t>(n=67)</w:t>
            </w:r>
          </w:p>
        </w:tc>
        <w:tc>
          <w:tcPr>
            <w:tcW w:w="1433" w:type="dxa"/>
            <w:tcBorders>
              <w:top w:val="single" w:sz="7" w:space="0" w:color="000000"/>
              <w:left w:val="single" w:sz="7" w:space="0" w:color="000000"/>
              <w:bottom w:val="single" w:sz="7" w:space="0" w:color="000000"/>
              <w:right w:val="single" w:sz="7" w:space="0" w:color="000000"/>
            </w:tcBorders>
          </w:tcPr>
          <w:p w14:paraId="58D6223E" w14:textId="77777777" w:rsidR="00723CBC" w:rsidRPr="008E3E1F" w:rsidRDefault="00723CBC" w:rsidP="009D41F2">
            <w:pPr>
              <w:pStyle w:val="TableParagraph"/>
              <w:spacing w:before="6"/>
              <w:jc w:val="center"/>
              <w:rPr>
                <w:rFonts w:ascii="Times New Roman" w:eastAsia="Times New Roman" w:hAnsi="Times New Roman" w:cs="Times New Roman"/>
              </w:rPr>
            </w:pPr>
          </w:p>
          <w:p w14:paraId="70161ECC" w14:textId="772E84B7" w:rsidR="00723CBC" w:rsidRPr="008E3E1F" w:rsidRDefault="00723CBC" w:rsidP="009D41F2">
            <w:pPr>
              <w:pStyle w:val="TableParagraph"/>
              <w:spacing w:line="242" w:lineRule="auto"/>
              <w:ind w:hanging="210"/>
              <w:jc w:val="center"/>
              <w:rPr>
                <w:rFonts w:ascii="Times New Roman" w:eastAsia="Times New Roman" w:hAnsi="Times New Roman" w:cs="Times New Roman"/>
              </w:rPr>
            </w:pPr>
            <w:r w:rsidRPr="008E3E1F">
              <w:rPr>
                <w:rFonts w:ascii="Times New Roman" w:hAnsi="Times New Roman" w:cs="Times New Roman"/>
                <w:spacing w:val="-3"/>
              </w:rPr>
              <w:t>Podłoże żelu</w:t>
            </w:r>
            <w:r w:rsidRPr="008E3E1F">
              <w:rPr>
                <w:rFonts w:ascii="Times New Roman" w:hAnsi="Times New Roman" w:cs="Times New Roman"/>
                <w:spacing w:val="25"/>
                <w:w w:val="102"/>
              </w:rPr>
              <w:t xml:space="preserve"> </w:t>
            </w:r>
            <w:r w:rsidRPr="008E3E1F">
              <w:rPr>
                <w:rFonts w:ascii="Times New Roman" w:hAnsi="Times New Roman" w:cs="Times New Roman"/>
                <w:spacing w:val="-6"/>
              </w:rPr>
              <w:t>(n=35)</w:t>
            </w:r>
          </w:p>
        </w:tc>
      </w:tr>
      <w:tr w:rsidR="00723CBC" w:rsidRPr="008E3E1F" w14:paraId="436D8098" w14:textId="77777777" w:rsidTr="00723CBC">
        <w:trPr>
          <w:trHeight w:hRule="exact" w:val="405"/>
        </w:trPr>
        <w:tc>
          <w:tcPr>
            <w:tcW w:w="1591" w:type="dxa"/>
            <w:tcBorders>
              <w:top w:val="single" w:sz="7" w:space="0" w:color="000000"/>
              <w:left w:val="single" w:sz="7" w:space="0" w:color="000000"/>
              <w:bottom w:val="single" w:sz="7" w:space="0" w:color="000000"/>
              <w:right w:val="single" w:sz="7" w:space="0" w:color="000000"/>
            </w:tcBorders>
          </w:tcPr>
          <w:p w14:paraId="29F6DCFB" w14:textId="3B701BD5" w:rsidR="00723CBC" w:rsidRPr="008E3E1F" w:rsidRDefault="00723CBC" w:rsidP="00723CBC">
            <w:pPr>
              <w:pStyle w:val="TableParagraph"/>
              <w:spacing w:line="241" w:lineRule="exact"/>
              <w:ind w:left="614"/>
              <w:rPr>
                <w:rFonts w:ascii="Times New Roman" w:eastAsia="Times New Roman" w:hAnsi="Times New Roman" w:cs="Times New Roman"/>
              </w:rPr>
            </w:pPr>
            <w:r w:rsidRPr="008E3E1F">
              <w:rPr>
                <w:rFonts w:ascii="Times New Roman" w:hAnsi="Times New Roman" w:cs="Times New Roman"/>
                <w:spacing w:val="1"/>
              </w:rPr>
              <w:t>tydzień</w:t>
            </w:r>
            <w:r w:rsidRPr="008E3E1F">
              <w:rPr>
                <w:rFonts w:ascii="Times New Roman" w:hAnsi="Times New Roman" w:cs="Times New Roman"/>
                <w:spacing w:val="12"/>
              </w:rPr>
              <w:t xml:space="preserve"> </w:t>
            </w:r>
            <w:r w:rsidRPr="008E3E1F">
              <w:rPr>
                <w:rFonts w:ascii="Times New Roman" w:hAnsi="Times New Roman" w:cs="Times New Roman"/>
              </w:rPr>
              <w:t>4</w:t>
            </w:r>
          </w:p>
        </w:tc>
        <w:tc>
          <w:tcPr>
            <w:tcW w:w="3122" w:type="dxa"/>
            <w:tcBorders>
              <w:top w:val="single" w:sz="7" w:space="0" w:color="000000"/>
              <w:left w:val="single" w:sz="7" w:space="0" w:color="000000"/>
              <w:bottom w:val="single" w:sz="7" w:space="0" w:color="000000"/>
              <w:right w:val="single" w:sz="7" w:space="0" w:color="000000"/>
            </w:tcBorders>
          </w:tcPr>
          <w:p w14:paraId="7E88633E" w14:textId="1EC7EE52" w:rsidR="00723CBC" w:rsidRPr="008E3E1F" w:rsidRDefault="00723CBC" w:rsidP="00DD6D0E">
            <w:pPr>
              <w:pStyle w:val="TableParagraph"/>
              <w:spacing w:line="241" w:lineRule="exact"/>
              <w:ind w:left="344"/>
              <w:rPr>
                <w:rFonts w:ascii="Times New Roman" w:eastAsia="Times New Roman" w:hAnsi="Times New Roman" w:cs="Times New Roman"/>
              </w:rPr>
            </w:pPr>
            <w:r w:rsidRPr="008E3E1F">
              <w:rPr>
                <w:rFonts w:ascii="Times New Roman" w:hAnsi="Times New Roman" w:cs="Times New Roman"/>
                <w:spacing w:val="-4"/>
              </w:rPr>
              <w:t>50</w:t>
            </w:r>
            <w:r w:rsidR="00DD6D0E" w:rsidRPr="008E3E1F">
              <w:rPr>
                <w:rFonts w:ascii="Times New Roman" w:hAnsi="Times New Roman" w:cs="Times New Roman"/>
                <w:spacing w:val="-4"/>
              </w:rPr>
              <w:t>,</w:t>
            </w:r>
            <w:r w:rsidRPr="008E3E1F">
              <w:rPr>
                <w:rFonts w:ascii="Times New Roman" w:hAnsi="Times New Roman" w:cs="Times New Roman"/>
                <w:spacing w:val="-4"/>
              </w:rPr>
              <w:t>2</w:t>
            </w:r>
            <w:r w:rsidRPr="008E3E1F">
              <w:rPr>
                <w:rFonts w:ascii="Times New Roman" w:hAnsi="Times New Roman" w:cs="Times New Roman"/>
                <w:spacing w:val="15"/>
              </w:rPr>
              <w:t xml:space="preserve"> </w:t>
            </w:r>
            <w:r w:rsidRPr="008E3E1F">
              <w:rPr>
                <w:rFonts w:ascii="Times New Roman" w:hAnsi="Times New Roman" w:cs="Times New Roman"/>
                <w:spacing w:val="-4"/>
              </w:rPr>
              <w:t>(32</w:t>
            </w:r>
            <w:r w:rsidR="00DD6D0E" w:rsidRPr="008E3E1F">
              <w:rPr>
                <w:rFonts w:ascii="Times New Roman" w:hAnsi="Times New Roman" w:cs="Times New Roman"/>
                <w:spacing w:val="-4"/>
              </w:rPr>
              <w:t>,</w:t>
            </w:r>
            <w:r w:rsidRPr="008E3E1F">
              <w:rPr>
                <w:rFonts w:ascii="Times New Roman" w:hAnsi="Times New Roman" w:cs="Times New Roman"/>
                <w:spacing w:val="-4"/>
              </w:rPr>
              <w:t>7)</w:t>
            </w:r>
          </w:p>
        </w:tc>
        <w:tc>
          <w:tcPr>
            <w:tcW w:w="1883" w:type="dxa"/>
            <w:tcBorders>
              <w:top w:val="single" w:sz="7" w:space="0" w:color="000000"/>
              <w:left w:val="single" w:sz="7" w:space="0" w:color="000000"/>
              <w:bottom w:val="single" w:sz="7" w:space="0" w:color="000000"/>
              <w:right w:val="single" w:sz="7" w:space="0" w:color="000000"/>
            </w:tcBorders>
          </w:tcPr>
          <w:p w14:paraId="51544E76" w14:textId="040F03DF" w:rsidR="00723CBC" w:rsidRPr="008E3E1F" w:rsidRDefault="00723CBC" w:rsidP="00DD6D0E">
            <w:pPr>
              <w:pStyle w:val="TableParagraph"/>
              <w:spacing w:line="241" w:lineRule="exact"/>
              <w:ind w:left="329"/>
              <w:rPr>
                <w:rFonts w:ascii="Times New Roman" w:eastAsia="Times New Roman" w:hAnsi="Times New Roman" w:cs="Times New Roman"/>
                <w:sz w:val="13"/>
                <w:szCs w:val="13"/>
              </w:rPr>
            </w:pPr>
            <w:r w:rsidRPr="008E3E1F">
              <w:rPr>
                <w:rFonts w:ascii="Times New Roman" w:hAnsi="Times New Roman" w:cs="Times New Roman"/>
                <w:spacing w:val="-4"/>
              </w:rPr>
              <w:t>40</w:t>
            </w:r>
            <w:r w:rsidR="00DD6D0E" w:rsidRPr="008E3E1F">
              <w:rPr>
                <w:rFonts w:ascii="Times New Roman" w:hAnsi="Times New Roman" w:cs="Times New Roman"/>
                <w:spacing w:val="-4"/>
              </w:rPr>
              <w:t>,</w:t>
            </w:r>
            <w:r w:rsidRPr="008E3E1F">
              <w:rPr>
                <w:rFonts w:ascii="Times New Roman" w:hAnsi="Times New Roman" w:cs="Times New Roman"/>
                <w:spacing w:val="-4"/>
              </w:rPr>
              <w:t>8</w:t>
            </w:r>
            <w:r w:rsidRPr="008E3E1F">
              <w:rPr>
                <w:rFonts w:ascii="Times New Roman" w:hAnsi="Times New Roman" w:cs="Times New Roman"/>
                <w:spacing w:val="17"/>
              </w:rPr>
              <w:t xml:space="preserve"> </w:t>
            </w:r>
            <w:r w:rsidRPr="008E3E1F">
              <w:rPr>
                <w:rFonts w:ascii="Times New Roman" w:hAnsi="Times New Roman" w:cs="Times New Roman"/>
                <w:spacing w:val="-3"/>
              </w:rPr>
              <w:t>(33</w:t>
            </w:r>
            <w:r w:rsidR="00DD6D0E" w:rsidRPr="008E3E1F">
              <w:rPr>
                <w:rFonts w:ascii="Times New Roman" w:hAnsi="Times New Roman" w:cs="Times New Roman"/>
                <w:spacing w:val="-3"/>
              </w:rPr>
              <w:t>,</w:t>
            </w:r>
            <w:r w:rsidRPr="008E3E1F">
              <w:rPr>
                <w:rFonts w:ascii="Times New Roman" w:hAnsi="Times New Roman" w:cs="Times New Roman"/>
                <w:spacing w:val="-3"/>
              </w:rPr>
              <w:t>3)</w:t>
            </w:r>
            <w:r w:rsidRPr="008E3E1F">
              <w:rPr>
                <w:rFonts w:ascii="Times New Roman" w:hAnsi="Times New Roman" w:cs="Times New Roman"/>
                <w:spacing w:val="-3"/>
                <w:position w:val="7"/>
                <w:sz w:val="13"/>
              </w:rPr>
              <w:t>1</w:t>
            </w:r>
          </w:p>
        </w:tc>
        <w:tc>
          <w:tcPr>
            <w:tcW w:w="1754" w:type="dxa"/>
            <w:tcBorders>
              <w:top w:val="single" w:sz="7" w:space="0" w:color="000000"/>
              <w:left w:val="single" w:sz="7" w:space="0" w:color="000000"/>
              <w:bottom w:val="single" w:sz="7" w:space="0" w:color="000000"/>
              <w:right w:val="single" w:sz="7" w:space="0" w:color="000000"/>
            </w:tcBorders>
          </w:tcPr>
          <w:p w14:paraId="2A52F855" w14:textId="5C9EB883" w:rsidR="00723CBC" w:rsidRPr="008E3E1F" w:rsidRDefault="00723CBC" w:rsidP="00723CBC">
            <w:pPr>
              <w:pStyle w:val="TableParagraph"/>
              <w:spacing w:line="241" w:lineRule="exact"/>
              <w:ind w:left="329"/>
              <w:rPr>
                <w:rFonts w:ascii="Times New Roman" w:eastAsia="Times New Roman" w:hAnsi="Times New Roman" w:cs="Times New Roman"/>
                <w:sz w:val="13"/>
                <w:szCs w:val="13"/>
              </w:rPr>
            </w:pPr>
            <w:r w:rsidRPr="008E3E1F">
              <w:rPr>
                <w:rFonts w:ascii="Times New Roman" w:hAnsi="Times New Roman" w:cs="Times New Roman"/>
                <w:spacing w:val="-4"/>
              </w:rPr>
              <w:t>32</w:t>
            </w:r>
            <w:r w:rsidR="00DD6D0E" w:rsidRPr="008E3E1F">
              <w:rPr>
                <w:rFonts w:ascii="Times New Roman" w:hAnsi="Times New Roman" w:cs="Times New Roman"/>
                <w:spacing w:val="-4"/>
              </w:rPr>
              <w:t>,</w:t>
            </w:r>
            <w:r w:rsidRPr="008E3E1F">
              <w:rPr>
                <w:rFonts w:ascii="Times New Roman" w:hAnsi="Times New Roman" w:cs="Times New Roman"/>
                <w:spacing w:val="-4"/>
              </w:rPr>
              <w:t>1</w:t>
            </w:r>
            <w:r w:rsidRPr="008E3E1F">
              <w:rPr>
                <w:rFonts w:ascii="Times New Roman" w:hAnsi="Times New Roman" w:cs="Times New Roman"/>
                <w:spacing w:val="17"/>
              </w:rPr>
              <w:t xml:space="preserve"> </w:t>
            </w:r>
            <w:r w:rsidRPr="008E3E1F">
              <w:rPr>
                <w:rFonts w:ascii="Times New Roman" w:hAnsi="Times New Roman" w:cs="Times New Roman"/>
                <w:spacing w:val="-3"/>
              </w:rPr>
              <w:t>(23</w:t>
            </w:r>
            <w:r w:rsidR="00DD6D0E" w:rsidRPr="008E3E1F">
              <w:rPr>
                <w:rFonts w:ascii="Times New Roman" w:hAnsi="Times New Roman" w:cs="Times New Roman"/>
                <w:spacing w:val="-3"/>
              </w:rPr>
              <w:t>,</w:t>
            </w:r>
            <w:r w:rsidRPr="008E3E1F">
              <w:rPr>
                <w:rFonts w:ascii="Times New Roman" w:hAnsi="Times New Roman" w:cs="Times New Roman"/>
                <w:spacing w:val="-3"/>
              </w:rPr>
              <w:t>6)</w:t>
            </w:r>
            <w:r w:rsidRPr="008E3E1F">
              <w:rPr>
                <w:rFonts w:ascii="Times New Roman" w:hAnsi="Times New Roman" w:cs="Times New Roman"/>
                <w:spacing w:val="-3"/>
                <w:position w:val="7"/>
                <w:sz w:val="13"/>
              </w:rPr>
              <w:t>1</w:t>
            </w:r>
          </w:p>
        </w:tc>
        <w:tc>
          <w:tcPr>
            <w:tcW w:w="1433" w:type="dxa"/>
            <w:tcBorders>
              <w:top w:val="single" w:sz="7" w:space="0" w:color="000000"/>
              <w:left w:val="single" w:sz="7" w:space="0" w:color="000000"/>
              <w:bottom w:val="single" w:sz="7" w:space="0" w:color="000000"/>
              <w:right w:val="single" w:sz="7" w:space="0" w:color="000000"/>
            </w:tcBorders>
          </w:tcPr>
          <w:p w14:paraId="4C0DAB32" w14:textId="2B3674DA" w:rsidR="00723CBC" w:rsidRPr="008E3E1F" w:rsidRDefault="00723CBC" w:rsidP="00DD6D0E">
            <w:pPr>
              <w:pStyle w:val="TableParagraph"/>
              <w:spacing w:line="241" w:lineRule="exact"/>
              <w:ind w:left="314"/>
              <w:rPr>
                <w:rFonts w:ascii="Times New Roman" w:eastAsia="Times New Roman" w:hAnsi="Times New Roman" w:cs="Times New Roman"/>
                <w:sz w:val="13"/>
                <w:szCs w:val="13"/>
              </w:rPr>
            </w:pPr>
            <w:r w:rsidRPr="008E3E1F">
              <w:rPr>
                <w:rFonts w:ascii="Times New Roman" w:hAnsi="Times New Roman" w:cs="Times New Roman"/>
                <w:spacing w:val="-4"/>
              </w:rPr>
              <w:t>17</w:t>
            </w:r>
            <w:r w:rsidR="00DD6D0E" w:rsidRPr="008E3E1F">
              <w:rPr>
                <w:rFonts w:ascii="Times New Roman" w:hAnsi="Times New Roman" w:cs="Times New Roman"/>
                <w:spacing w:val="-4"/>
              </w:rPr>
              <w:t>,</w:t>
            </w:r>
            <w:r w:rsidRPr="008E3E1F">
              <w:rPr>
                <w:rFonts w:ascii="Times New Roman" w:hAnsi="Times New Roman" w:cs="Times New Roman"/>
                <w:spacing w:val="-4"/>
              </w:rPr>
              <w:t>0</w:t>
            </w:r>
            <w:r w:rsidRPr="008E3E1F">
              <w:rPr>
                <w:rFonts w:ascii="Times New Roman" w:hAnsi="Times New Roman" w:cs="Times New Roman"/>
                <w:spacing w:val="17"/>
              </w:rPr>
              <w:t xml:space="preserve"> </w:t>
            </w:r>
            <w:r w:rsidRPr="008E3E1F">
              <w:rPr>
                <w:rFonts w:ascii="Times New Roman" w:hAnsi="Times New Roman" w:cs="Times New Roman"/>
                <w:spacing w:val="-3"/>
              </w:rPr>
              <w:t>(31</w:t>
            </w:r>
            <w:r w:rsidR="00DD6D0E" w:rsidRPr="008E3E1F">
              <w:rPr>
                <w:rFonts w:ascii="Times New Roman" w:hAnsi="Times New Roman" w:cs="Times New Roman"/>
                <w:spacing w:val="-3"/>
              </w:rPr>
              <w:t>,</w:t>
            </w:r>
            <w:r w:rsidRPr="008E3E1F">
              <w:rPr>
                <w:rFonts w:ascii="Times New Roman" w:hAnsi="Times New Roman" w:cs="Times New Roman"/>
                <w:spacing w:val="-3"/>
              </w:rPr>
              <w:t>8)</w:t>
            </w:r>
            <w:r w:rsidRPr="008E3E1F">
              <w:rPr>
                <w:rFonts w:ascii="Times New Roman" w:hAnsi="Times New Roman" w:cs="Times New Roman"/>
                <w:spacing w:val="-3"/>
                <w:position w:val="7"/>
                <w:sz w:val="13"/>
              </w:rPr>
              <w:t>1</w:t>
            </w:r>
          </w:p>
        </w:tc>
      </w:tr>
      <w:tr w:rsidR="00723CBC" w:rsidRPr="008E3E1F" w14:paraId="5C1C6AFC" w14:textId="77777777" w:rsidTr="00723CBC">
        <w:trPr>
          <w:trHeight w:hRule="exact" w:val="405"/>
        </w:trPr>
        <w:tc>
          <w:tcPr>
            <w:tcW w:w="1591" w:type="dxa"/>
            <w:tcBorders>
              <w:top w:val="single" w:sz="7" w:space="0" w:color="000000"/>
              <w:left w:val="single" w:sz="7" w:space="0" w:color="000000"/>
              <w:bottom w:val="single" w:sz="7" w:space="0" w:color="000000"/>
              <w:right w:val="single" w:sz="7" w:space="0" w:color="000000"/>
            </w:tcBorders>
          </w:tcPr>
          <w:p w14:paraId="5AEB227B" w14:textId="3209CB59" w:rsidR="00723CBC" w:rsidRPr="008E3E1F" w:rsidRDefault="00723CBC" w:rsidP="00723CBC">
            <w:pPr>
              <w:pStyle w:val="TableParagraph"/>
              <w:spacing w:line="242" w:lineRule="exact"/>
              <w:ind w:left="614"/>
              <w:rPr>
                <w:rFonts w:ascii="Times New Roman" w:eastAsia="Times New Roman" w:hAnsi="Times New Roman" w:cs="Times New Roman"/>
              </w:rPr>
            </w:pPr>
            <w:r w:rsidRPr="008E3E1F">
              <w:rPr>
                <w:rFonts w:ascii="Times New Roman" w:hAnsi="Times New Roman" w:cs="Times New Roman"/>
                <w:spacing w:val="1"/>
              </w:rPr>
              <w:t>tydzień</w:t>
            </w:r>
            <w:r w:rsidRPr="008E3E1F">
              <w:rPr>
                <w:rFonts w:ascii="Times New Roman" w:hAnsi="Times New Roman" w:cs="Times New Roman"/>
                <w:spacing w:val="12"/>
              </w:rPr>
              <w:t xml:space="preserve"> </w:t>
            </w:r>
            <w:r w:rsidRPr="008E3E1F">
              <w:rPr>
                <w:rFonts w:ascii="Times New Roman" w:hAnsi="Times New Roman" w:cs="Times New Roman"/>
              </w:rPr>
              <w:t>8</w:t>
            </w:r>
          </w:p>
        </w:tc>
        <w:tc>
          <w:tcPr>
            <w:tcW w:w="3122" w:type="dxa"/>
            <w:tcBorders>
              <w:top w:val="single" w:sz="7" w:space="0" w:color="000000"/>
              <w:left w:val="single" w:sz="7" w:space="0" w:color="000000"/>
              <w:bottom w:val="single" w:sz="7" w:space="0" w:color="000000"/>
              <w:right w:val="single" w:sz="7" w:space="0" w:color="000000"/>
            </w:tcBorders>
          </w:tcPr>
          <w:p w14:paraId="0996ABAB" w14:textId="0B571FD4" w:rsidR="00723CBC" w:rsidRPr="008E3E1F" w:rsidRDefault="00723CBC" w:rsidP="00723CBC">
            <w:pPr>
              <w:pStyle w:val="TableParagraph"/>
              <w:spacing w:line="242" w:lineRule="exact"/>
              <w:ind w:left="344"/>
              <w:rPr>
                <w:rFonts w:ascii="Times New Roman" w:eastAsia="Times New Roman" w:hAnsi="Times New Roman" w:cs="Times New Roman"/>
              </w:rPr>
            </w:pPr>
            <w:r w:rsidRPr="008E3E1F">
              <w:rPr>
                <w:rFonts w:ascii="Times New Roman" w:hAnsi="Times New Roman" w:cs="Times New Roman"/>
                <w:spacing w:val="-4"/>
              </w:rPr>
              <w:t>58</w:t>
            </w:r>
            <w:r w:rsidR="00DD6D0E" w:rsidRPr="008E3E1F">
              <w:rPr>
                <w:rFonts w:ascii="Times New Roman" w:hAnsi="Times New Roman" w:cs="Times New Roman"/>
                <w:spacing w:val="-4"/>
              </w:rPr>
              <w:t>,</w:t>
            </w:r>
            <w:r w:rsidRPr="008E3E1F">
              <w:rPr>
                <w:rFonts w:ascii="Times New Roman" w:hAnsi="Times New Roman" w:cs="Times New Roman"/>
                <w:spacing w:val="-4"/>
              </w:rPr>
              <w:t>8</w:t>
            </w:r>
            <w:r w:rsidRPr="008E3E1F">
              <w:rPr>
                <w:rFonts w:ascii="Times New Roman" w:hAnsi="Times New Roman" w:cs="Times New Roman"/>
                <w:spacing w:val="15"/>
              </w:rPr>
              <w:t xml:space="preserve"> </w:t>
            </w:r>
            <w:r w:rsidRPr="008E3E1F">
              <w:rPr>
                <w:rFonts w:ascii="Times New Roman" w:hAnsi="Times New Roman" w:cs="Times New Roman"/>
                <w:spacing w:val="-4"/>
              </w:rPr>
              <w:t>(32</w:t>
            </w:r>
            <w:r w:rsidR="00DD6D0E" w:rsidRPr="008E3E1F">
              <w:rPr>
                <w:rFonts w:ascii="Times New Roman" w:hAnsi="Times New Roman" w:cs="Times New Roman"/>
                <w:spacing w:val="-4"/>
              </w:rPr>
              <w:t>,</w:t>
            </w:r>
            <w:r w:rsidRPr="008E3E1F">
              <w:rPr>
                <w:rFonts w:ascii="Times New Roman" w:hAnsi="Times New Roman" w:cs="Times New Roman"/>
                <w:spacing w:val="-4"/>
              </w:rPr>
              <w:t>4)</w:t>
            </w:r>
          </w:p>
        </w:tc>
        <w:tc>
          <w:tcPr>
            <w:tcW w:w="1883" w:type="dxa"/>
            <w:tcBorders>
              <w:top w:val="single" w:sz="7" w:space="0" w:color="000000"/>
              <w:left w:val="single" w:sz="7" w:space="0" w:color="000000"/>
              <w:bottom w:val="single" w:sz="7" w:space="0" w:color="000000"/>
              <w:right w:val="single" w:sz="7" w:space="0" w:color="000000"/>
            </w:tcBorders>
          </w:tcPr>
          <w:p w14:paraId="74447092" w14:textId="145C4C5D" w:rsidR="00723CBC" w:rsidRPr="008E3E1F" w:rsidRDefault="00723CBC" w:rsidP="00DD6D0E">
            <w:pPr>
              <w:pStyle w:val="TableParagraph"/>
              <w:spacing w:line="242" w:lineRule="exact"/>
              <w:ind w:left="359"/>
              <w:rPr>
                <w:rFonts w:ascii="Times New Roman" w:eastAsia="Times New Roman" w:hAnsi="Times New Roman" w:cs="Times New Roman"/>
              </w:rPr>
            </w:pPr>
            <w:r w:rsidRPr="008E3E1F">
              <w:rPr>
                <w:rFonts w:ascii="Times New Roman" w:hAnsi="Times New Roman" w:cs="Times New Roman"/>
                <w:spacing w:val="-4"/>
              </w:rPr>
              <w:t>51</w:t>
            </w:r>
            <w:r w:rsidR="00DD6D0E" w:rsidRPr="008E3E1F">
              <w:rPr>
                <w:rFonts w:ascii="Times New Roman" w:hAnsi="Times New Roman" w:cs="Times New Roman"/>
                <w:spacing w:val="-4"/>
              </w:rPr>
              <w:t>,</w:t>
            </w:r>
            <w:r w:rsidRPr="008E3E1F">
              <w:rPr>
                <w:rFonts w:ascii="Times New Roman" w:hAnsi="Times New Roman" w:cs="Times New Roman"/>
                <w:spacing w:val="-4"/>
              </w:rPr>
              <w:t>8</w:t>
            </w:r>
            <w:r w:rsidRPr="008E3E1F">
              <w:rPr>
                <w:rFonts w:ascii="Times New Roman" w:hAnsi="Times New Roman" w:cs="Times New Roman"/>
                <w:spacing w:val="15"/>
              </w:rPr>
              <w:t xml:space="preserve"> </w:t>
            </w:r>
            <w:r w:rsidRPr="008E3E1F">
              <w:rPr>
                <w:rFonts w:ascii="Times New Roman" w:hAnsi="Times New Roman" w:cs="Times New Roman"/>
                <w:spacing w:val="-4"/>
              </w:rPr>
              <w:t>(35</w:t>
            </w:r>
            <w:r w:rsidR="00DD6D0E" w:rsidRPr="008E3E1F">
              <w:rPr>
                <w:rFonts w:ascii="Times New Roman" w:hAnsi="Times New Roman" w:cs="Times New Roman"/>
                <w:spacing w:val="-4"/>
              </w:rPr>
              <w:t>,</w:t>
            </w:r>
            <w:r w:rsidRPr="008E3E1F">
              <w:rPr>
                <w:rFonts w:ascii="Times New Roman" w:hAnsi="Times New Roman" w:cs="Times New Roman"/>
                <w:spacing w:val="-4"/>
              </w:rPr>
              <w:t>0)</w:t>
            </w:r>
          </w:p>
        </w:tc>
        <w:tc>
          <w:tcPr>
            <w:tcW w:w="1754" w:type="dxa"/>
            <w:tcBorders>
              <w:top w:val="single" w:sz="7" w:space="0" w:color="000000"/>
              <w:left w:val="single" w:sz="7" w:space="0" w:color="000000"/>
              <w:bottom w:val="single" w:sz="7" w:space="0" w:color="000000"/>
              <w:right w:val="single" w:sz="7" w:space="0" w:color="000000"/>
            </w:tcBorders>
          </w:tcPr>
          <w:p w14:paraId="009F8CC0" w14:textId="09C02E7E" w:rsidR="00723CBC" w:rsidRPr="008E3E1F" w:rsidRDefault="00723CBC" w:rsidP="00DD6D0E">
            <w:pPr>
              <w:pStyle w:val="TableParagraph"/>
              <w:spacing w:line="242" w:lineRule="exact"/>
              <w:ind w:left="329"/>
              <w:rPr>
                <w:rFonts w:ascii="Times New Roman" w:eastAsia="Times New Roman" w:hAnsi="Times New Roman" w:cs="Times New Roman"/>
                <w:sz w:val="13"/>
                <w:szCs w:val="13"/>
              </w:rPr>
            </w:pPr>
            <w:r w:rsidRPr="008E3E1F">
              <w:rPr>
                <w:rFonts w:ascii="Times New Roman" w:hAnsi="Times New Roman" w:cs="Times New Roman"/>
                <w:spacing w:val="-4"/>
              </w:rPr>
              <w:t>40</w:t>
            </w:r>
            <w:r w:rsidR="00DD6D0E" w:rsidRPr="008E3E1F">
              <w:rPr>
                <w:rFonts w:ascii="Times New Roman" w:hAnsi="Times New Roman" w:cs="Times New Roman"/>
                <w:spacing w:val="-4"/>
              </w:rPr>
              <w:t>,</w:t>
            </w:r>
            <w:r w:rsidRPr="008E3E1F">
              <w:rPr>
                <w:rFonts w:ascii="Times New Roman" w:hAnsi="Times New Roman" w:cs="Times New Roman"/>
                <w:spacing w:val="-4"/>
              </w:rPr>
              <w:t>8</w:t>
            </w:r>
            <w:r w:rsidRPr="008E3E1F">
              <w:rPr>
                <w:rFonts w:ascii="Times New Roman" w:hAnsi="Times New Roman" w:cs="Times New Roman"/>
                <w:spacing w:val="17"/>
              </w:rPr>
              <w:t xml:space="preserve"> </w:t>
            </w:r>
            <w:r w:rsidRPr="008E3E1F">
              <w:rPr>
                <w:rFonts w:ascii="Times New Roman" w:hAnsi="Times New Roman" w:cs="Times New Roman"/>
                <w:spacing w:val="-3"/>
              </w:rPr>
              <w:t>(31</w:t>
            </w:r>
            <w:r w:rsidR="00DD6D0E" w:rsidRPr="008E3E1F">
              <w:rPr>
                <w:rFonts w:ascii="Times New Roman" w:hAnsi="Times New Roman" w:cs="Times New Roman"/>
                <w:spacing w:val="-3"/>
              </w:rPr>
              <w:t>,</w:t>
            </w:r>
            <w:r w:rsidRPr="008E3E1F">
              <w:rPr>
                <w:rFonts w:ascii="Times New Roman" w:hAnsi="Times New Roman" w:cs="Times New Roman"/>
                <w:spacing w:val="-3"/>
              </w:rPr>
              <w:t>9)</w:t>
            </w:r>
            <w:r w:rsidRPr="008E3E1F">
              <w:rPr>
                <w:rFonts w:ascii="Times New Roman" w:hAnsi="Times New Roman" w:cs="Times New Roman"/>
                <w:spacing w:val="-3"/>
                <w:position w:val="7"/>
                <w:sz w:val="13"/>
              </w:rPr>
              <w:t>1</w:t>
            </w:r>
          </w:p>
        </w:tc>
        <w:tc>
          <w:tcPr>
            <w:tcW w:w="1433" w:type="dxa"/>
            <w:tcBorders>
              <w:top w:val="single" w:sz="7" w:space="0" w:color="000000"/>
              <w:left w:val="single" w:sz="7" w:space="0" w:color="000000"/>
              <w:bottom w:val="single" w:sz="7" w:space="0" w:color="000000"/>
              <w:right w:val="single" w:sz="7" w:space="0" w:color="000000"/>
            </w:tcBorders>
          </w:tcPr>
          <w:p w14:paraId="03E75109" w14:textId="5AD0D1D0" w:rsidR="00723CBC" w:rsidRPr="008E3E1F" w:rsidRDefault="00723CBC" w:rsidP="00723CBC">
            <w:pPr>
              <w:pStyle w:val="TableParagraph"/>
              <w:spacing w:line="242" w:lineRule="exact"/>
              <w:ind w:left="314"/>
              <w:rPr>
                <w:rFonts w:ascii="Times New Roman" w:eastAsia="Times New Roman" w:hAnsi="Times New Roman" w:cs="Times New Roman"/>
                <w:sz w:val="13"/>
                <w:szCs w:val="13"/>
              </w:rPr>
            </w:pPr>
            <w:r w:rsidRPr="008E3E1F">
              <w:rPr>
                <w:rFonts w:ascii="Times New Roman" w:hAnsi="Times New Roman" w:cs="Times New Roman"/>
                <w:spacing w:val="-4"/>
              </w:rPr>
              <w:t>11</w:t>
            </w:r>
            <w:r w:rsidR="00DD6D0E" w:rsidRPr="008E3E1F">
              <w:rPr>
                <w:rFonts w:ascii="Times New Roman" w:hAnsi="Times New Roman" w:cs="Times New Roman"/>
                <w:spacing w:val="-4"/>
              </w:rPr>
              <w:t>,</w:t>
            </w:r>
            <w:r w:rsidRPr="008E3E1F">
              <w:rPr>
                <w:rFonts w:ascii="Times New Roman" w:hAnsi="Times New Roman" w:cs="Times New Roman"/>
                <w:spacing w:val="-4"/>
              </w:rPr>
              <w:t>1</w:t>
            </w:r>
            <w:r w:rsidRPr="008E3E1F">
              <w:rPr>
                <w:rFonts w:ascii="Times New Roman" w:hAnsi="Times New Roman" w:cs="Times New Roman"/>
                <w:spacing w:val="17"/>
              </w:rPr>
              <w:t xml:space="preserve"> </w:t>
            </w:r>
            <w:r w:rsidRPr="008E3E1F">
              <w:rPr>
                <w:rFonts w:ascii="Times New Roman" w:hAnsi="Times New Roman" w:cs="Times New Roman"/>
                <w:spacing w:val="-3"/>
              </w:rPr>
              <w:t>(29</w:t>
            </w:r>
            <w:r w:rsidR="00DD6D0E" w:rsidRPr="008E3E1F">
              <w:rPr>
                <w:rFonts w:ascii="Times New Roman" w:hAnsi="Times New Roman" w:cs="Times New Roman"/>
                <w:spacing w:val="-3"/>
              </w:rPr>
              <w:t>,</w:t>
            </w:r>
            <w:r w:rsidRPr="008E3E1F">
              <w:rPr>
                <w:rFonts w:ascii="Times New Roman" w:hAnsi="Times New Roman" w:cs="Times New Roman"/>
                <w:spacing w:val="-3"/>
              </w:rPr>
              <w:t>5)</w:t>
            </w:r>
            <w:r w:rsidRPr="008E3E1F">
              <w:rPr>
                <w:rFonts w:ascii="Times New Roman" w:hAnsi="Times New Roman" w:cs="Times New Roman"/>
                <w:spacing w:val="-3"/>
                <w:position w:val="7"/>
                <w:sz w:val="13"/>
              </w:rPr>
              <w:t>1</w:t>
            </w:r>
          </w:p>
        </w:tc>
      </w:tr>
    </w:tbl>
    <w:p w14:paraId="7F2197A9" w14:textId="203BAA35" w:rsidR="00723CBC" w:rsidRPr="008E3E1F" w:rsidRDefault="00723CBC" w:rsidP="00BF3645">
      <w:pPr>
        <w:ind w:left="0" w:firstLine="0"/>
        <w:rPr>
          <w:noProof/>
          <w:sz w:val="16"/>
          <w:szCs w:val="16"/>
        </w:rPr>
      </w:pPr>
      <w:r w:rsidRPr="008E3E1F">
        <w:rPr>
          <w:noProof/>
          <w:sz w:val="16"/>
          <w:szCs w:val="16"/>
          <w:vertAlign w:val="superscript"/>
        </w:rPr>
        <w:t>1</w:t>
      </w:r>
      <w:r w:rsidRPr="008E3E1F">
        <w:rPr>
          <w:noProof/>
          <w:sz w:val="16"/>
          <w:szCs w:val="16"/>
        </w:rPr>
        <w:t xml:space="preserve"> Istotnie statystycznie mniej skuteczny niż </w:t>
      </w:r>
      <w:bookmarkStart w:id="3" w:name="_Hlk69896913"/>
      <w:r w:rsidR="00EC14CA" w:rsidRPr="008E3E1F">
        <w:rPr>
          <w:noProof/>
          <w:sz w:val="16"/>
          <w:szCs w:val="16"/>
        </w:rPr>
        <w:t>skojarzenie</w:t>
      </w:r>
      <w:r w:rsidR="00B23E28" w:rsidRPr="008E3E1F">
        <w:rPr>
          <w:noProof/>
          <w:sz w:val="16"/>
          <w:szCs w:val="16"/>
        </w:rPr>
        <w:t xml:space="preserve"> betametazonu</w:t>
      </w:r>
      <w:r w:rsidR="00EC14CA" w:rsidRPr="008E3E1F">
        <w:rPr>
          <w:noProof/>
          <w:sz w:val="16"/>
          <w:szCs w:val="16"/>
        </w:rPr>
        <w:t xml:space="preserve"> dipropion</w:t>
      </w:r>
      <w:r w:rsidR="00DB60F9" w:rsidRPr="008E3E1F">
        <w:rPr>
          <w:noProof/>
          <w:sz w:val="16"/>
          <w:szCs w:val="16"/>
        </w:rPr>
        <w:t>ian</w:t>
      </w:r>
      <w:r w:rsidR="00B23E28" w:rsidRPr="008E3E1F">
        <w:rPr>
          <w:noProof/>
          <w:sz w:val="16"/>
          <w:szCs w:val="16"/>
        </w:rPr>
        <w:t>u</w:t>
      </w:r>
      <w:r w:rsidR="00DB60F9" w:rsidRPr="008E3E1F">
        <w:rPr>
          <w:noProof/>
          <w:sz w:val="16"/>
          <w:szCs w:val="16"/>
        </w:rPr>
        <w:t xml:space="preserve"> i kalcypotriol</w:t>
      </w:r>
      <w:r w:rsidR="00BE0F88" w:rsidRPr="008E3E1F">
        <w:rPr>
          <w:noProof/>
          <w:sz w:val="16"/>
          <w:szCs w:val="16"/>
        </w:rPr>
        <w:t>u</w:t>
      </w:r>
      <w:r w:rsidR="00EC14CA" w:rsidRPr="008E3E1F">
        <w:rPr>
          <w:noProof/>
          <w:sz w:val="16"/>
          <w:szCs w:val="16"/>
        </w:rPr>
        <w:t xml:space="preserve"> w postaci żelu</w:t>
      </w:r>
      <w:r w:rsidR="00EC14CA" w:rsidRPr="008E3E1F" w:rsidDel="00EC14CA">
        <w:rPr>
          <w:noProof/>
          <w:sz w:val="16"/>
          <w:szCs w:val="16"/>
        </w:rPr>
        <w:t xml:space="preserve"> </w:t>
      </w:r>
      <w:bookmarkEnd w:id="3"/>
      <w:r w:rsidRPr="008E3E1F">
        <w:rPr>
          <w:noProof/>
          <w:sz w:val="16"/>
          <w:szCs w:val="16"/>
        </w:rPr>
        <w:t>P&lt;0,05). SD oznacza odchylenie standardowe (standard deviation).</w:t>
      </w:r>
    </w:p>
    <w:p w14:paraId="5C8F5EA3" w14:textId="3EA75FD1" w:rsidR="00723CBC" w:rsidRPr="008E3E1F" w:rsidRDefault="00723CBC" w:rsidP="00BF3645">
      <w:pPr>
        <w:ind w:left="0" w:firstLine="0"/>
        <w:rPr>
          <w:noProof/>
          <w:szCs w:val="22"/>
        </w:rPr>
      </w:pPr>
    </w:p>
    <w:p w14:paraId="3613B283" w14:textId="7D55F5C5" w:rsidR="00723CBC" w:rsidRPr="008E3E1F" w:rsidRDefault="00723CBC" w:rsidP="00BF3645">
      <w:pPr>
        <w:ind w:left="0" w:firstLine="0"/>
        <w:rPr>
          <w:szCs w:val="22"/>
        </w:rPr>
      </w:pPr>
      <w:r w:rsidRPr="008E3E1F">
        <w:rPr>
          <w:szCs w:val="22"/>
        </w:rPr>
        <w:lastRenderedPageBreak/>
        <w:t xml:space="preserve">W innym badaniu klinicznym z randomizacją, przeprowadzonym metodą pojedynczej ślepej próby (zamaskowanie dla badacza) obejmującym 312 pacjentów z łuszczycą owłosionej skóry głowy, o co najmniej umiarkowanym przebiegu według oceny IGA, stosowano żel </w:t>
      </w:r>
      <w:r w:rsidR="00750DF4" w:rsidRPr="008E3E1F">
        <w:rPr>
          <w:szCs w:val="22"/>
        </w:rPr>
        <w:t xml:space="preserve">zawierający </w:t>
      </w:r>
      <w:r w:rsidRPr="008E3E1F">
        <w:t>kalcypotriol + betametazon</w:t>
      </w:r>
      <w:r w:rsidR="00C974B2" w:rsidRPr="008E3E1F">
        <w:t>,</w:t>
      </w:r>
      <w:r w:rsidRPr="008E3E1F">
        <w:t xml:space="preserve"> 50 mikrogramów/g + 0,5 mg/g </w:t>
      </w:r>
      <w:r w:rsidRPr="008E3E1F">
        <w:rPr>
          <w:szCs w:val="22"/>
        </w:rPr>
        <w:t xml:space="preserve">raz na dobę, w porównaniu z roztworem Daivonex stosowanym dwa razy na dobę przez okres do 8 tygodni. Wyniki określane jako kryterium działania podstawowego (brak choroby lub bardzo łagodny jej przebieg zgodnie z oceną IGA w 8 tygodniu) wykazały, że żel </w:t>
      </w:r>
      <w:r w:rsidR="00750DF4" w:rsidRPr="008E3E1F">
        <w:rPr>
          <w:szCs w:val="22"/>
        </w:rPr>
        <w:t xml:space="preserve">zawierający </w:t>
      </w:r>
      <w:r w:rsidRPr="008E3E1F">
        <w:rPr>
          <w:szCs w:val="22"/>
        </w:rPr>
        <w:t>kalcypotriol + betametazon</w:t>
      </w:r>
      <w:r w:rsidR="00C974B2" w:rsidRPr="008E3E1F">
        <w:rPr>
          <w:szCs w:val="22"/>
        </w:rPr>
        <w:t>,</w:t>
      </w:r>
      <w:r w:rsidRPr="008E3E1F">
        <w:rPr>
          <w:szCs w:val="22"/>
        </w:rPr>
        <w:t xml:space="preserve"> 50 mikrogramów/g + 0,5 mg/g był statystycznie bardziej skuteczny niż Daivonex roztwór stosowany na skórę owłosionej głowy.</w:t>
      </w:r>
    </w:p>
    <w:p w14:paraId="032701B1" w14:textId="0A788F23" w:rsidR="00723CBC" w:rsidRPr="008E3E1F" w:rsidRDefault="00723CBC" w:rsidP="00BF3645">
      <w:pPr>
        <w:ind w:left="0" w:firstLine="0"/>
        <w:rPr>
          <w:szCs w:val="22"/>
        </w:rPr>
      </w:pPr>
    </w:p>
    <w:tbl>
      <w:tblPr>
        <w:tblStyle w:val="TableNormal1"/>
        <w:tblW w:w="9783" w:type="dxa"/>
        <w:tblInd w:w="105" w:type="dxa"/>
        <w:tblLayout w:type="fixed"/>
        <w:tblLook w:val="01E0" w:firstRow="1" w:lastRow="1" w:firstColumn="1" w:lastColumn="1" w:noHBand="0" w:noVBand="0"/>
      </w:tblPr>
      <w:tblGrid>
        <w:gridCol w:w="2626"/>
        <w:gridCol w:w="5100"/>
        <w:gridCol w:w="2057"/>
      </w:tblGrid>
      <w:tr w:rsidR="00723CBC" w:rsidRPr="008E3E1F" w14:paraId="6448D187" w14:textId="77777777" w:rsidTr="008E3E1F">
        <w:trPr>
          <w:trHeight w:hRule="exact" w:val="1281"/>
        </w:trPr>
        <w:tc>
          <w:tcPr>
            <w:tcW w:w="2626" w:type="dxa"/>
            <w:tcBorders>
              <w:top w:val="single" w:sz="7" w:space="0" w:color="000000"/>
              <w:left w:val="single" w:sz="7" w:space="0" w:color="000000"/>
              <w:bottom w:val="single" w:sz="7" w:space="0" w:color="000000"/>
              <w:right w:val="single" w:sz="7" w:space="0" w:color="000000"/>
            </w:tcBorders>
          </w:tcPr>
          <w:p w14:paraId="47AF70D4" w14:textId="7F2AC917" w:rsidR="00723CBC" w:rsidRPr="008E3E1F" w:rsidRDefault="00723CBC" w:rsidP="009D41F2">
            <w:pPr>
              <w:pStyle w:val="TableParagraph"/>
              <w:spacing w:before="4" w:line="249" w:lineRule="auto"/>
              <w:jc w:val="center"/>
              <w:rPr>
                <w:rFonts w:ascii="Times New Roman" w:eastAsia="Times New Roman" w:hAnsi="Times New Roman" w:cs="Times New Roman"/>
                <w:lang w:val="pl-PL"/>
              </w:rPr>
            </w:pPr>
            <w:r w:rsidRPr="008E3E1F">
              <w:rPr>
                <w:rFonts w:ascii="Times New Roman" w:hAnsi="Times New Roman" w:cs="Times New Roman"/>
                <w:lang w:val="pl-PL"/>
              </w:rPr>
              <w:t>% pacjentów z brakiem choroby lub bardzo łagodnym jej przebiegiem</w:t>
            </w:r>
          </w:p>
        </w:tc>
        <w:tc>
          <w:tcPr>
            <w:tcW w:w="5100" w:type="dxa"/>
            <w:tcBorders>
              <w:top w:val="single" w:sz="7" w:space="0" w:color="000000"/>
              <w:left w:val="single" w:sz="7" w:space="0" w:color="000000"/>
              <w:bottom w:val="single" w:sz="7" w:space="0" w:color="000000"/>
              <w:right w:val="single" w:sz="7" w:space="0" w:color="000000"/>
            </w:tcBorders>
          </w:tcPr>
          <w:p w14:paraId="679F3CB5" w14:textId="77777777" w:rsidR="00DB58DE" w:rsidRPr="008E3E1F" w:rsidRDefault="00EC14CA" w:rsidP="00EC14CA">
            <w:pPr>
              <w:pStyle w:val="TableParagraph"/>
              <w:spacing w:before="3" w:line="242" w:lineRule="auto"/>
              <w:ind w:hanging="136"/>
              <w:jc w:val="center"/>
              <w:rPr>
                <w:rFonts w:ascii="Times New Roman" w:hAnsi="Times New Roman" w:cs="Times New Roman"/>
                <w:spacing w:val="-4"/>
                <w:lang w:val="pl-PL" w:bidi="pl-PL"/>
              </w:rPr>
            </w:pPr>
            <w:r w:rsidRPr="008E3E1F">
              <w:rPr>
                <w:rFonts w:ascii="Times New Roman" w:hAnsi="Times New Roman" w:cs="Times New Roman"/>
                <w:spacing w:val="-4"/>
                <w:lang w:val="pl-PL" w:bidi="pl-PL"/>
              </w:rPr>
              <w:t xml:space="preserve">Skojarzenie </w:t>
            </w:r>
            <w:r w:rsidR="00DB58DE" w:rsidRPr="008E3E1F">
              <w:rPr>
                <w:rFonts w:ascii="Times New Roman" w:hAnsi="Times New Roman" w:cs="Times New Roman"/>
                <w:spacing w:val="-4"/>
                <w:lang w:val="pl-PL" w:bidi="pl-PL"/>
              </w:rPr>
              <w:t xml:space="preserve">betametazonu </w:t>
            </w:r>
          </w:p>
          <w:p w14:paraId="2053C3D1" w14:textId="45068AC5" w:rsidR="00EC14CA" w:rsidRPr="008E3E1F" w:rsidRDefault="00EC14CA" w:rsidP="00DB58DE">
            <w:pPr>
              <w:pStyle w:val="TableParagraph"/>
              <w:spacing w:before="3" w:line="242" w:lineRule="auto"/>
              <w:ind w:hanging="136"/>
              <w:jc w:val="center"/>
              <w:rPr>
                <w:rFonts w:ascii="Times New Roman" w:hAnsi="Times New Roman" w:cs="Times New Roman"/>
                <w:spacing w:val="-4"/>
                <w:lang w:val="pl-PL" w:bidi="pl-PL"/>
              </w:rPr>
            </w:pPr>
            <w:r w:rsidRPr="008E3E1F">
              <w:rPr>
                <w:rFonts w:ascii="Times New Roman" w:hAnsi="Times New Roman" w:cs="Times New Roman"/>
                <w:spacing w:val="-4"/>
                <w:lang w:val="pl-PL" w:bidi="pl-PL"/>
              </w:rPr>
              <w:t>diprop</w:t>
            </w:r>
            <w:r w:rsidR="00252855" w:rsidRPr="008E3E1F">
              <w:rPr>
                <w:rFonts w:ascii="Times New Roman" w:hAnsi="Times New Roman" w:cs="Times New Roman"/>
                <w:spacing w:val="-4"/>
                <w:lang w:val="pl-PL" w:bidi="pl-PL"/>
              </w:rPr>
              <w:t>i</w:t>
            </w:r>
            <w:r w:rsidRPr="008E3E1F">
              <w:rPr>
                <w:rFonts w:ascii="Times New Roman" w:hAnsi="Times New Roman" w:cs="Times New Roman"/>
                <w:spacing w:val="-4"/>
                <w:lang w:val="pl-PL" w:bidi="pl-PL"/>
              </w:rPr>
              <w:t>onian</w:t>
            </w:r>
            <w:r w:rsidR="00D37407" w:rsidRPr="008E3E1F">
              <w:rPr>
                <w:rFonts w:ascii="Times New Roman" w:hAnsi="Times New Roman" w:cs="Times New Roman"/>
                <w:spacing w:val="-4"/>
                <w:lang w:val="pl-PL" w:bidi="pl-PL"/>
              </w:rPr>
              <w:t>u</w:t>
            </w:r>
            <w:r w:rsidRPr="008E3E1F">
              <w:rPr>
                <w:rFonts w:ascii="Times New Roman" w:hAnsi="Times New Roman" w:cs="Times New Roman"/>
                <w:spacing w:val="-4"/>
                <w:lang w:val="pl-PL" w:bidi="pl-PL"/>
              </w:rPr>
              <w:t xml:space="preserve"> i kalcypotriol</w:t>
            </w:r>
            <w:r w:rsidR="00D37407" w:rsidRPr="008E3E1F">
              <w:rPr>
                <w:rFonts w:ascii="Times New Roman" w:hAnsi="Times New Roman" w:cs="Times New Roman"/>
                <w:spacing w:val="-4"/>
                <w:lang w:val="pl-PL" w:bidi="pl-PL"/>
              </w:rPr>
              <w:t>u</w:t>
            </w:r>
            <w:r w:rsidRPr="008E3E1F">
              <w:rPr>
                <w:rFonts w:ascii="Times New Roman" w:hAnsi="Times New Roman" w:cs="Times New Roman"/>
                <w:spacing w:val="-4"/>
                <w:lang w:val="pl-PL" w:bidi="pl-PL"/>
              </w:rPr>
              <w:t xml:space="preserve"> </w:t>
            </w:r>
          </w:p>
          <w:p w14:paraId="488BECBC" w14:textId="77777777" w:rsidR="00EC14CA" w:rsidRPr="008E3E1F" w:rsidRDefault="00EC14CA" w:rsidP="00EC14CA">
            <w:pPr>
              <w:pStyle w:val="TableParagraph"/>
              <w:spacing w:before="3" w:line="242" w:lineRule="auto"/>
              <w:ind w:hanging="136"/>
              <w:jc w:val="center"/>
              <w:rPr>
                <w:rFonts w:ascii="Times New Roman" w:hAnsi="Times New Roman" w:cs="Times New Roman"/>
                <w:spacing w:val="-4"/>
                <w:lang w:val="pl-PL" w:bidi="pl-PL"/>
              </w:rPr>
            </w:pPr>
            <w:r w:rsidRPr="008E3E1F">
              <w:rPr>
                <w:rFonts w:ascii="Times New Roman" w:hAnsi="Times New Roman" w:cs="Times New Roman"/>
                <w:spacing w:val="-4"/>
                <w:lang w:val="pl-PL" w:bidi="pl-PL"/>
              </w:rPr>
              <w:t>w postaci żelu</w:t>
            </w:r>
          </w:p>
          <w:p w14:paraId="3A477840" w14:textId="07E687F6" w:rsidR="00723CBC" w:rsidRPr="008E3E1F" w:rsidRDefault="00EC14CA" w:rsidP="009D41F2">
            <w:pPr>
              <w:pStyle w:val="TableParagraph"/>
              <w:spacing w:before="4" w:line="241" w:lineRule="auto"/>
              <w:ind w:hanging="211"/>
              <w:jc w:val="center"/>
              <w:rPr>
                <w:rFonts w:ascii="Times New Roman" w:hAnsi="Times New Roman" w:cs="Times New Roman"/>
                <w:spacing w:val="-6"/>
              </w:rPr>
            </w:pPr>
            <w:r w:rsidRPr="008E3E1F" w:rsidDel="00EC14CA">
              <w:rPr>
                <w:rFonts w:ascii="Times New Roman" w:hAnsi="Times New Roman" w:cs="Times New Roman"/>
                <w:spacing w:val="-4"/>
                <w:lang w:val="pl-PL"/>
              </w:rPr>
              <w:t xml:space="preserve"> </w:t>
            </w:r>
            <w:r w:rsidR="00723CBC" w:rsidRPr="008E3E1F">
              <w:rPr>
                <w:rFonts w:ascii="Times New Roman" w:hAnsi="Times New Roman" w:cs="Times New Roman"/>
                <w:spacing w:val="-6"/>
              </w:rPr>
              <w:t>(n=207)</w:t>
            </w:r>
          </w:p>
          <w:p w14:paraId="73FC76D8" w14:textId="77777777" w:rsidR="00DB60F9" w:rsidRPr="008E3E1F" w:rsidRDefault="00DB60F9" w:rsidP="009D41F2">
            <w:pPr>
              <w:pStyle w:val="TableParagraph"/>
              <w:spacing w:before="4" w:line="241" w:lineRule="auto"/>
              <w:ind w:hanging="211"/>
              <w:jc w:val="center"/>
              <w:rPr>
                <w:rFonts w:ascii="Times New Roman" w:hAnsi="Times New Roman" w:cs="Times New Roman"/>
                <w:spacing w:val="-6"/>
              </w:rPr>
            </w:pPr>
          </w:p>
          <w:p w14:paraId="638EA37F" w14:textId="77777777" w:rsidR="00DB60F9" w:rsidRPr="008E3E1F" w:rsidRDefault="00DB60F9" w:rsidP="009D41F2">
            <w:pPr>
              <w:pStyle w:val="TableParagraph"/>
              <w:spacing w:before="4" w:line="241" w:lineRule="auto"/>
              <w:ind w:hanging="211"/>
              <w:jc w:val="center"/>
              <w:rPr>
                <w:rFonts w:ascii="Times New Roman" w:hAnsi="Times New Roman" w:cs="Times New Roman"/>
                <w:spacing w:val="-6"/>
              </w:rPr>
            </w:pPr>
          </w:p>
          <w:p w14:paraId="3CB20FB2" w14:textId="77777777" w:rsidR="00DB60F9" w:rsidRPr="008E3E1F" w:rsidRDefault="00DB60F9" w:rsidP="009D41F2">
            <w:pPr>
              <w:pStyle w:val="TableParagraph"/>
              <w:spacing w:before="4" w:line="241" w:lineRule="auto"/>
              <w:ind w:hanging="211"/>
              <w:jc w:val="center"/>
              <w:rPr>
                <w:rFonts w:ascii="Times New Roman" w:hAnsi="Times New Roman" w:cs="Times New Roman"/>
                <w:spacing w:val="-6"/>
              </w:rPr>
            </w:pPr>
          </w:p>
          <w:p w14:paraId="358D66FE" w14:textId="77777777" w:rsidR="00DB60F9" w:rsidRPr="008E3E1F" w:rsidRDefault="00DB60F9" w:rsidP="009D41F2">
            <w:pPr>
              <w:pStyle w:val="TableParagraph"/>
              <w:spacing w:before="4" w:line="241" w:lineRule="auto"/>
              <w:ind w:hanging="211"/>
              <w:jc w:val="center"/>
              <w:rPr>
                <w:rFonts w:ascii="Times New Roman" w:hAnsi="Times New Roman" w:cs="Times New Roman"/>
                <w:spacing w:val="-6"/>
              </w:rPr>
            </w:pPr>
          </w:p>
          <w:p w14:paraId="3684338C" w14:textId="77777777" w:rsidR="00DB60F9" w:rsidRPr="008E3E1F" w:rsidRDefault="00DB60F9" w:rsidP="009D41F2">
            <w:pPr>
              <w:pStyle w:val="TableParagraph"/>
              <w:spacing w:before="4" w:line="241" w:lineRule="auto"/>
              <w:ind w:hanging="211"/>
              <w:jc w:val="center"/>
              <w:rPr>
                <w:rFonts w:ascii="Times New Roman" w:hAnsi="Times New Roman" w:cs="Times New Roman"/>
                <w:spacing w:val="-6"/>
              </w:rPr>
            </w:pPr>
          </w:p>
          <w:p w14:paraId="524737CC" w14:textId="77777777" w:rsidR="00DB60F9" w:rsidRPr="008E3E1F" w:rsidRDefault="00DB60F9" w:rsidP="009D41F2">
            <w:pPr>
              <w:pStyle w:val="TableParagraph"/>
              <w:spacing w:before="4" w:line="241" w:lineRule="auto"/>
              <w:ind w:hanging="211"/>
              <w:jc w:val="center"/>
              <w:rPr>
                <w:rFonts w:ascii="Times New Roman" w:hAnsi="Times New Roman" w:cs="Times New Roman"/>
                <w:spacing w:val="-6"/>
              </w:rPr>
            </w:pPr>
          </w:p>
          <w:p w14:paraId="62FB3E4D" w14:textId="0A113C69" w:rsidR="00DB60F9" w:rsidRPr="008E3E1F" w:rsidRDefault="00DB60F9" w:rsidP="009D41F2">
            <w:pPr>
              <w:pStyle w:val="TableParagraph"/>
              <w:spacing w:before="4" w:line="241" w:lineRule="auto"/>
              <w:ind w:hanging="211"/>
              <w:jc w:val="center"/>
              <w:rPr>
                <w:rFonts w:ascii="Times New Roman" w:eastAsia="Times New Roman" w:hAnsi="Times New Roman" w:cs="Times New Roman"/>
              </w:rPr>
            </w:pPr>
          </w:p>
        </w:tc>
        <w:tc>
          <w:tcPr>
            <w:tcW w:w="2057" w:type="dxa"/>
            <w:tcBorders>
              <w:top w:val="single" w:sz="7" w:space="0" w:color="000000"/>
              <w:left w:val="single" w:sz="7" w:space="0" w:color="000000"/>
              <w:bottom w:val="single" w:sz="7" w:space="0" w:color="000000"/>
              <w:right w:val="single" w:sz="7" w:space="0" w:color="000000"/>
            </w:tcBorders>
          </w:tcPr>
          <w:p w14:paraId="5B91EB9C" w14:textId="77777777" w:rsidR="00723CBC" w:rsidRPr="008E3E1F" w:rsidRDefault="00723CBC" w:rsidP="009D41F2">
            <w:pPr>
              <w:pStyle w:val="TableParagraph"/>
              <w:spacing w:before="4" w:line="249" w:lineRule="auto"/>
              <w:ind w:hanging="361"/>
              <w:jc w:val="center"/>
              <w:rPr>
                <w:rFonts w:ascii="Times New Roman" w:hAnsi="Times New Roman" w:cs="Times New Roman"/>
                <w:spacing w:val="38"/>
              </w:rPr>
            </w:pPr>
            <w:r w:rsidRPr="008E3E1F">
              <w:rPr>
                <w:rFonts w:ascii="Times New Roman" w:hAnsi="Times New Roman" w:cs="Times New Roman"/>
                <w:spacing w:val="-4"/>
              </w:rPr>
              <w:t>Daivonex</w:t>
            </w:r>
            <w:r w:rsidRPr="008E3E1F">
              <w:rPr>
                <w:rFonts w:ascii="Times New Roman" w:hAnsi="Times New Roman" w:cs="Times New Roman"/>
                <w:spacing w:val="38"/>
              </w:rPr>
              <w:t xml:space="preserve"> </w:t>
            </w:r>
          </w:p>
          <w:p w14:paraId="08089F22" w14:textId="3634B156" w:rsidR="00723CBC" w:rsidRPr="008E3E1F" w:rsidRDefault="00B13223" w:rsidP="009D41F2">
            <w:pPr>
              <w:pStyle w:val="TableParagraph"/>
              <w:spacing w:before="4" w:line="249" w:lineRule="auto"/>
              <w:ind w:hanging="361"/>
              <w:jc w:val="center"/>
              <w:rPr>
                <w:rFonts w:ascii="Times New Roman" w:hAnsi="Times New Roman" w:cs="Times New Roman"/>
                <w:spacing w:val="24"/>
                <w:w w:val="102"/>
              </w:rPr>
            </w:pPr>
            <w:r w:rsidRPr="008E3E1F">
              <w:rPr>
                <w:rFonts w:ascii="Times New Roman" w:hAnsi="Times New Roman" w:cs="Times New Roman"/>
                <w:spacing w:val="-4"/>
              </w:rPr>
              <w:t>roztwór</w:t>
            </w:r>
          </w:p>
          <w:p w14:paraId="58536F6B" w14:textId="77777777" w:rsidR="00723CBC" w:rsidRPr="008E3E1F" w:rsidRDefault="00723CBC" w:rsidP="009D41F2">
            <w:pPr>
              <w:pStyle w:val="TableParagraph"/>
              <w:spacing w:before="4" w:line="249" w:lineRule="auto"/>
              <w:ind w:hanging="361"/>
              <w:jc w:val="center"/>
              <w:rPr>
                <w:rFonts w:ascii="Times New Roman" w:hAnsi="Times New Roman" w:cs="Times New Roman"/>
                <w:spacing w:val="-6"/>
              </w:rPr>
            </w:pPr>
            <w:r w:rsidRPr="008E3E1F">
              <w:rPr>
                <w:rFonts w:ascii="Times New Roman" w:hAnsi="Times New Roman" w:cs="Times New Roman"/>
                <w:spacing w:val="-6"/>
              </w:rPr>
              <w:t>(n=105)</w:t>
            </w:r>
          </w:p>
          <w:p w14:paraId="200216A1" w14:textId="77777777" w:rsidR="00DB60F9" w:rsidRPr="008E3E1F" w:rsidRDefault="00DB60F9" w:rsidP="009D41F2">
            <w:pPr>
              <w:pStyle w:val="TableParagraph"/>
              <w:spacing w:before="4" w:line="249" w:lineRule="auto"/>
              <w:ind w:hanging="361"/>
              <w:jc w:val="center"/>
              <w:rPr>
                <w:rFonts w:ascii="Times New Roman" w:hAnsi="Times New Roman" w:cs="Times New Roman"/>
                <w:spacing w:val="-6"/>
              </w:rPr>
            </w:pPr>
          </w:p>
          <w:p w14:paraId="51B40CB1" w14:textId="77777777" w:rsidR="00DB60F9" w:rsidRPr="008E3E1F" w:rsidRDefault="00DB60F9" w:rsidP="009D41F2">
            <w:pPr>
              <w:pStyle w:val="TableParagraph"/>
              <w:spacing w:before="4" w:line="249" w:lineRule="auto"/>
              <w:ind w:hanging="361"/>
              <w:jc w:val="center"/>
              <w:rPr>
                <w:rFonts w:ascii="Times New Roman" w:hAnsi="Times New Roman" w:cs="Times New Roman"/>
                <w:spacing w:val="-6"/>
              </w:rPr>
            </w:pPr>
          </w:p>
          <w:p w14:paraId="70A91DCD" w14:textId="77777777" w:rsidR="00DB60F9" w:rsidRPr="008E3E1F" w:rsidRDefault="00DB60F9" w:rsidP="009D41F2">
            <w:pPr>
              <w:pStyle w:val="TableParagraph"/>
              <w:spacing w:before="4" w:line="249" w:lineRule="auto"/>
              <w:ind w:hanging="361"/>
              <w:jc w:val="center"/>
              <w:rPr>
                <w:rFonts w:ascii="Times New Roman" w:hAnsi="Times New Roman" w:cs="Times New Roman"/>
                <w:spacing w:val="-6"/>
              </w:rPr>
            </w:pPr>
          </w:p>
          <w:p w14:paraId="4DCD9E90" w14:textId="5FFC6485" w:rsidR="00DB60F9" w:rsidRPr="008E3E1F" w:rsidRDefault="00DB60F9" w:rsidP="009D41F2">
            <w:pPr>
              <w:pStyle w:val="TableParagraph"/>
              <w:spacing w:before="4" w:line="249" w:lineRule="auto"/>
              <w:ind w:hanging="361"/>
              <w:jc w:val="center"/>
              <w:rPr>
                <w:rFonts w:ascii="Times New Roman" w:eastAsia="Times New Roman" w:hAnsi="Times New Roman" w:cs="Times New Roman"/>
              </w:rPr>
            </w:pPr>
          </w:p>
        </w:tc>
      </w:tr>
      <w:tr w:rsidR="00723CBC" w:rsidRPr="008E3E1F" w14:paraId="2587C1A0" w14:textId="77777777" w:rsidTr="00B13223">
        <w:trPr>
          <w:trHeight w:hRule="exact" w:val="405"/>
        </w:trPr>
        <w:tc>
          <w:tcPr>
            <w:tcW w:w="2626" w:type="dxa"/>
            <w:tcBorders>
              <w:top w:val="single" w:sz="7" w:space="0" w:color="000000"/>
              <w:left w:val="single" w:sz="7" w:space="0" w:color="000000"/>
              <w:bottom w:val="single" w:sz="7" w:space="0" w:color="000000"/>
              <w:right w:val="single" w:sz="7" w:space="0" w:color="000000"/>
            </w:tcBorders>
          </w:tcPr>
          <w:p w14:paraId="589B125D" w14:textId="6BA839C4" w:rsidR="00723CBC" w:rsidRPr="008E3E1F" w:rsidRDefault="00723CBC" w:rsidP="009D41F2">
            <w:pPr>
              <w:pStyle w:val="TableParagraph"/>
              <w:spacing w:before="3"/>
              <w:ind w:left="104"/>
              <w:rPr>
                <w:rFonts w:ascii="Times New Roman" w:eastAsia="Times New Roman" w:hAnsi="Times New Roman" w:cs="Times New Roman"/>
              </w:rPr>
            </w:pPr>
            <w:r w:rsidRPr="008E3E1F">
              <w:rPr>
                <w:rFonts w:ascii="Times New Roman" w:hAnsi="Times New Roman" w:cs="Times New Roman"/>
                <w:spacing w:val="1"/>
              </w:rPr>
              <w:t>tydzień</w:t>
            </w:r>
            <w:r w:rsidRPr="008E3E1F">
              <w:rPr>
                <w:rFonts w:ascii="Times New Roman" w:hAnsi="Times New Roman" w:cs="Times New Roman"/>
                <w:spacing w:val="-3"/>
              </w:rPr>
              <w:t xml:space="preserve"> </w:t>
            </w:r>
            <w:r w:rsidRPr="008E3E1F">
              <w:rPr>
                <w:rFonts w:ascii="Times New Roman" w:hAnsi="Times New Roman" w:cs="Times New Roman"/>
              </w:rPr>
              <w:t>8</w:t>
            </w:r>
          </w:p>
        </w:tc>
        <w:tc>
          <w:tcPr>
            <w:tcW w:w="5100" w:type="dxa"/>
            <w:tcBorders>
              <w:top w:val="single" w:sz="7" w:space="0" w:color="000000"/>
              <w:left w:val="single" w:sz="7" w:space="0" w:color="000000"/>
              <w:bottom w:val="single" w:sz="7" w:space="0" w:color="000000"/>
              <w:right w:val="single" w:sz="7" w:space="0" w:color="000000"/>
            </w:tcBorders>
          </w:tcPr>
          <w:p w14:paraId="501C7052" w14:textId="56E9CF95" w:rsidR="00723CBC" w:rsidRPr="008E3E1F" w:rsidRDefault="00723CBC" w:rsidP="009D41F2">
            <w:pPr>
              <w:pStyle w:val="TableParagraph"/>
              <w:spacing w:before="3"/>
              <w:ind w:left="479"/>
              <w:rPr>
                <w:rFonts w:ascii="Times New Roman" w:eastAsia="Times New Roman" w:hAnsi="Times New Roman" w:cs="Times New Roman"/>
              </w:rPr>
            </w:pPr>
            <w:r w:rsidRPr="008E3E1F">
              <w:rPr>
                <w:rFonts w:ascii="Times New Roman" w:hAnsi="Times New Roman" w:cs="Times New Roman"/>
                <w:spacing w:val="-4"/>
              </w:rPr>
              <w:t>68</w:t>
            </w:r>
            <w:r w:rsidR="00DD6D0E" w:rsidRPr="008E3E1F">
              <w:rPr>
                <w:rFonts w:ascii="Times New Roman" w:hAnsi="Times New Roman" w:cs="Times New Roman"/>
                <w:spacing w:val="-4"/>
              </w:rPr>
              <w:t>,</w:t>
            </w:r>
            <w:r w:rsidRPr="008E3E1F">
              <w:rPr>
                <w:rFonts w:ascii="Times New Roman" w:hAnsi="Times New Roman" w:cs="Times New Roman"/>
                <w:spacing w:val="-4"/>
              </w:rPr>
              <w:t>6</w:t>
            </w:r>
            <w:r w:rsidRPr="008E3E1F">
              <w:rPr>
                <w:rFonts w:ascii="Times New Roman" w:hAnsi="Times New Roman" w:cs="Times New Roman"/>
                <w:spacing w:val="8"/>
              </w:rPr>
              <w:t xml:space="preserve"> </w:t>
            </w:r>
            <w:r w:rsidRPr="008E3E1F">
              <w:rPr>
                <w:rFonts w:ascii="Times New Roman" w:hAnsi="Times New Roman" w:cs="Times New Roman"/>
              </w:rPr>
              <w:t>%</w:t>
            </w:r>
          </w:p>
        </w:tc>
        <w:tc>
          <w:tcPr>
            <w:tcW w:w="2057" w:type="dxa"/>
            <w:tcBorders>
              <w:top w:val="single" w:sz="7" w:space="0" w:color="000000"/>
              <w:left w:val="single" w:sz="7" w:space="0" w:color="000000"/>
              <w:bottom w:val="single" w:sz="7" w:space="0" w:color="000000"/>
              <w:right w:val="single" w:sz="7" w:space="0" w:color="000000"/>
            </w:tcBorders>
          </w:tcPr>
          <w:p w14:paraId="6E0DE143" w14:textId="3E190DBD" w:rsidR="00723CBC" w:rsidRPr="008E3E1F" w:rsidRDefault="00723CBC" w:rsidP="00DD6D0E">
            <w:pPr>
              <w:pStyle w:val="TableParagraph"/>
              <w:spacing w:before="3"/>
              <w:ind w:left="449"/>
              <w:rPr>
                <w:rFonts w:ascii="Times New Roman" w:eastAsia="Times New Roman" w:hAnsi="Times New Roman" w:cs="Times New Roman"/>
                <w:sz w:val="13"/>
                <w:szCs w:val="13"/>
              </w:rPr>
            </w:pPr>
            <w:r w:rsidRPr="008E3E1F">
              <w:rPr>
                <w:rFonts w:ascii="Times New Roman" w:hAnsi="Times New Roman" w:cs="Times New Roman"/>
                <w:spacing w:val="-4"/>
              </w:rPr>
              <w:t>31</w:t>
            </w:r>
            <w:r w:rsidR="00DD6D0E" w:rsidRPr="008E3E1F">
              <w:rPr>
                <w:rFonts w:ascii="Times New Roman" w:hAnsi="Times New Roman" w:cs="Times New Roman"/>
                <w:spacing w:val="-4"/>
              </w:rPr>
              <w:t>,</w:t>
            </w:r>
            <w:r w:rsidRPr="008E3E1F">
              <w:rPr>
                <w:rFonts w:ascii="Times New Roman" w:hAnsi="Times New Roman" w:cs="Times New Roman"/>
                <w:spacing w:val="-4"/>
              </w:rPr>
              <w:t>4</w:t>
            </w:r>
            <w:r w:rsidRPr="008E3E1F">
              <w:rPr>
                <w:rFonts w:ascii="Times New Roman" w:hAnsi="Times New Roman" w:cs="Times New Roman"/>
                <w:spacing w:val="12"/>
              </w:rPr>
              <w:t xml:space="preserve"> </w:t>
            </w:r>
            <w:r w:rsidRPr="008E3E1F">
              <w:rPr>
                <w:rFonts w:ascii="Times New Roman" w:hAnsi="Times New Roman" w:cs="Times New Roman"/>
                <w:spacing w:val="3"/>
              </w:rPr>
              <w:t>%</w:t>
            </w:r>
            <w:r w:rsidRPr="008E3E1F">
              <w:rPr>
                <w:rFonts w:ascii="Times New Roman" w:hAnsi="Times New Roman" w:cs="Times New Roman"/>
                <w:spacing w:val="3"/>
                <w:position w:val="7"/>
                <w:sz w:val="13"/>
              </w:rPr>
              <w:t>1</w:t>
            </w:r>
          </w:p>
        </w:tc>
      </w:tr>
    </w:tbl>
    <w:p w14:paraId="4E17EF28" w14:textId="40AB9C58" w:rsidR="00723CBC" w:rsidRPr="008E3E1F" w:rsidRDefault="00B13223" w:rsidP="00BF3645">
      <w:pPr>
        <w:ind w:left="0" w:firstLine="0"/>
        <w:rPr>
          <w:noProof/>
          <w:sz w:val="16"/>
          <w:szCs w:val="16"/>
        </w:rPr>
      </w:pPr>
      <w:r w:rsidRPr="008E3E1F">
        <w:rPr>
          <w:noProof/>
          <w:sz w:val="16"/>
          <w:szCs w:val="16"/>
          <w:vertAlign w:val="superscript"/>
        </w:rPr>
        <w:t>1</w:t>
      </w:r>
      <w:r w:rsidRPr="008E3E1F">
        <w:rPr>
          <w:noProof/>
          <w:sz w:val="16"/>
          <w:szCs w:val="16"/>
        </w:rPr>
        <w:t xml:space="preserve"> Istotnie statystycznie mniej skuteczny niż </w:t>
      </w:r>
      <w:r w:rsidR="00EC14CA" w:rsidRPr="008E3E1F">
        <w:rPr>
          <w:noProof/>
          <w:sz w:val="16"/>
          <w:szCs w:val="16"/>
        </w:rPr>
        <w:t xml:space="preserve">skojarzenie </w:t>
      </w:r>
      <w:r w:rsidR="008834D5" w:rsidRPr="008E3E1F">
        <w:rPr>
          <w:noProof/>
          <w:sz w:val="16"/>
          <w:szCs w:val="16"/>
        </w:rPr>
        <w:t xml:space="preserve">betametazonu </w:t>
      </w:r>
      <w:r w:rsidR="00EC14CA" w:rsidRPr="008E3E1F">
        <w:rPr>
          <w:noProof/>
          <w:sz w:val="16"/>
          <w:szCs w:val="16"/>
        </w:rPr>
        <w:t>dipropion</w:t>
      </w:r>
      <w:r w:rsidR="00DB60F9" w:rsidRPr="008E3E1F">
        <w:rPr>
          <w:noProof/>
          <w:sz w:val="16"/>
          <w:szCs w:val="16"/>
        </w:rPr>
        <w:t>ian</w:t>
      </w:r>
      <w:r w:rsidR="00D37407" w:rsidRPr="008E3E1F">
        <w:rPr>
          <w:noProof/>
          <w:sz w:val="16"/>
          <w:szCs w:val="16"/>
        </w:rPr>
        <w:t>u</w:t>
      </w:r>
      <w:r w:rsidR="00DB60F9" w:rsidRPr="008E3E1F">
        <w:rPr>
          <w:noProof/>
          <w:sz w:val="16"/>
          <w:szCs w:val="16"/>
        </w:rPr>
        <w:t xml:space="preserve"> i kalcypotriol</w:t>
      </w:r>
      <w:r w:rsidR="00D37407" w:rsidRPr="008E3E1F">
        <w:rPr>
          <w:noProof/>
          <w:sz w:val="16"/>
          <w:szCs w:val="16"/>
        </w:rPr>
        <w:t>u</w:t>
      </w:r>
      <w:r w:rsidR="00EC14CA" w:rsidRPr="008E3E1F">
        <w:rPr>
          <w:noProof/>
          <w:sz w:val="16"/>
          <w:szCs w:val="16"/>
        </w:rPr>
        <w:t xml:space="preserve"> w postaci żelu</w:t>
      </w:r>
      <w:r w:rsidRPr="008E3E1F">
        <w:rPr>
          <w:noProof/>
          <w:sz w:val="16"/>
          <w:szCs w:val="16"/>
        </w:rPr>
        <w:t xml:space="preserve"> (P&lt;0,001)</w:t>
      </w:r>
    </w:p>
    <w:p w14:paraId="4874A0D0" w14:textId="3D4A31FD" w:rsidR="00723CBC" w:rsidRPr="008E3E1F" w:rsidRDefault="00723CBC" w:rsidP="00BF3645">
      <w:pPr>
        <w:ind w:left="0" w:firstLine="0"/>
        <w:rPr>
          <w:noProof/>
          <w:szCs w:val="22"/>
        </w:rPr>
      </w:pPr>
    </w:p>
    <w:p w14:paraId="1FAB3F73" w14:textId="578DBCF4" w:rsidR="00B13223" w:rsidRPr="008E3E1F" w:rsidRDefault="00B13223" w:rsidP="00B13223">
      <w:pPr>
        <w:pStyle w:val="Default"/>
        <w:rPr>
          <w:sz w:val="22"/>
          <w:szCs w:val="22"/>
          <w:lang w:val="pl-PL"/>
        </w:rPr>
      </w:pPr>
      <w:r w:rsidRPr="008E3E1F">
        <w:rPr>
          <w:sz w:val="22"/>
          <w:szCs w:val="22"/>
          <w:lang w:val="pl-PL"/>
        </w:rPr>
        <w:t xml:space="preserve">W długoterminowym badaniu klinicznym z randomizacją, przeprowadzonym metodą podwójnie ślepej próby, obejmującym 873 pacjentów z łuszczycą owłosionej skóry głowy, o co najmniej umiarkowanym przebiegu (według z oceną IGA) badano stosowanie produktu leczniczego </w:t>
      </w:r>
      <w:r w:rsidR="00750DF4" w:rsidRPr="008E3E1F">
        <w:rPr>
          <w:sz w:val="22"/>
          <w:szCs w:val="22"/>
          <w:lang w:val="pl-PL"/>
        </w:rPr>
        <w:t xml:space="preserve">zawierającego </w:t>
      </w:r>
      <w:r w:rsidR="00FB6A06" w:rsidRPr="008E3E1F">
        <w:rPr>
          <w:sz w:val="22"/>
          <w:szCs w:val="22"/>
          <w:lang w:val="pl-PL"/>
        </w:rPr>
        <w:t>kalcypotriol + betametazon</w:t>
      </w:r>
      <w:r w:rsidR="00C974B2" w:rsidRPr="008E3E1F">
        <w:rPr>
          <w:sz w:val="22"/>
          <w:szCs w:val="22"/>
          <w:lang w:val="pl-PL"/>
        </w:rPr>
        <w:t>,</w:t>
      </w:r>
      <w:r w:rsidR="00FB6A06" w:rsidRPr="008E3E1F">
        <w:rPr>
          <w:sz w:val="22"/>
          <w:szCs w:val="22"/>
          <w:lang w:val="pl-PL"/>
        </w:rPr>
        <w:t xml:space="preserve"> 50 mikrogramów/g + 0,5 mg/g</w:t>
      </w:r>
      <w:r w:rsidR="00750DF4" w:rsidRPr="008E3E1F">
        <w:rPr>
          <w:sz w:val="22"/>
          <w:szCs w:val="22"/>
          <w:lang w:val="pl-PL"/>
        </w:rPr>
        <w:t xml:space="preserve"> w postaci</w:t>
      </w:r>
      <w:r w:rsidR="00FB6A06" w:rsidRPr="008E3E1F">
        <w:rPr>
          <w:sz w:val="22"/>
          <w:szCs w:val="22"/>
          <w:lang w:val="pl-PL"/>
        </w:rPr>
        <w:t xml:space="preserve"> żel</w:t>
      </w:r>
      <w:r w:rsidR="00750DF4" w:rsidRPr="008E3E1F">
        <w:rPr>
          <w:sz w:val="22"/>
          <w:szCs w:val="22"/>
          <w:lang w:val="pl-PL"/>
        </w:rPr>
        <w:t>u</w:t>
      </w:r>
      <w:r w:rsidRPr="008E3E1F">
        <w:rPr>
          <w:sz w:val="22"/>
          <w:szCs w:val="22"/>
          <w:lang w:val="pl-PL"/>
        </w:rPr>
        <w:t xml:space="preserve"> w porównaniu z kalcypotriolem w podłożu żelowym. Oba produkty lecznicze były stosowane raz na dobę, w miarę potrzeby z przerwami, przez okres do 52 tygodni. Działania niepożądane prawdopodobnie związane z długotrwałym stosowaniem kortykosteroidów na skórze głowy zostały określone przez niezależną, niemającą kontaktu z badaniem, komisję złożoną z dermatologów. Nie było różnic w wartościach procentowych pacjentów, u których wystąpiły takie </w:t>
      </w:r>
      <w:r w:rsidR="00FD79AB" w:rsidRPr="008E3E1F">
        <w:rPr>
          <w:sz w:val="22"/>
          <w:szCs w:val="22"/>
          <w:lang w:val="pl-PL"/>
        </w:rPr>
        <w:t xml:space="preserve">działania </w:t>
      </w:r>
      <w:r w:rsidRPr="008E3E1F">
        <w:rPr>
          <w:sz w:val="22"/>
          <w:szCs w:val="22"/>
          <w:lang w:val="pl-PL"/>
        </w:rPr>
        <w:t xml:space="preserve">niepożądane pomiędzy leczonymi grupami (2,6% w grupie stosującej żel </w:t>
      </w:r>
      <w:r w:rsidR="00750DF4" w:rsidRPr="008E3E1F">
        <w:rPr>
          <w:sz w:val="22"/>
          <w:szCs w:val="22"/>
          <w:lang w:val="pl-PL"/>
        </w:rPr>
        <w:t xml:space="preserve">zawierający </w:t>
      </w:r>
      <w:r w:rsidR="00FB6A06" w:rsidRPr="008E3E1F">
        <w:rPr>
          <w:sz w:val="22"/>
          <w:szCs w:val="22"/>
          <w:lang w:val="pl-PL"/>
        </w:rPr>
        <w:t>kalcypotriol + betametazon</w:t>
      </w:r>
      <w:r w:rsidR="00C974B2" w:rsidRPr="008E3E1F">
        <w:rPr>
          <w:sz w:val="22"/>
          <w:szCs w:val="22"/>
          <w:lang w:val="pl-PL"/>
        </w:rPr>
        <w:t>,</w:t>
      </w:r>
      <w:r w:rsidR="00FB6A06" w:rsidRPr="008E3E1F">
        <w:rPr>
          <w:sz w:val="22"/>
          <w:szCs w:val="22"/>
          <w:lang w:val="pl-PL"/>
        </w:rPr>
        <w:t xml:space="preserve"> 50 mikrogramów/g + 0,5 mg/g </w:t>
      </w:r>
      <w:r w:rsidRPr="008E3E1F">
        <w:rPr>
          <w:sz w:val="22"/>
          <w:szCs w:val="22"/>
          <w:lang w:val="pl-PL"/>
        </w:rPr>
        <w:t xml:space="preserve">i 3,0% w grupie stosującej kalcypotriol, P=0,73). Nie stwierdzono przypadków zaniku skóry. </w:t>
      </w:r>
    </w:p>
    <w:p w14:paraId="257BA790" w14:textId="13D7FE55" w:rsidR="00B13223" w:rsidRPr="008E3E1F" w:rsidRDefault="00B13223" w:rsidP="00B13223">
      <w:pPr>
        <w:pStyle w:val="Default"/>
        <w:rPr>
          <w:sz w:val="22"/>
          <w:szCs w:val="22"/>
          <w:lang w:val="pl-PL"/>
        </w:rPr>
      </w:pPr>
    </w:p>
    <w:p w14:paraId="7F7908C5" w14:textId="54BE642C" w:rsidR="00B13223" w:rsidRPr="008E3E1F" w:rsidRDefault="00B13223" w:rsidP="00B13223">
      <w:pPr>
        <w:pStyle w:val="Tekstpodstawowy"/>
        <w:spacing w:before="15" w:line="246" w:lineRule="auto"/>
        <w:ind w:right="222"/>
        <w:rPr>
          <w:spacing w:val="-4"/>
        </w:rPr>
      </w:pPr>
      <w:r w:rsidRPr="008E3E1F">
        <w:rPr>
          <w:spacing w:val="-3"/>
        </w:rPr>
        <w:t xml:space="preserve">Skuteczność stosowania produktu </w:t>
      </w:r>
      <w:r w:rsidR="00A8321B" w:rsidRPr="008E3E1F">
        <w:rPr>
          <w:spacing w:val="-3"/>
        </w:rPr>
        <w:t xml:space="preserve">leczniczego </w:t>
      </w:r>
      <w:r w:rsidRPr="008E3E1F">
        <w:rPr>
          <w:spacing w:val="-3"/>
        </w:rPr>
        <w:t>Duosone raz na dobę w leczeniu łagodnej do umiarkowanej łuszczycy plackowatej oceniano w badaniu klinicznym z randomizacją, prze</w:t>
      </w:r>
      <w:r w:rsidR="00C14BC3" w:rsidRPr="008E3E1F">
        <w:rPr>
          <w:spacing w:val="-3"/>
        </w:rPr>
        <w:t>p</w:t>
      </w:r>
      <w:r w:rsidRPr="008E3E1F">
        <w:rPr>
          <w:spacing w:val="-3"/>
        </w:rPr>
        <w:t xml:space="preserve">rowadzonym metodą podwójnie ślepej próby, trwającym 8 tygodni </w:t>
      </w:r>
      <w:r w:rsidR="00FD79AB" w:rsidRPr="008E3E1F">
        <w:rPr>
          <w:spacing w:val="-3"/>
        </w:rPr>
        <w:t xml:space="preserve">i </w:t>
      </w:r>
      <w:r w:rsidRPr="008E3E1F">
        <w:rPr>
          <w:spacing w:val="-3"/>
        </w:rPr>
        <w:t>obejmującym 283 osoby (0155/2018). Porównywanymi produktami były samo podłoże żel</w:t>
      </w:r>
      <w:r w:rsidR="003138CE" w:rsidRPr="008E3E1F">
        <w:rPr>
          <w:spacing w:val="-3"/>
        </w:rPr>
        <w:t>owe</w:t>
      </w:r>
      <w:r w:rsidRPr="008E3E1F">
        <w:rPr>
          <w:spacing w:val="-3"/>
        </w:rPr>
        <w:t xml:space="preserve"> i żel </w:t>
      </w:r>
      <w:r w:rsidR="00750DF4" w:rsidRPr="008E3E1F">
        <w:rPr>
          <w:spacing w:val="-3"/>
        </w:rPr>
        <w:t xml:space="preserve">zawierający </w:t>
      </w:r>
      <w:r w:rsidRPr="008E3E1F">
        <w:rPr>
          <w:spacing w:val="-3"/>
        </w:rPr>
        <w:t>kalcypotriol + betametazon</w:t>
      </w:r>
      <w:r w:rsidR="00FE5007" w:rsidRPr="008E3E1F">
        <w:rPr>
          <w:spacing w:val="-3"/>
        </w:rPr>
        <w:t>,</w:t>
      </w:r>
      <w:r w:rsidRPr="008E3E1F">
        <w:rPr>
          <w:spacing w:val="-3"/>
        </w:rPr>
        <w:t xml:space="preserve"> 50 mikrogramów</w:t>
      </w:r>
      <w:r w:rsidR="003138CE" w:rsidRPr="008E3E1F">
        <w:rPr>
          <w:spacing w:val="-3"/>
        </w:rPr>
        <w:t>/</w:t>
      </w:r>
      <w:r w:rsidRPr="008E3E1F">
        <w:rPr>
          <w:spacing w:val="-3"/>
        </w:rPr>
        <w:t>g + 0,5 mg/g (żel Daivobet®). Równoważność terapeutyczną produktu</w:t>
      </w:r>
      <w:r w:rsidR="00A8321B" w:rsidRPr="008E3E1F">
        <w:rPr>
          <w:spacing w:val="-3"/>
        </w:rPr>
        <w:t xml:space="preserve"> leczniczego</w:t>
      </w:r>
      <w:r w:rsidRPr="008E3E1F">
        <w:rPr>
          <w:spacing w:val="-3"/>
        </w:rPr>
        <w:t xml:space="preserve"> </w:t>
      </w:r>
      <w:r w:rsidR="003138CE" w:rsidRPr="008E3E1F">
        <w:rPr>
          <w:spacing w:val="-3"/>
        </w:rPr>
        <w:t>Duosone</w:t>
      </w:r>
      <w:r w:rsidRPr="008E3E1F">
        <w:rPr>
          <w:spacing w:val="-3"/>
        </w:rPr>
        <w:t xml:space="preserve"> z</w:t>
      </w:r>
      <w:r w:rsidR="003138CE" w:rsidRPr="008E3E1F">
        <w:rPr>
          <w:spacing w:val="-3"/>
        </w:rPr>
        <w:t xml:space="preserve"> żelem</w:t>
      </w:r>
      <w:r w:rsidRPr="008E3E1F">
        <w:rPr>
          <w:spacing w:val="-3"/>
        </w:rPr>
        <w:t xml:space="preserve"> </w:t>
      </w:r>
      <w:r w:rsidR="00750DF4" w:rsidRPr="008E3E1F">
        <w:rPr>
          <w:spacing w:val="-3"/>
        </w:rPr>
        <w:t xml:space="preserve">zawierającym </w:t>
      </w:r>
      <w:r w:rsidRPr="008E3E1F">
        <w:rPr>
          <w:spacing w:val="-3"/>
        </w:rPr>
        <w:t>kalcypotriol + betametazon</w:t>
      </w:r>
      <w:r w:rsidR="00C974B2" w:rsidRPr="008E3E1F">
        <w:rPr>
          <w:spacing w:val="-3"/>
        </w:rPr>
        <w:t>,</w:t>
      </w:r>
      <w:r w:rsidRPr="008E3E1F">
        <w:rPr>
          <w:spacing w:val="-3"/>
        </w:rPr>
        <w:t xml:space="preserve"> </w:t>
      </w:r>
      <w:r w:rsidR="003138CE" w:rsidRPr="008E3E1F">
        <w:rPr>
          <w:spacing w:val="-3"/>
        </w:rPr>
        <w:t>50 mikrogramów/g + 0,5 mg/g</w:t>
      </w:r>
      <w:r w:rsidRPr="008E3E1F">
        <w:rPr>
          <w:spacing w:val="-3"/>
        </w:rPr>
        <w:t xml:space="preserve"> (żel Daivobet®) można stwierdzić na podstawie równoważnej średniej</w:t>
      </w:r>
      <w:r w:rsidR="003138CE" w:rsidRPr="008E3E1F">
        <w:rPr>
          <w:spacing w:val="-3"/>
        </w:rPr>
        <w:t xml:space="preserve"> </w:t>
      </w:r>
      <w:r w:rsidRPr="008E3E1F">
        <w:rPr>
          <w:spacing w:val="-3"/>
        </w:rPr>
        <w:t>% zmiany w stosunku do wartości wyjściowej w PASI w 4 tygodniu / 29 dniu</w:t>
      </w:r>
      <w:r w:rsidR="007216CC" w:rsidRPr="008E3E1F">
        <w:rPr>
          <w:spacing w:val="-3"/>
        </w:rPr>
        <w:t xml:space="preserve"> </w:t>
      </w:r>
      <w:r w:rsidRPr="008E3E1F">
        <w:rPr>
          <w:spacing w:val="-3"/>
        </w:rPr>
        <w:t xml:space="preserve">dla obu terapii. Wyższość produktu </w:t>
      </w:r>
      <w:r w:rsidR="00A8321B" w:rsidRPr="008E3E1F">
        <w:rPr>
          <w:spacing w:val="-3"/>
        </w:rPr>
        <w:t xml:space="preserve">leczniczego </w:t>
      </w:r>
      <w:r w:rsidR="003138CE" w:rsidRPr="008E3E1F">
        <w:rPr>
          <w:spacing w:val="-3"/>
        </w:rPr>
        <w:t>Duosone</w:t>
      </w:r>
      <w:r w:rsidRPr="008E3E1F">
        <w:rPr>
          <w:spacing w:val="-3"/>
        </w:rPr>
        <w:t xml:space="preserve"> w porównaniu z </w:t>
      </w:r>
      <w:r w:rsidR="003138CE" w:rsidRPr="008E3E1F">
        <w:rPr>
          <w:spacing w:val="-3"/>
        </w:rPr>
        <w:t>podłożem</w:t>
      </w:r>
      <w:r w:rsidRPr="008E3E1F">
        <w:rPr>
          <w:spacing w:val="-3"/>
        </w:rPr>
        <w:t xml:space="preserve"> żelowym wykazano na podstawie wyższej zmiennej pierwotnej skuteczności, średniej</w:t>
      </w:r>
      <w:r w:rsidR="00D37407" w:rsidRPr="008E3E1F">
        <w:rPr>
          <w:spacing w:val="-3"/>
        </w:rPr>
        <w:t xml:space="preserve"> </w:t>
      </w:r>
      <w:r w:rsidRPr="008E3E1F">
        <w:rPr>
          <w:spacing w:val="-3"/>
        </w:rPr>
        <w:t xml:space="preserve">% zmiany w stosunku do wartości wyjściowej w PASI w 4 tygodniu / 29 </w:t>
      </w:r>
      <w:r w:rsidR="003138CE" w:rsidRPr="008E3E1F">
        <w:rPr>
          <w:spacing w:val="-3"/>
        </w:rPr>
        <w:t>d</w:t>
      </w:r>
      <w:r w:rsidRPr="008E3E1F">
        <w:rPr>
          <w:spacing w:val="-3"/>
        </w:rPr>
        <w:t>niu.</w:t>
      </w:r>
    </w:p>
    <w:p w14:paraId="61525A6F" w14:textId="77777777" w:rsidR="00B13223" w:rsidRPr="008E3E1F" w:rsidRDefault="00B13223" w:rsidP="00B13223">
      <w:pPr>
        <w:pStyle w:val="Tekstpodstawowy"/>
        <w:spacing w:before="15" w:line="246" w:lineRule="auto"/>
        <w:ind w:left="121" w:right="222"/>
        <w:rPr>
          <w:spacing w:val="-4"/>
        </w:rPr>
      </w:pPr>
    </w:p>
    <w:tbl>
      <w:tblPr>
        <w:tblStyle w:val="Tabela-Siatka"/>
        <w:tblW w:w="0" w:type="auto"/>
        <w:tblInd w:w="121" w:type="dxa"/>
        <w:tblLook w:val="04A0" w:firstRow="1" w:lastRow="0" w:firstColumn="1" w:lastColumn="0" w:noHBand="0" w:noVBand="1"/>
      </w:tblPr>
      <w:tblGrid>
        <w:gridCol w:w="3398"/>
        <w:gridCol w:w="1926"/>
        <w:gridCol w:w="1826"/>
        <w:gridCol w:w="1789"/>
      </w:tblGrid>
      <w:tr w:rsidR="00CA75AE" w:rsidRPr="008E3E1F" w14:paraId="7805BACE" w14:textId="77777777" w:rsidTr="009D41F2">
        <w:tc>
          <w:tcPr>
            <w:tcW w:w="3560" w:type="dxa"/>
          </w:tcPr>
          <w:p w14:paraId="2F6451AE" w14:textId="2A4CEAE1" w:rsidR="00B13223" w:rsidRPr="008E3E1F" w:rsidRDefault="00CA75AE" w:rsidP="009D41F2">
            <w:pPr>
              <w:pStyle w:val="Tekstpodstawowy"/>
              <w:spacing w:before="15" w:line="246" w:lineRule="auto"/>
              <w:ind w:right="222"/>
              <w:rPr>
                <w:rFonts w:ascii="Times New Roman" w:hAnsi="Times New Roman" w:cs="Times New Roman"/>
                <w:spacing w:val="-4"/>
                <w:lang w:val="pl-PL"/>
              </w:rPr>
            </w:pPr>
            <w:r w:rsidRPr="008E3E1F">
              <w:rPr>
                <w:rFonts w:ascii="Times New Roman" w:hAnsi="Times New Roman" w:cs="Times New Roman"/>
                <w:spacing w:val="-4"/>
                <w:lang w:val="pl-PL"/>
              </w:rPr>
              <w:t>Względna zmiana w stosunku w wartości wyjściowej</w:t>
            </w:r>
            <w:r w:rsidR="00B13223" w:rsidRPr="008E3E1F">
              <w:rPr>
                <w:rFonts w:ascii="Times New Roman" w:hAnsi="Times New Roman" w:cs="Times New Roman"/>
                <w:spacing w:val="-4"/>
                <w:lang w:val="pl-PL"/>
              </w:rPr>
              <w:t xml:space="preserve"> </w:t>
            </w:r>
            <w:r w:rsidRPr="008E3E1F">
              <w:rPr>
                <w:rFonts w:ascii="Times New Roman" w:hAnsi="Times New Roman" w:cs="Times New Roman"/>
                <w:spacing w:val="-4"/>
                <w:lang w:val="pl-PL"/>
              </w:rPr>
              <w:t>w</w:t>
            </w:r>
            <w:r w:rsidR="00B13223" w:rsidRPr="008E3E1F">
              <w:rPr>
                <w:rFonts w:ascii="Times New Roman" w:hAnsi="Times New Roman" w:cs="Times New Roman"/>
                <w:spacing w:val="-4"/>
                <w:lang w:val="pl-PL"/>
              </w:rPr>
              <w:t xml:space="preserve"> PASI [%] </w:t>
            </w:r>
            <w:r w:rsidR="00B067BA" w:rsidRPr="008E3E1F">
              <w:rPr>
                <w:rFonts w:ascii="Times New Roman" w:hAnsi="Times New Roman" w:cs="Times New Roman"/>
                <w:spacing w:val="-4"/>
                <w:lang w:val="pl-PL"/>
              </w:rPr>
              <w:t xml:space="preserve">w </w:t>
            </w:r>
            <w:r w:rsidRPr="008E3E1F">
              <w:rPr>
                <w:rFonts w:ascii="Times New Roman" w:hAnsi="Times New Roman" w:cs="Times New Roman"/>
                <w:spacing w:val="-4"/>
                <w:lang w:val="pl-PL"/>
              </w:rPr>
              <w:t xml:space="preserve">tygodniu </w:t>
            </w:r>
            <w:r w:rsidR="00B13223" w:rsidRPr="008E3E1F">
              <w:rPr>
                <w:rFonts w:ascii="Times New Roman" w:hAnsi="Times New Roman" w:cs="Times New Roman"/>
                <w:spacing w:val="-4"/>
                <w:lang w:val="pl-PL"/>
              </w:rPr>
              <w:t xml:space="preserve">4 / </w:t>
            </w:r>
            <w:r w:rsidRPr="008E3E1F">
              <w:rPr>
                <w:rFonts w:ascii="Times New Roman" w:hAnsi="Times New Roman" w:cs="Times New Roman"/>
                <w:spacing w:val="-4"/>
                <w:lang w:val="pl-PL"/>
              </w:rPr>
              <w:t>dniu</w:t>
            </w:r>
            <w:r w:rsidR="00B13223" w:rsidRPr="008E3E1F">
              <w:rPr>
                <w:rFonts w:ascii="Times New Roman" w:hAnsi="Times New Roman" w:cs="Times New Roman"/>
                <w:spacing w:val="-4"/>
                <w:lang w:val="pl-PL"/>
              </w:rPr>
              <w:t xml:space="preserve"> 29</w:t>
            </w:r>
          </w:p>
        </w:tc>
        <w:tc>
          <w:tcPr>
            <w:tcW w:w="1984" w:type="dxa"/>
          </w:tcPr>
          <w:p w14:paraId="369E55A1" w14:textId="33E4028F" w:rsidR="00B13223" w:rsidRPr="008E3E1F" w:rsidRDefault="00CA75AE" w:rsidP="009D41F2">
            <w:pPr>
              <w:pStyle w:val="Tekstpodstawowy"/>
              <w:spacing w:before="15" w:line="246" w:lineRule="auto"/>
              <w:ind w:right="222"/>
              <w:rPr>
                <w:rFonts w:ascii="Times New Roman" w:hAnsi="Times New Roman" w:cs="Times New Roman"/>
                <w:spacing w:val="-3"/>
              </w:rPr>
            </w:pPr>
            <w:r w:rsidRPr="008E3E1F">
              <w:rPr>
                <w:rFonts w:ascii="Times New Roman" w:hAnsi="Times New Roman" w:cs="Times New Roman"/>
                <w:spacing w:val="-3"/>
              </w:rPr>
              <w:t>Duosone</w:t>
            </w:r>
          </w:p>
          <w:p w14:paraId="7347DE06" w14:textId="77777777" w:rsidR="00B13223" w:rsidRPr="008E3E1F" w:rsidRDefault="00B13223" w:rsidP="009D41F2">
            <w:pPr>
              <w:pStyle w:val="Tekstpodstawowy"/>
              <w:spacing w:before="15" w:line="246" w:lineRule="auto"/>
              <w:ind w:right="222"/>
              <w:rPr>
                <w:rFonts w:ascii="Times New Roman" w:hAnsi="Times New Roman" w:cs="Times New Roman"/>
                <w:spacing w:val="-4"/>
              </w:rPr>
            </w:pPr>
            <w:r w:rsidRPr="008E3E1F">
              <w:rPr>
                <w:rFonts w:ascii="Times New Roman" w:hAnsi="Times New Roman" w:cs="Times New Roman"/>
                <w:spacing w:val="-3"/>
              </w:rPr>
              <w:t>(N=123)</w:t>
            </w:r>
          </w:p>
        </w:tc>
        <w:tc>
          <w:tcPr>
            <w:tcW w:w="1843" w:type="dxa"/>
          </w:tcPr>
          <w:p w14:paraId="271D7289" w14:textId="77777777" w:rsidR="00B13223" w:rsidRPr="008E3E1F" w:rsidRDefault="00B13223" w:rsidP="009D41F2">
            <w:pPr>
              <w:pStyle w:val="Tekstpodstawowy"/>
              <w:spacing w:before="15" w:line="246" w:lineRule="auto"/>
              <w:ind w:right="222"/>
              <w:rPr>
                <w:rFonts w:ascii="Times New Roman" w:hAnsi="Times New Roman" w:cs="Times New Roman"/>
                <w:spacing w:val="-4"/>
              </w:rPr>
            </w:pPr>
            <w:r w:rsidRPr="008E3E1F">
              <w:rPr>
                <w:rFonts w:ascii="Times New Roman" w:hAnsi="Times New Roman" w:cs="Times New Roman"/>
                <w:spacing w:val="-4"/>
              </w:rPr>
              <w:t>Daivobet®</w:t>
            </w:r>
          </w:p>
          <w:p w14:paraId="2FBFAA0B" w14:textId="77777777" w:rsidR="00B13223" w:rsidRPr="008E3E1F" w:rsidRDefault="00B13223" w:rsidP="009D41F2">
            <w:pPr>
              <w:pStyle w:val="Tekstpodstawowy"/>
              <w:spacing w:before="15" w:line="246" w:lineRule="auto"/>
              <w:ind w:right="222"/>
              <w:rPr>
                <w:rFonts w:ascii="Times New Roman" w:hAnsi="Times New Roman" w:cs="Times New Roman"/>
                <w:spacing w:val="-4"/>
              </w:rPr>
            </w:pPr>
            <w:r w:rsidRPr="008E3E1F">
              <w:rPr>
                <w:rFonts w:ascii="Times New Roman" w:hAnsi="Times New Roman" w:cs="Times New Roman"/>
                <w:spacing w:val="-4"/>
              </w:rPr>
              <w:t>(N=121)</w:t>
            </w:r>
          </w:p>
        </w:tc>
        <w:tc>
          <w:tcPr>
            <w:tcW w:w="1843" w:type="dxa"/>
          </w:tcPr>
          <w:p w14:paraId="66EB2B48" w14:textId="535A33BE" w:rsidR="00B13223" w:rsidRPr="008E3E1F" w:rsidRDefault="00CA75AE" w:rsidP="009D41F2">
            <w:pPr>
              <w:pStyle w:val="Tekstpodstawowy"/>
              <w:spacing w:before="15" w:line="246" w:lineRule="auto"/>
              <w:ind w:right="222"/>
              <w:rPr>
                <w:rFonts w:ascii="Times New Roman" w:hAnsi="Times New Roman" w:cs="Times New Roman"/>
                <w:spacing w:val="-4"/>
              </w:rPr>
            </w:pPr>
            <w:r w:rsidRPr="008E3E1F">
              <w:rPr>
                <w:rFonts w:ascii="Times New Roman" w:hAnsi="Times New Roman" w:cs="Times New Roman"/>
                <w:spacing w:val="-4"/>
              </w:rPr>
              <w:t>Podłoże żelu</w:t>
            </w:r>
          </w:p>
          <w:p w14:paraId="66E84757" w14:textId="77777777" w:rsidR="00B13223" w:rsidRPr="008E3E1F" w:rsidRDefault="00B13223" w:rsidP="009D41F2">
            <w:pPr>
              <w:pStyle w:val="Tekstpodstawowy"/>
              <w:spacing w:before="15" w:line="246" w:lineRule="auto"/>
              <w:ind w:right="222"/>
              <w:rPr>
                <w:rFonts w:ascii="Times New Roman" w:hAnsi="Times New Roman" w:cs="Times New Roman"/>
                <w:spacing w:val="-4"/>
              </w:rPr>
            </w:pPr>
            <w:r w:rsidRPr="008E3E1F">
              <w:rPr>
                <w:rFonts w:ascii="Times New Roman" w:hAnsi="Times New Roman" w:cs="Times New Roman"/>
                <w:spacing w:val="-4"/>
              </w:rPr>
              <w:t>(N=39)</w:t>
            </w:r>
          </w:p>
        </w:tc>
      </w:tr>
      <w:tr w:rsidR="00CA75AE" w:rsidRPr="008E3E1F" w14:paraId="576486EA" w14:textId="77777777" w:rsidTr="009D41F2">
        <w:tc>
          <w:tcPr>
            <w:tcW w:w="3560" w:type="dxa"/>
          </w:tcPr>
          <w:p w14:paraId="0EDC67C0" w14:textId="6D6E2E51" w:rsidR="00B13223" w:rsidRPr="008E3E1F" w:rsidRDefault="00A835E6" w:rsidP="009D41F2">
            <w:pPr>
              <w:pStyle w:val="Default"/>
              <w:rPr>
                <w:rFonts w:ascii="Times New Roman" w:hAnsi="Times New Roman" w:cs="Times New Roman"/>
                <w:sz w:val="22"/>
                <w:szCs w:val="22"/>
              </w:rPr>
            </w:pPr>
            <w:r w:rsidRPr="008E3E1F">
              <w:rPr>
                <w:rFonts w:ascii="Times New Roman" w:hAnsi="Times New Roman" w:cs="Times New Roman"/>
                <w:sz w:val="22"/>
                <w:szCs w:val="22"/>
              </w:rPr>
              <w:t xml:space="preserve">Średnia </w:t>
            </w:r>
            <w:r w:rsidR="00B13223" w:rsidRPr="008E3E1F">
              <w:rPr>
                <w:rFonts w:ascii="Times New Roman" w:hAnsi="Times New Roman" w:cs="Times New Roman"/>
                <w:sz w:val="22"/>
                <w:szCs w:val="22"/>
              </w:rPr>
              <w:t>± SE</w:t>
            </w:r>
          </w:p>
        </w:tc>
        <w:tc>
          <w:tcPr>
            <w:tcW w:w="1984" w:type="dxa"/>
          </w:tcPr>
          <w:p w14:paraId="3884EE6B" w14:textId="72FC5469"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-58</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1 ± 2</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2</w:t>
            </w:r>
          </w:p>
          <w:p w14:paraId="5EBB4527"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843" w:type="dxa"/>
          </w:tcPr>
          <w:p w14:paraId="5158D18B" w14:textId="28F8BB20"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-59</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6 ± 2</w:t>
            </w:r>
            <w:r w:rsidR="00ED4CA7" w:rsidRPr="008E3E1F">
              <w:rPr>
                <w:rFonts w:ascii="Times New Roman" w:hAnsi="Times New Roman" w:cs="Times New Roman"/>
                <w:sz w:val="22"/>
                <w:szCs w:val="22"/>
              </w:rPr>
              <w:t>,</w:t>
            </w:r>
            <w:r w:rsidRPr="008E3E1F">
              <w:rPr>
                <w:rFonts w:ascii="Times New Roman" w:hAnsi="Times New Roman" w:cs="Times New Roman"/>
                <w:sz w:val="22"/>
                <w:szCs w:val="22"/>
              </w:rPr>
              <w:t>3</w:t>
            </w:r>
          </w:p>
          <w:p w14:paraId="576B9C4F"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843" w:type="dxa"/>
          </w:tcPr>
          <w:p w14:paraId="5658623B" w14:textId="315AE0D9"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-21</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8 ± 4</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 xml:space="preserve">2 </w:t>
            </w:r>
          </w:p>
          <w:p w14:paraId="17BD61FB"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r>
      <w:tr w:rsidR="00CA75AE" w:rsidRPr="008E3E1F" w14:paraId="61E6A9E7" w14:textId="77777777" w:rsidTr="009D41F2">
        <w:tc>
          <w:tcPr>
            <w:tcW w:w="3560" w:type="dxa"/>
          </w:tcPr>
          <w:p w14:paraId="4698A9B5" w14:textId="77777777"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95%-CI</w:t>
            </w:r>
          </w:p>
        </w:tc>
        <w:tc>
          <w:tcPr>
            <w:tcW w:w="1984" w:type="dxa"/>
          </w:tcPr>
          <w:p w14:paraId="69B35167" w14:textId="2683DB7D"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-62</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5, -53</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7</w:t>
            </w:r>
          </w:p>
          <w:p w14:paraId="1F46D5A7"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843" w:type="dxa"/>
          </w:tcPr>
          <w:p w14:paraId="7B7F3D75" w14:textId="1B09D24C"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-64</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42, -55</w:t>
            </w:r>
            <w:r w:rsidR="00ED4CA7" w:rsidRPr="008E3E1F">
              <w:rPr>
                <w:rFonts w:ascii="Times New Roman" w:hAnsi="Times New Roman" w:cs="Times New Roman"/>
                <w:sz w:val="22"/>
                <w:szCs w:val="22"/>
              </w:rPr>
              <w:t>,</w:t>
            </w:r>
            <w:r w:rsidRPr="008E3E1F">
              <w:rPr>
                <w:rFonts w:ascii="Times New Roman" w:hAnsi="Times New Roman" w:cs="Times New Roman"/>
                <w:sz w:val="22"/>
                <w:szCs w:val="22"/>
              </w:rPr>
              <w:t>3</w:t>
            </w:r>
          </w:p>
          <w:p w14:paraId="5B65B0E1"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843" w:type="dxa"/>
          </w:tcPr>
          <w:p w14:paraId="673F9FD9" w14:textId="64DAB7A6"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-30</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0 -13</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5</w:t>
            </w:r>
          </w:p>
          <w:p w14:paraId="0EE42831"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r>
      <w:tr w:rsidR="00CA75AE" w:rsidRPr="008E3E1F" w14:paraId="19E3B33A" w14:textId="77777777" w:rsidTr="009D41F2">
        <w:tc>
          <w:tcPr>
            <w:tcW w:w="3560" w:type="dxa"/>
          </w:tcPr>
          <w:p w14:paraId="6910F568" w14:textId="7951F376" w:rsidR="00B13223" w:rsidRPr="008E3E1F" w:rsidRDefault="009B0BAC" w:rsidP="009D41F2">
            <w:pPr>
              <w:pStyle w:val="Default"/>
              <w:rPr>
                <w:rFonts w:ascii="Times New Roman" w:hAnsi="Times New Roman" w:cs="Times New Roman"/>
                <w:sz w:val="22"/>
                <w:szCs w:val="22"/>
              </w:rPr>
            </w:pPr>
            <w:r w:rsidRPr="008E3E1F">
              <w:rPr>
                <w:rFonts w:ascii="Times New Roman" w:hAnsi="Times New Roman" w:cs="Times New Roman"/>
                <w:sz w:val="22"/>
                <w:szCs w:val="22"/>
              </w:rPr>
              <w:t>Różnica średnich</w:t>
            </w:r>
            <w:r w:rsidR="00B13223" w:rsidRPr="008E3E1F">
              <w:rPr>
                <w:rFonts w:ascii="Times New Roman" w:hAnsi="Times New Roman" w:cs="Times New Roman"/>
                <w:sz w:val="22"/>
                <w:szCs w:val="22"/>
                <w:vertAlign w:val="superscript"/>
              </w:rPr>
              <w:t>1</w:t>
            </w:r>
            <w:r w:rsidR="00B13223" w:rsidRPr="008E3E1F">
              <w:rPr>
                <w:rFonts w:ascii="Times New Roman" w:hAnsi="Times New Roman" w:cs="Times New Roman"/>
                <w:sz w:val="22"/>
                <w:szCs w:val="22"/>
              </w:rPr>
              <w:t xml:space="preserve"> ± SE</w:t>
            </w:r>
          </w:p>
          <w:p w14:paraId="4AA3859A"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984" w:type="dxa"/>
          </w:tcPr>
          <w:p w14:paraId="7E493138"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843" w:type="dxa"/>
          </w:tcPr>
          <w:p w14:paraId="58F22E19" w14:textId="0FA2E889"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1</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7 ± 3</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2</w:t>
            </w:r>
          </w:p>
          <w:p w14:paraId="5DDF5F8E"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843" w:type="dxa"/>
          </w:tcPr>
          <w:p w14:paraId="5D61A8B2" w14:textId="7F90FAE6"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-36</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6 ± 4</w:t>
            </w:r>
            <w:r w:rsidR="00DD6D0E" w:rsidRPr="008E3E1F">
              <w:rPr>
                <w:rFonts w:ascii="Times New Roman" w:hAnsi="Times New Roman" w:cs="Times New Roman"/>
                <w:sz w:val="22"/>
                <w:szCs w:val="22"/>
              </w:rPr>
              <w:t>,</w:t>
            </w:r>
            <w:r w:rsidRPr="008E3E1F">
              <w:rPr>
                <w:rFonts w:ascii="Times New Roman" w:hAnsi="Times New Roman" w:cs="Times New Roman"/>
                <w:sz w:val="22"/>
                <w:szCs w:val="22"/>
              </w:rPr>
              <w:t xml:space="preserve">7 </w:t>
            </w:r>
          </w:p>
          <w:p w14:paraId="069193E7"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r>
      <w:tr w:rsidR="00CA75AE" w:rsidRPr="008E3E1F" w14:paraId="1EEA03E5" w14:textId="77777777" w:rsidTr="009D41F2">
        <w:tc>
          <w:tcPr>
            <w:tcW w:w="3560" w:type="dxa"/>
          </w:tcPr>
          <w:p w14:paraId="4F5F7549" w14:textId="07D28531" w:rsidR="00B13223" w:rsidRPr="008E3E1F" w:rsidRDefault="009B0BAC" w:rsidP="009D41F2">
            <w:pPr>
              <w:pStyle w:val="Default"/>
              <w:rPr>
                <w:rFonts w:ascii="Times New Roman" w:hAnsi="Times New Roman" w:cs="Times New Roman"/>
                <w:sz w:val="22"/>
                <w:szCs w:val="22"/>
              </w:rPr>
            </w:pPr>
            <w:r w:rsidRPr="008E3E1F">
              <w:rPr>
                <w:rFonts w:ascii="Times New Roman" w:hAnsi="Times New Roman" w:cs="Times New Roman"/>
                <w:sz w:val="22"/>
                <w:szCs w:val="22"/>
              </w:rPr>
              <w:t>R</w:t>
            </w:r>
            <w:r w:rsidR="00CA75AE" w:rsidRPr="008E3E1F">
              <w:rPr>
                <w:rFonts w:ascii="Times New Roman" w:hAnsi="Times New Roman" w:cs="Times New Roman"/>
                <w:sz w:val="22"/>
                <w:szCs w:val="22"/>
              </w:rPr>
              <w:t>óżnica</w:t>
            </w:r>
            <w:r w:rsidRPr="008E3E1F">
              <w:rPr>
                <w:rFonts w:ascii="Times New Roman" w:hAnsi="Times New Roman" w:cs="Times New Roman"/>
                <w:sz w:val="22"/>
                <w:szCs w:val="22"/>
              </w:rPr>
              <w:t xml:space="preserve"> średnich</w:t>
            </w:r>
            <w:r w:rsidR="00CA75AE" w:rsidRPr="008E3E1F">
              <w:rPr>
                <w:rFonts w:ascii="Times New Roman" w:hAnsi="Times New Roman" w:cs="Times New Roman"/>
                <w:sz w:val="22"/>
                <w:szCs w:val="22"/>
                <w:vertAlign w:val="superscript"/>
              </w:rPr>
              <w:t>1</w:t>
            </w:r>
            <w:r w:rsidR="00CA75AE" w:rsidRPr="008E3E1F">
              <w:rPr>
                <w:rFonts w:ascii="Times New Roman" w:hAnsi="Times New Roman" w:cs="Times New Roman"/>
                <w:sz w:val="22"/>
                <w:szCs w:val="22"/>
              </w:rPr>
              <w:t xml:space="preserve"> </w:t>
            </w:r>
            <w:r w:rsidR="00B13223" w:rsidRPr="008E3E1F">
              <w:rPr>
                <w:rFonts w:ascii="Times New Roman" w:hAnsi="Times New Roman" w:cs="Times New Roman"/>
                <w:sz w:val="22"/>
                <w:szCs w:val="22"/>
              </w:rPr>
              <w:t>95%-CI</w:t>
            </w:r>
          </w:p>
          <w:p w14:paraId="1C235AB9" w14:textId="77777777" w:rsidR="00B13223" w:rsidRPr="008E3E1F" w:rsidRDefault="00B13223" w:rsidP="009D41F2">
            <w:pPr>
              <w:pStyle w:val="Default"/>
              <w:rPr>
                <w:rFonts w:ascii="Times New Roman" w:hAnsi="Times New Roman" w:cs="Times New Roman"/>
                <w:sz w:val="22"/>
                <w:szCs w:val="22"/>
              </w:rPr>
            </w:pPr>
          </w:p>
        </w:tc>
        <w:tc>
          <w:tcPr>
            <w:tcW w:w="1984" w:type="dxa"/>
          </w:tcPr>
          <w:p w14:paraId="135C1F96"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843" w:type="dxa"/>
          </w:tcPr>
          <w:p w14:paraId="50346FB2" w14:textId="686B58B5"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-4</w:t>
            </w:r>
            <w:r w:rsidR="00ED4CA7" w:rsidRPr="008E3E1F">
              <w:rPr>
                <w:rFonts w:ascii="Times New Roman" w:hAnsi="Times New Roman" w:cs="Times New Roman"/>
                <w:sz w:val="22"/>
                <w:szCs w:val="22"/>
              </w:rPr>
              <w:t>,</w:t>
            </w:r>
            <w:r w:rsidRPr="008E3E1F">
              <w:rPr>
                <w:rFonts w:ascii="Times New Roman" w:hAnsi="Times New Roman" w:cs="Times New Roman"/>
                <w:sz w:val="22"/>
                <w:szCs w:val="22"/>
              </w:rPr>
              <w:t>6, 7</w:t>
            </w:r>
            <w:r w:rsidR="00ED4CA7" w:rsidRPr="008E3E1F">
              <w:rPr>
                <w:rFonts w:ascii="Times New Roman" w:hAnsi="Times New Roman" w:cs="Times New Roman"/>
                <w:sz w:val="22"/>
                <w:szCs w:val="22"/>
              </w:rPr>
              <w:t>,</w:t>
            </w:r>
            <w:r w:rsidRPr="008E3E1F">
              <w:rPr>
                <w:rFonts w:ascii="Times New Roman" w:hAnsi="Times New Roman" w:cs="Times New Roman"/>
                <w:sz w:val="22"/>
                <w:szCs w:val="22"/>
              </w:rPr>
              <w:t xml:space="preserve">9 </w:t>
            </w:r>
          </w:p>
          <w:p w14:paraId="06ADCDF8" w14:textId="77777777" w:rsidR="00B13223" w:rsidRPr="008E3E1F" w:rsidRDefault="00B13223" w:rsidP="009D41F2">
            <w:pPr>
              <w:pStyle w:val="Default"/>
              <w:rPr>
                <w:rFonts w:ascii="Times New Roman" w:hAnsi="Times New Roman" w:cs="Times New Roman"/>
                <w:sz w:val="22"/>
                <w:szCs w:val="22"/>
              </w:rPr>
            </w:pPr>
          </w:p>
        </w:tc>
        <w:tc>
          <w:tcPr>
            <w:tcW w:w="1843" w:type="dxa"/>
          </w:tcPr>
          <w:p w14:paraId="54C34F73" w14:textId="2FED9301" w:rsidR="00B13223" w:rsidRPr="008E3E1F" w:rsidRDefault="00B13223" w:rsidP="009D41F2">
            <w:pPr>
              <w:pStyle w:val="Default"/>
              <w:rPr>
                <w:rFonts w:ascii="Times New Roman" w:hAnsi="Times New Roman" w:cs="Times New Roman"/>
                <w:sz w:val="22"/>
                <w:szCs w:val="22"/>
              </w:rPr>
            </w:pPr>
            <w:r w:rsidRPr="008E3E1F">
              <w:rPr>
                <w:rFonts w:ascii="Times New Roman" w:hAnsi="Times New Roman" w:cs="Times New Roman"/>
                <w:sz w:val="22"/>
                <w:szCs w:val="22"/>
              </w:rPr>
              <w:t>-45</w:t>
            </w:r>
            <w:r w:rsidR="00ED4CA7" w:rsidRPr="008E3E1F">
              <w:rPr>
                <w:rFonts w:ascii="Times New Roman" w:hAnsi="Times New Roman" w:cs="Times New Roman"/>
                <w:sz w:val="22"/>
                <w:szCs w:val="22"/>
              </w:rPr>
              <w:t>,</w:t>
            </w:r>
            <w:r w:rsidRPr="008E3E1F">
              <w:rPr>
                <w:rFonts w:ascii="Times New Roman" w:hAnsi="Times New Roman" w:cs="Times New Roman"/>
                <w:sz w:val="22"/>
                <w:szCs w:val="22"/>
              </w:rPr>
              <w:t>7, -27</w:t>
            </w:r>
            <w:r w:rsidR="00ED4CA7" w:rsidRPr="008E3E1F">
              <w:rPr>
                <w:rFonts w:ascii="Times New Roman" w:hAnsi="Times New Roman" w:cs="Times New Roman"/>
                <w:sz w:val="22"/>
                <w:szCs w:val="22"/>
              </w:rPr>
              <w:t>,</w:t>
            </w:r>
            <w:r w:rsidRPr="008E3E1F">
              <w:rPr>
                <w:rFonts w:ascii="Times New Roman" w:hAnsi="Times New Roman" w:cs="Times New Roman"/>
                <w:sz w:val="22"/>
                <w:szCs w:val="22"/>
              </w:rPr>
              <w:t>0</w:t>
            </w:r>
          </w:p>
          <w:p w14:paraId="63CBDCFF" w14:textId="77777777" w:rsidR="00B13223" w:rsidRPr="008E3E1F" w:rsidRDefault="00B13223" w:rsidP="009D41F2">
            <w:pPr>
              <w:pStyle w:val="Default"/>
              <w:rPr>
                <w:rFonts w:ascii="Times New Roman" w:hAnsi="Times New Roman" w:cs="Times New Roman"/>
                <w:sz w:val="22"/>
                <w:szCs w:val="22"/>
              </w:rPr>
            </w:pPr>
          </w:p>
        </w:tc>
      </w:tr>
      <w:tr w:rsidR="00CA75AE" w:rsidRPr="008E3E1F" w14:paraId="65DC29B0" w14:textId="77777777" w:rsidTr="009D41F2">
        <w:tc>
          <w:tcPr>
            <w:tcW w:w="3560" w:type="dxa"/>
          </w:tcPr>
          <w:p w14:paraId="12A43931" w14:textId="08FCA21D" w:rsidR="00B13223" w:rsidRPr="008E3E1F" w:rsidRDefault="00CA75AE" w:rsidP="009D41F2">
            <w:pPr>
              <w:pStyle w:val="Default"/>
              <w:rPr>
                <w:rFonts w:ascii="Times New Roman" w:hAnsi="Times New Roman" w:cs="Times New Roman"/>
                <w:sz w:val="22"/>
                <w:szCs w:val="22"/>
              </w:rPr>
            </w:pPr>
            <w:r w:rsidRPr="008E3E1F">
              <w:rPr>
                <w:rFonts w:ascii="Times New Roman" w:hAnsi="Times New Roman" w:cs="Times New Roman"/>
                <w:sz w:val="22"/>
                <w:szCs w:val="22"/>
              </w:rPr>
              <w:t>Wnioski</w:t>
            </w:r>
            <w:r w:rsidR="00B13223" w:rsidRPr="008E3E1F">
              <w:rPr>
                <w:rFonts w:ascii="Times New Roman" w:hAnsi="Times New Roman" w:cs="Times New Roman"/>
                <w:sz w:val="22"/>
                <w:szCs w:val="22"/>
                <w:vertAlign w:val="superscript"/>
              </w:rPr>
              <w:t>2,3</w:t>
            </w:r>
          </w:p>
        </w:tc>
        <w:tc>
          <w:tcPr>
            <w:tcW w:w="1984" w:type="dxa"/>
          </w:tcPr>
          <w:p w14:paraId="4132CDD7" w14:textId="77777777" w:rsidR="00B13223" w:rsidRPr="008E3E1F" w:rsidRDefault="00B13223" w:rsidP="009D41F2">
            <w:pPr>
              <w:pStyle w:val="Tekstpodstawowy"/>
              <w:spacing w:before="15" w:line="246" w:lineRule="auto"/>
              <w:ind w:right="222"/>
              <w:rPr>
                <w:rFonts w:ascii="Times New Roman" w:hAnsi="Times New Roman" w:cs="Times New Roman"/>
                <w:spacing w:val="-4"/>
                <w:szCs w:val="22"/>
              </w:rPr>
            </w:pPr>
          </w:p>
        </w:tc>
        <w:tc>
          <w:tcPr>
            <w:tcW w:w="1843" w:type="dxa"/>
          </w:tcPr>
          <w:p w14:paraId="550F7E0E" w14:textId="0ACF6F6E" w:rsidR="00B13223" w:rsidRPr="008E3E1F" w:rsidRDefault="00CA75AE" w:rsidP="009D41F2">
            <w:pPr>
              <w:pStyle w:val="Default"/>
              <w:rPr>
                <w:rFonts w:ascii="Times New Roman" w:hAnsi="Times New Roman" w:cs="Times New Roman"/>
                <w:sz w:val="22"/>
                <w:szCs w:val="22"/>
              </w:rPr>
            </w:pPr>
            <w:r w:rsidRPr="008E3E1F">
              <w:rPr>
                <w:rFonts w:ascii="Times New Roman" w:hAnsi="Times New Roman" w:cs="Times New Roman"/>
                <w:sz w:val="22"/>
                <w:szCs w:val="22"/>
              </w:rPr>
              <w:t>Równoważność</w:t>
            </w:r>
          </w:p>
        </w:tc>
        <w:tc>
          <w:tcPr>
            <w:tcW w:w="1843" w:type="dxa"/>
          </w:tcPr>
          <w:p w14:paraId="4E63CDD4" w14:textId="497C9306" w:rsidR="00B13223" w:rsidRPr="008E3E1F" w:rsidRDefault="00CA75AE" w:rsidP="009D41F2">
            <w:pPr>
              <w:pStyle w:val="Default"/>
              <w:rPr>
                <w:rFonts w:ascii="Times New Roman" w:hAnsi="Times New Roman" w:cs="Times New Roman"/>
                <w:sz w:val="22"/>
                <w:szCs w:val="22"/>
              </w:rPr>
            </w:pPr>
            <w:r w:rsidRPr="008E3E1F">
              <w:rPr>
                <w:rFonts w:ascii="Times New Roman" w:hAnsi="Times New Roman" w:cs="Times New Roman"/>
                <w:sz w:val="22"/>
                <w:szCs w:val="22"/>
              </w:rPr>
              <w:t>Wyższość</w:t>
            </w:r>
            <w:r w:rsidR="00B13223" w:rsidRPr="008E3E1F">
              <w:rPr>
                <w:rFonts w:ascii="Times New Roman" w:hAnsi="Times New Roman" w:cs="Times New Roman"/>
                <w:sz w:val="22"/>
                <w:szCs w:val="22"/>
              </w:rPr>
              <w:t xml:space="preserve"> </w:t>
            </w:r>
          </w:p>
        </w:tc>
      </w:tr>
    </w:tbl>
    <w:p w14:paraId="4A381F73" w14:textId="77777777" w:rsidR="00B13223" w:rsidRPr="008E3E1F" w:rsidRDefault="00B13223" w:rsidP="00B13223">
      <w:pPr>
        <w:pStyle w:val="Default"/>
        <w:rPr>
          <w:sz w:val="13"/>
          <w:szCs w:val="13"/>
        </w:rPr>
      </w:pPr>
    </w:p>
    <w:p w14:paraId="661B68CD" w14:textId="77777777" w:rsidR="00B13223" w:rsidRPr="008E3E1F" w:rsidRDefault="00B13223" w:rsidP="00B13223">
      <w:pPr>
        <w:pStyle w:val="Default"/>
        <w:rPr>
          <w:sz w:val="13"/>
          <w:szCs w:val="13"/>
        </w:rPr>
      </w:pPr>
    </w:p>
    <w:p w14:paraId="44905B23" w14:textId="36F3C9F8" w:rsidR="00B13223" w:rsidRPr="008E3E1F" w:rsidRDefault="00B13223" w:rsidP="00B13223">
      <w:pPr>
        <w:pStyle w:val="Default"/>
        <w:rPr>
          <w:sz w:val="20"/>
          <w:szCs w:val="20"/>
          <w:lang w:val="pl-PL"/>
        </w:rPr>
      </w:pPr>
      <w:r w:rsidRPr="008E3E1F">
        <w:rPr>
          <w:sz w:val="20"/>
          <w:szCs w:val="20"/>
          <w:vertAlign w:val="superscript"/>
          <w:lang w:val="pl-PL"/>
        </w:rPr>
        <w:lastRenderedPageBreak/>
        <w:t>1</w:t>
      </w:r>
      <w:r w:rsidRPr="008E3E1F">
        <w:rPr>
          <w:sz w:val="20"/>
          <w:szCs w:val="20"/>
          <w:lang w:val="pl-PL"/>
        </w:rPr>
        <w:t xml:space="preserve"> </w:t>
      </w:r>
      <w:r w:rsidR="006C725A" w:rsidRPr="008E3E1F">
        <w:rPr>
          <w:sz w:val="20"/>
          <w:szCs w:val="20"/>
          <w:lang w:val="pl-PL"/>
        </w:rPr>
        <w:t xml:space="preserve">Różnica </w:t>
      </w:r>
      <w:r w:rsidR="00A835E6" w:rsidRPr="008E3E1F">
        <w:rPr>
          <w:sz w:val="20"/>
          <w:szCs w:val="20"/>
          <w:lang w:val="pl-PL"/>
        </w:rPr>
        <w:t xml:space="preserve">względnej </w:t>
      </w:r>
      <w:r w:rsidR="006C725A" w:rsidRPr="008E3E1F">
        <w:rPr>
          <w:sz w:val="20"/>
          <w:szCs w:val="20"/>
          <w:lang w:val="pl-PL"/>
        </w:rPr>
        <w:t xml:space="preserve">zmiany w porównaniu z </w:t>
      </w:r>
      <w:r w:rsidR="008776BB" w:rsidRPr="008E3E1F">
        <w:rPr>
          <w:sz w:val="20"/>
          <w:szCs w:val="20"/>
          <w:lang w:val="pl-PL"/>
        </w:rPr>
        <w:t>produktem</w:t>
      </w:r>
      <w:r w:rsidR="006C725A" w:rsidRPr="008E3E1F">
        <w:rPr>
          <w:sz w:val="20"/>
          <w:szCs w:val="20"/>
          <w:lang w:val="pl-PL"/>
        </w:rPr>
        <w:t xml:space="preserve"> </w:t>
      </w:r>
      <w:r w:rsidR="009B0BAC" w:rsidRPr="008E3E1F">
        <w:rPr>
          <w:sz w:val="20"/>
          <w:szCs w:val="20"/>
          <w:lang w:val="pl-PL"/>
        </w:rPr>
        <w:t>lecznicz</w:t>
      </w:r>
      <w:r w:rsidR="00C208C0" w:rsidRPr="008E3E1F">
        <w:rPr>
          <w:sz w:val="20"/>
          <w:szCs w:val="20"/>
          <w:lang w:val="pl-PL"/>
        </w:rPr>
        <w:t>ym</w:t>
      </w:r>
      <w:r w:rsidR="009B0BAC" w:rsidRPr="008E3E1F">
        <w:rPr>
          <w:sz w:val="20"/>
          <w:szCs w:val="20"/>
          <w:lang w:val="pl-PL"/>
        </w:rPr>
        <w:t xml:space="preserve"> </w:t>
      </w:r>
      <w:r w:rsidR="006C725A" w:rsidRPr="008E3E1F">
        <w:rPr>
          <w:sz w:val="20"/>
          <w:szCs w:val="20"/>
          <w:lang w:val="pl-PL"/>
        </w:rPr>
        <w:t xml:space="preserve">Duosone </w:t>
      </w:r>
      <w:r w:rsidR="008776BB" w:rsidRPr="008E3E1F">
        <w:rPr>
          <w:sz w:val="20"/>
          <w:szCs w:val="20"/>
          <w:lang w:val="pl-PL"/>
        </w:rPr>
        <w:t>żel określona odpowiednio jako Duosone żel minus Daivobet® żel minus podłoże żelowe</w:t>
      </w:r>
      <w:r w:rsidR="00BE2634" w:rsidRPr="008E3E1F">
        <w:rPr>
          <w:sz w:val="20"/>
          <w:szCs w:val="20"/>
          <w:lang w:val="pl-PL"/>
        </w:rPr>
        <w:t>.</w:t>
      </w:r>
    </w:p>
    <w:p w14:paraId="71051F4F" w14:textId="41980257" w:rsidR="00B13223" w:rsidRPr="008E3E1F" w:rsidRDefault="00B13223" w:rsidP="00B13223">
      <w:pPr>
        <w:pStyle w:val="Default"/>
        <w:rPr>
          <w:sz w:val="20"/>
          <w:szCs w:val="20"/>
          <w:lang w:val="pl-PL"/>
        </w:rPr>
      </w:pPr>
      <w:r w:rsidRPr="008E3E1F">
        <w:rPr>
          <w:sz w:val="20"/>
          <w:szCs w:val="20"/>
          <w:vertAlign w:val="superscript"/>
          <w:lang w:val="pl-PL"/>
        </w:rPr>
        <w:t>2</w:t>
      </w:r>
      <w:r w:rsidRPr="008E3E1F">
        <w:rPr>
          <w:sz w:val="20"/>
          <w:szCs w:val="20"/>
          <w:lang w:val="pl-PL"/>
        </w:rPr>
        <w:t xml:space="preserve"> </w:t>
      </w:r>
      <w:r w:rsidR="008776BB" w:rsidRPr="008E3E1F">
        <w:rPr>
          <w:sz w:val="20"/>
          <w:szCs w:val="20"/>
          <w:lang w:val="pl-PL"/>
        </w:rPr>
        <w:t xml:space="preserve">Równoważność produktu </w:t>
      </w:r>
      <w:r w:rsidR="009B0BAC" w:rsidRPr="008E3E1F">
        <w:rPr>
          <w:sz w:val="20"/>
          <w:szCs w:val="20"/>
          <w:lang w:val="pl-PL"/>
        </w:rPr>
        <w:t xml:space="preserve">leczniczego </w:t>
      </w:r>
      <w:r w:rsidR="008776BB" w:rsidRPr="008E3E1F">
        <w:rPr>
          <w:sz w:val="20"/>
          <w:szCs w:val="20"/>
          <w:lang w:val="pl-PL"/>
        </w:rPr>
        <w:t xml:space="preserve">Duosone żel i produktu </w:t>
      </w:r>
      <w:r w:rsidR="009B0BAC" w:rsidRPr="008E3E1F">
        <w:rPr>
          <w:sz w:val="20"/>
          <w:szCs w:val="20"/>
          <w:lang w:val="pl-PL"/>
        </w:rPr>
        <w:t xml:space="preserve">leczniczego </w:t>
      </w:r>
      <w:r w:rsidR="008776BB" w:rsidRPr="008E3E1F">
        <w:rPr>
          <w:sz w:val="20"/>
          <w:szCs w:val="20"/>
          <w:lang w:val="pl-PL"/>
        </w:rPr>
        <w:t xml:space="preserve">Daivobet® żel stwierdzono jeżeli </w:t>
      </w:r>
      <w:r w:rsidR="00B3590F" w:rsidRPr="008E3E1F">
        <w:rPr>
          <w:sz w:val="20"/>
          <w:szCs w:val="20"/>
          <w:lang w:val="pl-PL"/>
        </w:rPr>
        <w:t xml:space="preserve">95 % przedział ufności </w:t>
      </w:r>
      <w:r w:rsidR="009D41F2" w:rsidRPr="008E3E1F">
        <w:rPr>
          <w:sz w:val="20"/>
          <w:szCs w:val="20"/>
          <w:lang w:val="pl-PL"/>
        </w:rPr>
        <w:t xml:space="preserve">dla </w:t>
      </w:r>
      <w:r w:rsidR="008776BB" w:rsidRPr="008E3E1F">
        <w:rPr>
          <w:sz w:val="20"/>
          <w:szCs w:val="20"/>
          <w:lang w:val="pl-PL"/>
        </w:rPr>
        <w:t>różnic</w:t>
      </w:r>
      <w:r w:rsidR="00B3590F" w:rsidRPr="008E3E1F">
        <w:rPr>
          <w:sz w:val="20"/>
          <w:szCs w:val="20"/>
          <w:lang w:val="pl-PL"/>
        </w:rPr>
        <w:t>y</w:t>
      </w:r>
      <w:r w:rsidR="008776BB" w:rsidRPr="008E3E1F">
        <w:rPr>
          <w:sz w:val="20"/>
          <w:szCs w:val="20"/>
          <w:lang w:val="pl-PL"/>
        </w:rPr>
        <w:t xml:space="preserve"> </w:t>
      </w:r>
      <w:r w:rsidR="009B0BAC" w:rsidRPr="008E3E1F">
        <w:rPr>
          <w:sz w:val="20"/>
          <w:szCs w:val="20"/>
          <w:lang w:val="pl-PL"/>
        </w:rPr>
        <w:t xml:space="preserve">średnich </w:t>
      </w:r>
      <w:r w:rsidR="008776BB" w:rsidRPr="008E3E1F">
        <w:rPr>
          <w:sz w:val="20"/>
          <w:szCs w:val="20"/>
          <w:lang w:val="pl-PL"/>
        </w:rPr>
        <w:t>mieści się w całości w</w:t>
      </w:r>
      <w:r w:rsidR="00A835E6" w:rsidRPr="008E3E1F">
        <w:rPr>
          <w:sz w:val="20"/>
          <w:szCs w:val="20"/>
          <w:lang w:val="pl-PL"/>
        </w:rPr>
        <w:t xml:space="preserve"> zakresie</w:t>
      </w:r>
      <w:r w:rsidR="008776BB" w:rsidRPr="008E3E1F">
        <w:rPr>
          <w:sz w:val="20"/>
          <w:szCs w:val="20"/>
          <w:lang w:val="pl-PL"/>
        </w:rPr>
        <w:t xml:space="preserve"> </w:t>
      </w:r>
      <w:r w:rsidR="00A9695F" w:rsidRPr="008E3E1F">
        <w:rPr>
          <w:sz w:val="20"/>
          <w:szCs w:val="20"/>
          <w:lang w:val="pl-PL"/>
        </w:rPr>
        <w:t>równoważności</w:t>
      </w:r>
      <w:r w:rsidR="007F2FBF" w:rsidRPr="008E3E1F">
        <w:rPr>
          <w:sz w:val="20"/>
          <w:szCs w:val="20"/>
          <w:lang w:val="pl-PL"/>
        </w:rPr>
        <w:t xml:space="preserve"> </w:t>
      </w:r>
      <w:r w:rsidRPr="008E3E1F">
        <w:rPr>
          <w:sz w:val="20"/>
          <w:szCs w:val="20"/>
          <w:lang w:val="pl-PL"/>
        </w:rPr>
        <w:t>-15% to +15%.</w:t>
      </w:r>
    </w:p>
    <w:p w14:paraId="6C8F127B" w14:textId="7F9E95E0" w:rsidR="00B13223" w:rsidRPr="008E3E1F" w:rsidRDefault="00B13223" w:rsidP="00B13223">
      <w:pPr>
        <w:pStyle w:val="Default"/>
        <w:rPr>
          <w:sz w:val="20"/>
          <w:szCs w:val="20"/>
          <w:lang w:val="pl-PL"/>
        </w:rPr>
      </w:pPr>
      <w:r w:rsidRPr="008E3E1F">
        <w:rPr>
          <w:sz w:val="20"/>
          <w:szCs w:val="20"/>
          <w:vertAlign w:val="superscript"/>
          <w:lang w:val="pl-PL"/>
        </w:rPr>
        <w:t>3</w:t>
      </w:r>
      <w:r w:rsidR="00CA75AE" w:rsidRPr="008E3E1F">
        <w:rPr>
          <w:sz w:val="20"/>
          <w:szCs w:val="20"/>
          <w:lang w:val="pl-PL"/>
        </w:rPr>
        <w:t>Wyższość</w:t>
      </w:r>
      <w:r w:rsidR="00CA75AE" w:rsidRPr="008E3E1F">
        <w:rPr>
          <w:sz w:val="20"/>
          <w:szCs w:val="20"/>
          <w:vertAlign w:val="superscript"/>
          <w:lang w:val="pl-PL"/>
        </w:rPr>
        <w:t xml:space="preserve"> </w:t>
      </w:r>
      <w:r w:rsidR="00CA75AE" w:rsidRPr="008E3E1F">
        <w:rPr>
          <w:sz w:val="20"/>
          <w:szCs w:val="20"/>
          <w:lang w:val="pl-PL"/>
        </w:rPr>
        <w:t xml:space="preserve">produktu </w:t>
      </w:r>
      <w:r w:rsidR="00A8321B" w:rsidRPr="008E3E1F">
        <w:rPr>
          <w:sz w:val="20"/>
          <w:szCs w:val="20"/>
          <w:lang w:val="pl-PL"/>
        </w:rPr>
        <w:t xml:space="preserve">leczniczego </w:t>
      </w:r>
      <w:r w:rsidR="00CA75AE" w:rsidRPr="008E3E1F">
        <w:rPr>
          <w:sz w:val="20"/>
          <w:szCs w:val="20"/>
          <w:lang w:val="pl-PL"/>
        </w:rPr>
        <w:t>Duosone</w:t>
      </w:r>
      <w:r w:rsidRPr="008E3E1F">
        <w:rPr>
          <w:sz w:val="20"/>
          <w:szCs w:val="20"/>
          <w:lang w:val="pl-PL"/>
        </w:rPr>
        <w:t xml:space="preserve"> </w:t>
      </w:r>
      <w:r w:rsidR="00BE0F88" w:rsidRPr="008E3E1F">
        <w:rPr>
          <w:sz w:val="20"/>
          <w:szCs w:val="20"/>
          <w:lang w:val="pl-PL"/>
        </w:rPr>
        <w:t xml:space="preserve">w porównaniu z </w:t>
      </w:r>
      <w:r w:rsidR="00CA75AE" w:rsidRPr="008E3E1F">
        <w:rPr>
          <w:sz w:val="20"/>
          <w:szCs w:val="20"/>
          <w:lang w:val="pl-PL"/>
        </w:rPr>
        <w:t>podłożem żelowym</w:t>
      </w:r>
      <w:r w:rsidRPr="008E3E1F">
        <w:rPr>
          <w:sz w:val="20"/>
          <w:szCs w:val="20"/>
          <w:lang w:val="pl-PL"/>
        </w:rPr>
        <w:t xml:space="preserve"> </w:t>
      </w:r>
      <w:r w:rsidR="00C14BC3" w:rsidRPr="008E3E1F">
        <w:rPr>
          <w:sz w:val="20"/>
          <w:szCs w:val="20"/>
          <w:lang w:val="pl-PL"/>
        </w:rPr>
        <w:t>potwierdzono, jeżeli górn</w:t>
      </w:r>
      <w:r w:rsidR="008776BB" w:rsidRPr="008E3E1F">
        <w:rPr>
          <w:sz w:val="20"/>
          <w:szCs w:val="20"/>
          <w:lang w:val="pl-PL"/>
        </w:rPr>
        <w:t>a granica 95 % przedziału ufności</w:t>
      </w:r>
      <w:r w:rsidR="009D41F2" w:rsidRPr="008E3E1F">
        <w:rPr>
          <w:sz w:val="20"/>
          <w:szCs w:val="20"/>
          <w:lang w:val="pl-PL"/>
        </w:rPr>
        <w:t xml:space="preserve"> dla</w:t>
      </w:r>
      <w:r w:rsidR="008776BB" w:rsidRPr="008E3E1F">
        <w:rPr>
          <w:sz w:val="20"/>
          <w:szCs w:val="20"/>
          <w:lang w:val="pl-PL"/>
        </w:rPr>
        <w:t xml:space="preserve"> </w:t>
      </w:r>
      <w:r w:rsidR="009B0BAC" w:rsidRPr="008E3E1F">
        <w:rPr>
          <w:sz w:val="20"/>
          <w:szCs w:val="20"/>
          <w:lang w:val="pl-PL"/>
        </w:rPr>
        <w:t>różnicy średnich</w:t>
      </w:r>
      <w:r w:rsidR="008776BB" w:rsidRPr="008E3E1F">
        <w:rPr>
          <w:sz w:val="20"/>
          <w:szCs w:val="20"/>
          <w:lang w:val="pl-PL"/>
        </w:rPr>
        <w:t xml:space="preserve"> jest ujemna tj. nie obejmuje zera.</w:t>
      </w:r>
    </w:p>
    <w:p w14:paraId="2036C878" w14:textId="77777777" w:rsidR="00B13223" w:rsidRPr="008E3E1F" w:rsidRDefault="00B13223" w:rsidP="00B13223">
      <w:pPr>
        <w:pStyle w:val="Default"/>
        <w:rPr>
          <w:sz w:val="22"/>
          <w:szCs w:val="22"/>
          <w:lang w:val="pl-PL"/>
        </w:rPr>
      </w:pPr>
    </w:p>
    <w:p w14:paraId="07ADEB6F" w14:textId="77777777" w:rsidR="00B13223" w:rsidRPr="008E3E1F" w:rsidRDefault="00B13223" w:rsidP="00B13223">
      <w:pPr>
        <w:pStyle w:val="Default"/>
        <w:rPr>
          <w:sz w:val="22"/>
          <w:szCs w:val="22"/>
          <w:u w:val="single"/>
          <w:lang w:val="pl-PL"/>
        </w:rPr>
      </w:pPr>
      <w:r w:rsidRPr="008E3E1F">
        <w:rPr>
          <w:sz w:val="22"/>
          <w:szCs w:val="22"/>
          <w:u w:val="single"/>
          <w:lang w:val="pl-PL"/>
        </w:rPr>
        <w:t xml:space="preserve">Dzieci i młodzież </w:t>
      </w:r>
    </w:p>
    <w:p w14:paraId="362DADD5" w14:textId="77777777" w:rsidR="00B13223" w:rsidRPr="008E3E1F" w:rsidRDefault="00B13223" w:rsidP="00B13223">
      <w:pPr>
        <w:pStyle w:val="Default"/>
        <w:rPr>
          <w:i/>
          <w:sz w:val="22"/>
          <w:szCs w:val="22"/>
          <w:lang w:val="pl-PL"/>
        </w:rPr>
      </w:pPr>
      <w:r w:rsidRPr="008E3E1F">
        <w:rPr>
          <w:i/>
          <w:sz w:val="22"/>
          <w:szCs w:val="22"/>
          <w:lang w:val="pl-PL"/>
        </w:rPr>
        <w:t xml:space="preserve">Owłosiona skóra głowy </w:t>
      </w:r>
    </w:p>
    <w:p w14:paraId="46F66EF5" w14:textId="01FA9C0E" w:rsidR="002F2A56" w:rsidRPr="008E3E1F" w:rsidRDefault="00B13223" w:rsidP="00B13223">
      <w:pPr>
        <w:ind w:left="0" w:firstLine="0"/>
        <w:rPr>
          <w:szCs w:val="22"/>
        </w:rPr>
      </w:pPr>
      <w:r w:rsidRPr="008E3E1F">
        <w:rPr>
          <w:szCs w:val="22"/>
        </w:rPr>
        <w:t xml:space="preserve">W dwóch, 8-tygodniowych, niekontrolowanych, otwartych badaniach z udziałem 109 nastolatków w wieku od 12 do 17 lat z łuszczycą owłosionej skóry głowy obserwowano wpływ </w:t>
      </w:r>
      <w:r w:rsidR="00FB6A06" w:rsidRPr="008E3E1F">
        <w:rPr>
          <w:szCs w:val="22"/>
        </w:rPr>
        <w:t>produktu leczniczego</w:t>
      </w:r>
      <w:r w:rsidR="00BE2634" w:rsidRPr="008E3E1F">
        <w:rPr>
          <w:szCs w:val="22"/>
        </w:rPr>
        <w:t xml:space="preserve"> zawierającego</w:t>
      </w:r>
      <w:r w:rsidR="00FB6A06" w:rsidRPr="008E3E1F">
        <w:rPr>
          <w:szCs w:val="22"/>
        </w:rPr>
        <w:t xml:space="preserve"> kalcypotriol + betametazon</w:t>
      </w:r>
      <w:r w:rsidR="00FE5007" w:rsidRPr="008E3E1F">
        <w:rPr>
          <w:szCs w:val="22"/>
        </w:rPr>
        <w:t>,</w:t>
      </w:r>
      <w:r w:rsidR="00FB6A06" w:rsidRPr="008E3E1F">
        <w:rPr>
          <w:szCs w:val="22"/>
        </w:rPr>
        <w:t xml:space="preserve"> 50 mikrogramów/g + 0,5 mg/g </w:t>
      </w:r>
      <w:r w:rsidR="00CA6B6F" w:rsidRPr="008E3E1F">
        <w:rPr>
          <w:szCs w:val="22"/>
        </w:rPr>
        <w:t xml:space="preserve">w postaci </w:t>
      </w:r>
      <w:r w:rsidR="00FB6A06" w:rsidRPr="008E3E1F">
        <w:rPr>
          <w:szCs w:val="22"/>
        </w:rPr>
        <w:t>żel</w:t>
      </w:r>
      <w:r w:rsidR="00CA6B6F" w:rsidRPr="008E3E1F">
        <w:rPr>
          <w:szCs w:val="22"/>
        </w:rPr>
        <w:t>u</w:t>
      </w:r>
      <w:r w:rsidRPr="008E3E1F">
        <w:rPr>
          <w:szCs w:val="22"/>
        </w:rPr>
        <w:t xml:space="preserve"> stosowanego w ilości do 69 g na tydzień na metabolizm wapnia. Nie stwierdzono żadnego przypadku hiperkalcemii ani klinicznie istotnych zmian stężenia wapnia w moczu. Odpowiedź nadnerczy na test prowokacji ACTH była mierzona u 30 pacjentów, u jednego pacjenta wykazano zmniejszenie odpowiedzi kortyzolu na prowokację ACTH po 4 tygodniach leczenia, była jednak łagodna, odwracalna i bez objawów klinicznych.</w:t>
      </w:r>
    </w:p>
    <w:p w14:paraId="6095C393" w14:textId="6C7CCD85" w:rsidR="00B13223" w:rsidRPr="008E3E1F" w:rsidRDefault="00B13223" w:rsidP="00B13223">
      <w:pPr>
        <w:ind w:left="0" w:firstLine="0"/>
        <w:rPr>
          <w:szCs w:val="22"/>
        </w:rPr>
      </w:pPr>
    </w:p>
    <w:p w14:paraId="232E3F9C" w14:textId="77777777" w:rsidR="00B13223" w:rsidRPr="008E3E1F" w:rsidRDefault="00B13223" w:rsidP="00B13223">
      <w:pPr>
        <w:pStyle w:val="Default"/>
        <w:rPr>
          <w:i/>
          <w:sz w:val="22"/>
          <w:szCs w:val="22"/>
          <w:lang w:val="pl-PL"/>
        </w:rPr>
      </w:pPr>
      <w:r w:rsidRPr="008E3E1F">
        <w:rPr>
          <w:i/>
          <w:sz w:val="22"/>
          <w:szCs w:val="22"/>
          <w:lang w:val="pl-PL"/>
        </w:rPr>
        <w:t xml:space="preserve">Owłosiona skóra głowy i ciało </w:t>
      </w:r>
    </w:p>
    <w:p w14:paraId="0AE54F78" w14:textId="10F2FB1E" w:rsidR="00B13223" w:rsidRPr="008E3E1F" w:rsidRDefault="00B13223" w:rsidP="00B13223">
      <w:pPr>
        <w:ind w:left="0" w:firstLine="0"/>
        <w:rPr>
          <w:szCs w:val="22"/>
        </w:rPr>
      </w:pPr>
      <w:r w:rsidRPr="008E3E1F">
        <w:rPr>
          <w:szCs w:val="22"/>
        </w:rPr>
        <w:t xml:space="preserve">W 8-tygodniowym, niekontrolowanym, otwartym badaniu z udziałem 107 nastolatków w wieku od 12 do 17 lat z łuszczycą owłosionej skóry głowy oraz łuszczycą umiejscowioną na ciele obserwowano wpływ </w:t>
      </w:r>
      <w:r w:rsidR="009D41F2" w:rsidRPr="008E3E1F">
        <w:rPr>
          <w:spacing w:val="-3"/>
        </w:rPr>
        <w:t xml:space="preserve">żelu </w:t>
      </w:r>
      <w:r w:rsidR="009273F2" w:rsidRPr="008E3E1F">
        <w:rPr>
          <w:spacing w:val="-3"/>
        </w:rPr>
        <w:t xml:space="preserve">zawierającego </w:t>
      </w:r>
      <w:r w:rsidR="009D41F2" w:rsidRPr="008E3E1F">
        <w:rPr>
          <w:spacing w:val="-3"/>
        </w:rPr>
        <w:t>kalcypotriol + betametazon</w:t>
      </w:r>
      <w:r w:rsidR="00C974B2" w:rsidRPr="008E3E1F">
        <w:rPr>
          <w:spacing w:val="-3"/>
        </w:rPr>
        <w:t>,</w:t>
      </w:r>
      <w:r w:rsidR="009D41F2" w:rsidRPr="008E3E1F">
        <w:rPr>
          <w:spacing w:val="-3"/>
        </w:rPr>
        <w:t xml:space="preserve"> 50 mikrogramów/g + 0,5 mg/g </w:t>
      </w:r>
      <w:r w:rsidRPr="008E3E1F">
        <w:rPr>
          <w:szCs w:val="22"/>
        </w:rPr>
        <w:t>stosowanego w ilości do 114,2 g na tydzień na metabolizm wapnia. Nie stwierdzono żadnego przypadku hiperkalcemii ani klinicznie istotnych zmian stężenia wapnia w moczu. Odpowiedź nadnerczy na test prowokacji ACTH była mierzona u 31 pacjentów; u pięciu pacjentów wykazano zmniejszenie odpowiedzi kortyzolu na prowokację ACTH, w tym u 2 z 5 pacjentów wykazano zmniejszenie jedynie graniczne. U czterech pacjentów wykazano zmniejszenie odpowiedzi kortyzolu na prowokację ACTH po 4 tygodniach leczenia, a u dwóch po 8 tygodniach, w tym u jednego pacjenta wykazano zmniejszenie odpowiedzi w obydwu przedziałach czasu. Odpowiedź była łagodna, odwracalna i bez objawów klinicznych.</w:t>
      </w:r>
    </w:p>
    <w:p w14:paraId="5055FE23" w14:textId="0E036BE5" w:rsidR="00B13223" w:rsidRPr="008E3E1F" w:rsidRDefault="00B13223" w:rsidP="00B13223">
      <w:pPr>
        <w:ind w:left="0" w:firstLine="0"/>
        <w:rPr>
          <w:szCs w:val="22"/>
        </w:rPr>
      </w:pPr>
    </w:p>
    <w:p w14:paraId="567BD34D" w14:textId="77777777" w:rsidR="00A65887" w:rsidRPr="008E3E1F" w:rsidRDefault="005355BC" w:rsidP="006D5855">
      <w:pPr>
        <w:rPr>
          <w:b/>
        </w:rPr>
      </w:pPr>
      <w:r w:rsidRPr="008E3E1F">
        <w:rPr>
          <w:b/>
        </w:rPr>
        <w:t>5.2</w:t>
      </w:r>
      <w:r w:rsidRPr="008E3E1F">
        <w:rPr>
          <w:b/>
        </w:rPr>
        <w:tab/>
        <w:t xml:space="preserve">Właściwości farmakokinetyczne </w:t>
      </w:r>
    </w:p>
    <w:p w14:paraId="67661753" w14:textId="77777777" w:rsidR="00850185" w:rsidRPr="008E3E1F" w:rsidRDefault="00850185" w:rsidP="006D5855">
      <w:pPr>
        <w:rPr>
          <w:b/>
        </w:rPr>
      </w:pPr>
    </w:p>
    <w:p w14:paraId="681DCB59" w14:textId="01E89D27" w:rsidR="009D41F2" w:rsidRPr="008E3E1F" w:rsidRDefault="009D41F2" w:rsidP="009D41F2">
      <w:pPr>
        <w:pStyle w:val="Default"/>
        <w:rPr>
          <w:sz w:val="22"/>
          <w:szCs w:val="22"/>
          <w:lang w:val="pl-PL"/>
        </w:rPr>
      </w:pPr>
      <w:r w:rsidRPr="008E3E1F">
        <w:rPr>
          <w:sz w:val="22"/>
          <w:szCs w:val="22"/>
          <w:lang w:val="pl-PL"/>
        </w:rPr>
        <w:t xml:space="preserve">Układowa ekspozycja na kalcypotriol i </w:t>
      </w:r>
      <w:r w:rsidR="00FE5007" w:rsidRPr="008E3E1F">
        <w:rPr>
          <w:sz w:val="22"/>
          <w:szCs w:val="22"/>
          <w:lang w:val="pl-PL"/>
        </w:rPr>
        <w:t xml:space="preserve">betametazonu </w:t>
      </w:r>
      <w:r w:rsidRPr="008E3E1F">
        <w:rPr>
          <w:sz w:val="22"/>
          <w:szCs w:val="22"/>
          <w:lang w:val="pl-PL"/>
        </w:rPr>
        <w:t>dipropionian występująca w przypadku miejscowo podawanego żelu</w:t>
      </w:r>
      <w:r w:rsidR="00E027B6" w:rsidRPr="008E3E1F">
        <w:rPr>
          <w:sz w:val="22"/>
          <w:szCs w:val="22"/>
          <w:lang w:val="pl-PL"/>
        </w:rPr>
        <w:t xml:space="preserve"> zawierającego</w:t>
      </w:r>
      <w:r w:rsidRPr="008E3E1F">
        <w:rPr>
          <w:sz w:val="22"/>
          <w:szCs w:val="22"/>
          <w:lang w:val="pl-PL"/>
        </w:rPr>
        <w:t xml:space="preserve"> kalcypotriol + betametazon</w:t>
      </w:r>
      <w:r w:rsidR="00FE5007" w:rsidRPr="008E3E1F">
        <w:rPr>
          <w:sz w:val="22"/>
          <w:szCs w:val="22"/>
          <w:lang w:val="pl-PL"/>
        </w:rPr>
        <w:t>,</w:t>
      </w:r>
      <w:r w:rsidRPr="008E3E1F">
        <w:rPr>
          <w:sz w:val="22"/>
          <w:szCs w:val="22"/>
          <w:lang w:val="pl-PL"/>
        </w:rPr>
        <w:t xml:space="preserve"> 50 mikrogramów/g + 0,5 mg/g jest porównywalna z ekspozycją na maść </w:t>
      </w:r>
      <w:r w:rsidR="00E027B6" w:rsidRPr="008E3E1F">
        <w:rPr>
          <w:sz w:val="22"/>
          <w:szCs w:val="22"/>
          <w:lang w:val="pl-PL"/>
        </w:rPr>
        <w:t xml:space="preserve">zawierającą </w:t>
      </w:r>
      <w:r w:rsidRPr="008E3E1F">
        <w:rPr>
          <w:spacing w:val="-3"/>
          <w:sz w:val="22"/>
          <w:szCs w:val="22"/>
          <w:lang w:val="pl-PL"/>
        </w:rPr>
        <w:t>kalcypotriol + betametazon</w:t>
      </w:r>
      <w:r w:rsidR="00FE5007" w:rsidRPr="008E3E1F">
        <w:rPr>
          <w:spacing w:val="-3"/>
          <w:sz w:val="22"/>
          <w:szCs w:val="22"/>
          <w:lang w:val="pl-PL"/>
        </w:rPr>
        <w:t>,</w:t>
      </w:r>
      <w:r w:rsidRPr="008E3E1F">
        <w:rPr>
          <w:spacing w:val="-3"/>
          <w:lang w:val="pl-PL"/>
        </w:rPr>
        <w:t xml:space="preserve"> </w:t>
      </w:r>
      <w:r w:rsidRPr="008E3E1F">
        <w:rPr>
          <w:spacing w:val="-3"/>
          <w:sz w:val="22"/>
          <w:szCs w:val="22"/>
          <w:lang w:val="pl-PL"/>
        </w:rPr>
        <w:t>50 mikrogramów/g + 0,5 mg/g</w:t>
      </w:r>
      <w:r w:rsidRPr="008E3E1F">
        <w:rPr>
          <w:sz w:val="22"/>
          <w:szCs w:val="22"/>
          <w:lang w:val="pl-PL"/>
        </w:rPr>
        <w:t xml:space="preserve"> </w:t>
      </w:r>
      <w:r w:rsidR="00E027B6" w:rsidRPr="008E3E1F">
        <w:rPr>
          <w:sz w:val="22"/>
          <w:szCs w:val="22"/>
          <w:lang w:val="pl-PL"/>
        </w:rPr>
        <w:t xml:space="preserve">u </w:t>
      </w:r>
      <w:r w:rsidRPr="008E3E1F">
        <w:rPr>
          <w:sz w:val="22"/>
          <w:szCs w:val="22"/>
          <w:lang w:val="pl-PL"/>
        </w:rPr>
        <w:t>szczurów i świnek</w:t>
      </w:r>
      <w:r w:rsidR="00DD4FCF" w:rsidRPr="008E3E1F">
        <w:rPr>
          <w:sz w:val="22"/>
          <w:szCs w:val="22"/>
          <w:lang w:val="pl-PL"/>
        </w:rPr>
        <w:t xml:space="preserve"> miniaturowych</w:t>
      </w:r>
      <w:r w:rsidRPr="008E3E1F">
        <w:rPr>
          <w:sz w:val="22"/>
          <w:szCs w:val="22"/>
          <w:lang w:val="pl-PL"/>
        </w:rPr>
        <w:t xml:space="preserve">. Badania kliniczne z użyciem znakowanej maści wykazały, że wchłanianie do organizmu kalcypotriolu i betametazonu z maści </w:t>
      </w:r>
      <w:r w:rsidR="00941257" w:rsidRPr="008E3E1F">
        <w:rPr>
          <w:sz w:val="22"/>
          <w:szCs w:val="22"/>
          <w:lang w:val="pl-PL"/>
        </w:rPr>
        <w:t xml:space="preserve">zawierającej </w:t>
      </w:r>
      <w:r w:rsidRPr="008E3E1F">
        <w:rPr>
          <w:sz w:val="22"/>
          <w:szCs w:val="22"/>
          <w:lang w:val="pl-PL"/>
        </w:rPr>
        <w:t>kalcypotriol + betametazon</w:t>
      </w:r>
      <w:r w:rsidR="00FE5007" w:rsidRPr="008E3E1F">
        <w:rPr>
          <w:sz w:val="22"/>
          <w:szCs w:val="22"/>
          <w:lang w:val="pl-PL"/>
        </w:rPr>
        <w:t>,</w:t>
      </w:r>
      <w:r w:rsidRPr="008E3E1F">
        <w:rPr>
          <w:sz w:val="22"/>
          <w:szCs w:val="22"/>
          <w:lang w:val="pl-PL"/>
        </w:rPr>
        <w:t xml:space="preserve"> 50 mikrogramów/g + 0,5 mg/g wynosi mniej niż 1% dawki (2,5 g), gdy aplikowany jest na zdrową skórę (625 cm</w:t>
      </w:r>
      <w:r w:rsidRPr="008E3E1F">
        <w:rPr>
          <w:sz w:val="22"/>
          <w:szCs w:val="22"/>
          <w:vertAlign w:val="superscript"/>
          <w:lang w:val="pl-PL"/>
        </w:rPr>
        <w:t>2</w:t>
      </w:r>
      <w:r w:rsidRPr="008E3E1F">
        <w:rPr>
          <w:sz w:val="14"/>
          <w:szCs w:val="14"/>
          <w:lang w:val="pl-PL"/>
        </w:rPr>
        <w:t xml:space="preserve"> </w:t>
      </w:r>
      <w:r w:rsidRPr="008E3E1F">
        <w:rPr>
          <w:sz w:val="22"/>
          <w:szCs w:val="22"/>
          <w:lang w:val="pl-PL"/>
        </w:rPr>
        <w:t xml:space="preserve">powierzchni skóry) w czasie 12 godzin. Stosowanie maści na łuskę łuszczycową oraz pod opatrunkiem okluzyjnym może zwiększać absorpcję miejscowo stosowanych kortykosteroidów. Przez uszkodzoną skórę produkt leczniczy wchłania się w około 24%. </w:t>
      </w:r>
    </w:p>
    <w:p w14:paraId="10527445" w14:textId="77777777" w:rsidR="009D41F2" w:rsidRPr="008E3E1F" w:rsidRDefault="009D41F2" w:rsidP="009D41F2">
      <w:pPr>
        <w:pStyle w:val="Default"/>
        <w:rPr>
          <w:sz w:val="22"/>
          <w:szCs w:val="22"/>
          <w:lang w:val="pl-PL"/>
        </w:rPr>
      </w:pPr>
    </w:p>
    <w:p w14:paraId="5A0F10E3" w14:textId="0A3D3F66" w:rsidR="009D41F2" w:rsidRPr="008E3E1F" w:rsidRDefault="009D41F2" w:rsidP="009D41F2">
      <w:pPr>
        <w:pStyle w:val="Default"/>
        <w:rPr>
          <w:sz w:val="22"/>
          <w:szCs w:val="22"/>
          <w:lang w:val="pl-PL"/>
        </w:rPr>
      </w:pPr>
      <w:r w:rsidRPr="008E3E1F">
        <w:rPr>
          <w:sz w:val="22"/>
          <w:szCs w:val="22"/>
          <w:lang w:val="pl-PL"/>
        </w:rPr>
        <w:t xml:space="preserve">Po ekspozycji układowej obie substancje czynne - kalcypotriol i </w:t>
      </w:r>
      <w:r w:rsidR="00C974B2" w:rsidRPr="008E3E1F">
        <w:rPr>
          <w:sz w:val="22"/>
          <w:szCs w:val="22"/>
          <w:lang w:val="pl-PL"/>
        </w:rPr>
        <w:t xml:space="preserve">betametazonu </w:t>
      </w:r>
      <w:r w:rsidRPr="008E3E1F">
        <w:rPr>
          <w:sz w:val="22"/>
          <w:szCs w:val="22"/>
          <w:lang w:val="pl-PL"/>
        </w:rPr>
        <w:t>dipropionian -są szybko i w dużym stopniu metabolizowane. Z białkami wiążą się w przybliżeniu w 64%. Okres półtrwania w osoczu w fazie eliminacji po podaniu dożylnym wynosi od 5 do 6 godzin. Ze względu na odkładanie się w skórze, czas wydalania po podaniu na skórę liczy się w dniach. Betametazon jest metabolizowany głównie w wątrobie, ale także w nerkach, do glukuronidu i estrów siarczanowych. Kalcypotriol jest wydalany głównie z kałem (szczury i świnki</w:t>
      </w:r>
      <w:r w:rsidR="00D02151" w:rsidRPr="008E3E1F">
        <w:rPr>
          <w:sz w:val="22"/>
          <w:szCs w:val="22"/>
          <w:lang w:val="pl-PL"/>
        </w:rPr>
        <w:t xml:space="preserve"> miniaturowe</w:t>
      </w:r>
      <w:r w:rsidRPr="008E3E1F">
        <w:rPr>
          <w:sz w:val="22"/>
          <w:szCs w:val="22"/>
          <w:lang w:val="pl-PL"/>
        </w:rPr>
        <w:t>), a</w:t>
      </w:r>
      <w:r w:rsidR="00C974B2" w:rsidRPr="008E3E1F">
        <w:rPr>
          <w:sz w:val="22"/>
          <w:szCs w:val="22"/>
          <w:lang w:val="pl-PL"/>
        </w:rPr>
        <w:t xml:space="preserve"> betametazonu</w:t>
      </w:r>
      <w:r w:rsidRPr="008E3E1F">
        <w:rPr>
          <w:sz w:val="22"/>
          <w:szCs w:val="22"/>
          <w:lang w:val="pl-PL"/>
        </w:rPr>
        <w:t xml:space="preserve"> dipropionian z moczem (szczury i myszy). Badania dotyczące dystrybucji w tkankach, przeprowadzone na szczurach po zastosowaniu odpowiednio kalcypotriolu i </w:t>
      </w:r>
      <w:r w:rsidR="00C974B2" w:rsidRPr="008E3E1F">
        <w:rPr>
          <w:sz w:val="22"/>
          <w:szCs w:val="22"/>
          <w:lang w:val="pl-PL"/>
        </w:rPr>
        <w:t xml:space="preserve">betametazonu </w:t>
      </w:r>
      <w:r w:rsidRPr="008E3E1F">
        <w:rPr>
          <w:sz w:val="22"/>
          <w:szCs w:val="22"/>
          <w:lang w:val="pl-PL"/>
        </w:rPr>
        <w:t xml:space="preserve">dipropionianu znakowane radioizotopem wykazały, że nerki i wątroba miały najwyższy poziom radioaktywności. </w:t>
      </w:r>
    </w:p>
    <w:p w14:paraId="1DB5F5A2" w14:textId="77777777" w:rsidR="009D41F2" w:rsidRPr="008E3E1F" w:rsidRDefault="009D41F2" w:rsidP="009D41F2">
      <w:pPr>
        <w:pStyle w:val="Default"/>
        <w:rPr>
          <w:sz w:val="22"/>
          <w:szCs w:val="22"/>
          <w:lang w:val="pl-PL"/>
        </w:rPr>
      </w:pPr>
    </w:p>
    <w:p w14:paraId="052B5EE8" w14:textId="5C590C94" w:rsidR="00A65887" w:rsidRPr="008E3E1F" w:rsidRDefault="009D41F2" w:rsidP="009D41F2">
      <w:pPr>
        <w:ind w:left="0" w:firstLine="0"/>
        <w:rPr>
          <w:szCs w:val="22"/>
        </w:rPr>
      </w:pPr>
      <w:r w:rsidRPr="008E3E1F">
        <w:rPr>
          <w:szCs w:val="22"/>
        </w:rPr>
        <w:t>Wartości stężenia kalcypotriolu oraz</w:t>
      </w:r>
      <w:r w:rsidR="00C974B2" w:rsidRPr="008E3E1F">
        <w:rPr>
          <w:szCs w:val="22"/>
        </w:rPr>
        <w:t xml:space="preserve"> betametazonu</w:t>
      </w:r>
      <w:r w:rsidRPr="008E3E1F">
        <w:rPr>
          <w:szCs w:val="22"/>
        </w:rPr>
        <w:t xml:space="preserve"> dipropionianu były poniżej dolnej granicy mierzalności we wszystkich próbkach krwi 34 pacjentów, leczonych przez okres od 4 do 8 tygodni </w:t>
      </w:r>
      <w:r w:rsidRPr="008E3E1F">
        <w:rPr>
          <w:spacing w:val="-3"/>
        </w:rPr>
        <w:t>żel</w:t>
      </w:r>
      <w:r w:rsidR="00D02151" w:rsidRPr="008E3E1F">
        <w:rPr>
          <w:spacing w:val="-3"/>
        </w:rPr>
        <w:t>em zawierającym</w:t>
      </w:r>
      <w:r w:rsidRPr="008E3E1F">
        <w:rPr>
          <w:spacing w:val="-3"/>
        </w:rPr>
        <w:t xml:space="preserve"> kalcypotriol + betametazon</w:t>
      </w:r>
      <w:r w:rsidR="00FE5007" w:rsidRPr="008E3E1F">
        <w:rPr>
          <w:spacing w:val="-3"/>
        </w:rPr>
        <w:t>,</w:t>
      </w:r>
      <w:r w:rsidRPr="008E3E1F">
        <w:rPr>
          <w:spacing w:val="-3"/>
        </w:rPr>
        <w:t xml:space="preserve"> 50 mikrogramów/g + 0,5 mg/g </w:t>
      </w:r>
      <w:r w:rsidRPr="008E3E1F">
        <w:rPr>
          <w:szCs w:val="22"/>
        </w:rPr>
        <w:t xml:space="preserve">oraz maścią </w:t>
      </w:r>
      <w:r w:rsidR="00D02151" w:rsidRPr="008E3E1F">
        <w:rPr>
          <w:szCs w:val="22"/>
        </w:rPr>
        <w:t xml:space="preserve">zawierającą </w:t>
      </w:r>
      <w:r w:rsidRPr="008E3E1F">
        <w:rPr>
          <w:spacing w:val="-3"/>
        </w:rPr>
        <w:lastRenderedPageBreak/>
        <w:t>kalcypotriol + betametazon</w:t>
      </w:r>
      <w:r w:rsidR="00FE5007" w:rsidRPr="008E3E1F">
        <w:rPr>
          <w:spacing w:val="-3"/>
        </w:rPr>
        <w:t>,</w:t>
      </w:r>
      <w:r w:rsidRPr="008E3E1F">
        <w:rPr>
          <w:spacing w:val="-3"/>
        </w:rPr>
        <w:t xml:space="preserve"> 50 mikrogramów/g + 0,5 mg/g </w:t>
      </w:r>
      <w:r w:rsidRPr="008E3E1F">
        <w:rPr>
          <w:szCs w:val="22"/>
        </w:rPr>
        <w:t xml:space="preserve">z powodu występowania rozległej łuszczycy obejmującej tułów i owłosioną skórę głowy. U niektórych pacjentów można było obliczyć stężenie jednego metabolitu kalcypotriolu i jednego metabolitu </w:t>
      </w:r>
      <w:r w:rsidR="00FE5007" w:rsidRPr="008E3E1F">
        <w:rPr>
          <w:szCs w:val="22"/>
        </w:rPr>
        <w:t xml:space="preserve">betametazonu </w:t>
      </w:r>
      <w:r w:rsidRPr="008E3E1F">
        <w:rPr>
          <w:szCs w:val="22"/>
        </w:rPr>
        <w:t>dipropionianu.</w:t>
      </w:r>
    </w:p>
    <w:p w14:paraId="6C865769" w14:textId="77777777" w:rsidR="009D41F2" w:rsidRPr="008E3E1F" w:rsidRDefault="009D41F2" w:rsidP="009D41F2"/>
    <w:p w14:paraId="6BE4B0B6" w14:textId="77777777" w:rsidR="00A65887" w:rsidRPr="008E3E1F" w:rsidRDefault="005355BC" w:rsidP="006D5855">
      <w:pPr>
        <w:rPr>
          <w:b/>
        </w:rPr>
      </w:pPr>
      <w:r w:rsidRPr="008E3E1F">
        <w:rPr>
          <w:b/>
        </w:rPr>
        <w:t>5.3</w:t>
      </w:r>
      <w:r w:rsidRPr="008E3E1F">
        <w:rPr>
          <w:b/>
        </w:rPr>
        <w:tab/>
        <w:t>Przedkliniczne dane o bezpieczeństwie</w:t>
      </w:r>
    </w:p>
    <w:p w14:paraId="3F5C2C6E" w14:textId="77777777" w:rsidR="00A65887" w:rsidRPr="008E3E1F" w:rsidRDefault="00A65887" w:rsidP="006D5855"/>
    <w:p w14:paraId="08FCF88B" w14:textId="77777777" w:rsidR="009D41F2" w:rsidRPr="008E3E1F" w:rsidRDefault="009D41F2" w:rsidP="009D41F2">
      <w:pPr>
        <w:pStyle w:val="Default"/>
        <w:rPr>
          <w:sz w:val="22"/>
          <w:szCs w:val="22"/>
          <w:lang w:val="pl-PL"/>
        </w:rPr>
      </w:pPr>
      <w:r w:rsidRPr="008E3E1F">
        <w:rPr>
          <w:sz w:val="22"/>
          <w:szCs w:val="22"/>
          <w:lang w:val="pl-PL"/>
        </w:rPr>
        <w:t xml:space="preserve">Badania niekliniczne na zwierzętach z zastosowaniem kortykosteroidów wykazały ich niekorzystny wpływ na płód (rozszczep podniebienia, wady rozwojowe szkieletu). W badaniach dotyczących toksycznego działania na rozrodczość, długotrwałe doustne stosowanie kortykosteroidów u szczurów spowodowało przedłużenie trwania ciąży oraz wystąpienie trudności w trakcie porodu. Ponadto zaobserwowano zmniejszenie przeżywalności potomstwa i zmniejszenie masy ciała oraz zwiększenie masy ciała. Nie odnotowano upośledzenia płodności. Znaczenie wyników tych badań w odniesieniu do ludzi jest nieznane. </w:t>
      </w:r>
    </w:p>
    <w:p w14:paraId="6BD79DF2" w14:textId="77777777" w:rsidR="009D41F2" w:rsidRPr="008E3E1F" w:rsidRDefault="009D41F2" w:rsidP="009D41F2">
      <w:pPr>
        <w:pStyle w:val="Default"/>
        <w:rPr>
          <w:sz w:val="22"/>
          <w:szCs w:val="22"/>
          <w:lang w:val="pl-PL"/>
        </w:rPr>
      </w:pPr>
      <w:r w:rsidRPr="008E3E1F">
        <w:rPr>
          <w:sz w:val="22"/>
          <w:szCs w:val="22"/>
          <w:lang w:val="pl-PL"/>
        </w:rPr>
        <w:t xml:space="preserve">W badaniach na myszach dotyczących działania rakotwórczego kalcypotriolu po podaniu na skórę oraz w badaniach dotyczących działania rakotwórczego po podaniu doustnym przeprowadzonym na szczurach, nie wykazano zagrożenia u ludzi. </w:t>
      </w:r>
    </w:p>
    <w:p w14:paraId="49D3489F" w14:textId="77777777" w:rsidR="009D41F2" w:rsidRPr="008E3E1F" w:rsidRDefault="009D41F2" w:rsidP="009D41F2">
      <w:pPr>
        <w:pStyle w:val="Default"/>
        <w:rPr>
          <w:sz w:val="22"/>
          <w:szCs w:val="22"/>
          <w:lang w:val="pl-PL"/>
        </w:rPr>
      </w:pPr>
      <w:r w:rsidRPr="008E3E1F">
        <w:rPr>
          <w:sz w:val="22"/>
          <w:szCs w:val="22"/>
          <w:lang w:val="pl-PL"/>
        </w:rPr>
        <w:t xml:space="preserve">Badania na myszach, dotyczące działania fotorakotwórczego mogą sugerować, że kalcypotriol zwiększa działanie promieniowania ultrafioletowego indukujące powstawanie nowotworów skóry. </w:t>
      </w:r>
    </w:p>
    <w:p w14:paraId="4995D168" w14:textId="619655F9" w:rsidR="009D41F2" w:rsidRPr="008E3E1F" w:rsidRDefault="009D41F2" w:rsidP="009D41F2">
      <w:pPr>
        <w:pStyle w:val="Default"/>
        <w:rPr>
          <w:sz w:val="22"/>
          <w:szCs w:val="22"/>
          <w:lang w:val="pl-PL"/>
        </w:rPr>
      </w:pPr>
      <w:r w:rsidRPr="008E3E1F">
        <w:rPr>
          <w:sz w:val="22"/>
          <w:szCs w:val="22"/>
          <w:lang w:val="pl-PL"/>
        </w:rPr>
        <w:t xml:space="preserve">W badaniach na myszach dotyczących działania rakotwórczego na skórę oraz w badaniach dotyczących działania kancerogennego po doustnym podaniu </w:t>
      </w:r>
      <w:r w:rsidR="00C974B2" w:rsidRPr="008E3E1F">
        <w:rPr>
          <w:sz w:val="22"/>
          <w:szCs w:val="22"/>
          <w:lang w:val="pl-PL"/>
        </w:rPr>
        <w:t xml:space="preserve">betametazonu </w:t>
      </w:r>
      <w:r w:rsidR="00947F39" w:rsidRPr="008E3E1F">
        <w:rPr>
          <w:sz w:val="22"/>
          <w:szCs w:val="22"/>
          <w:lang w:val="pl-PL"/>
        </w:rPr>
        <w:t>dipropionianu</w:t>
      </w:r>
      <w:r w:rsidR="00947F39" w:rsidRPr="008E3E1F" w:rsidDel="00947F39">
        <w:rPr>
          <w:sz w:val="22"/>
          <w:szCs w:val="22"/>
          <w:lang w:val="pl-PL"/>
        </w:rPr>
        <w:t xml:space="preserve"> </w:t>
      </w:r>
      <w:r w:rsidRPr="008E3E1F">
        <w:rPr>
          <w:sz w:val="22"/>
          <w:szCs w:val="22"/>
          <w:lang w:val="pl-PL"/>
        </w:rPr>
        <w:t xml:space="preserve"> u szczurów nie wykazały szczególnego ryzyka dla ludzi. </w:t>
      </w:r>
    </w:p>
    <w:p w14:paraId="138F4DDD" w14:textId="5F6D2286" w:rsidR="009D41F2" w:rsidRPr="008E3E1F" w:rsidRDefault="009D41F2" w:rsidP="009D41F2">
      <w:pPr>
        <w:pStyle w:val="Default"/>
        <w:rPr>
          <w:sz w:val="22"/>
          <w:szCs w:val="22"/>
          <w:lang w:val="pl-PL"/>
        </w:rPr>
      </w:pPr>
      <w:r w:rsidRPr="008E3E1F">
        <w:rPr>
          <w:sz w:val="22"/>
          <w:szCs w:val="22"/>
          <w:lang w:val="pl-PL"/>
        </w:rPr>
        <w:t>Nie przeprowadzono badań nad działaniem fotorakotwórczym</w:t>
      </w:r>
      <w:r w:rsidR="00C974B2" w:rsidRPr="008E3E1F">
        <w:rPr>
          <w:sz w:val="22"/>
          <w:szCs w:val="22"/>
          <w:lang w:val="pl-PL"/>
        </w:rPr>
        <w:t xml:space="preserve"> betametazonu</w:t>
      </w:r>
      <w:r w:rsidRPr="008E3E1F">
        <w:rPr>
          <w:sz w:val="22"/>
          <w:szCs w:val="22"/>
          <w:lang w:val="pl-PL"/>
        </w:rPr>
        <w:t xml:space="preserve"> dipropionianu. </w:t>
      </w:r>
    </w:p>
    <w:p w14:paraId="75ED6A53" w14:textId="7D700D39" w:rsidR="00A65887" w:rsidRPr="008E3E1F" w:rsidRDefault="009D41F2" w:rsidP="009D41F2">
      <w:pPr>
        <w:ind w:left="0" w:firstLine="0"/>
        <w:rPr>
          <w:szCs w:val="22"/>
        </w:rPr>
      </w:pPr>
      <w:r w:rsidRPr="008E3E1F">
        <w:rPr>
          <w:szCs w:val="22"/>
        </w:rPr>
        <w:t xml:space="preserve">W trakcie miejscowych badań tolerancji przeprowadzonych na królikach, żel </w:t>
      </w:r>
      <w:r w:rsidR="00AB6220" w:rsidRPr="008E3E1F">
        <w:rPr>
          <w:szCs w:val="22"/>
        </w:rPr>
        <w:t xml:space="preserve">zawierający </w:t>
      </w:r>
      <w:r w:rsidR="00FB6A06" w:rsidRPr="008E3E1F">
        <w:rPr>
          <w:szCs w:val="22"/>
        </w:rPr>
        <w:t>kalcypotriol + betametazon</w:t>
      </w:r>
      <w:r w:rsidR="00CC3A6C" w:rsidRPr="008E3E1F">
        <w:rPr>
          <w:szCs w:val="22"/>
        </w:rPr>
        <w:t>,</w:t>
      </w:r>
      <w:r w:rsidR="00FB6A06" w:rsidRPr="008E3E1F">
        <w:rPr>
          <w:szCs w:val="22"/>
        </w:rPr>
        <w:t xml:space="preserve"> 50 mikrogramów/g + 0,5 mg/g </w:t>
      </w:r>
      <w:r w:rsidRPr="008E3E1F">
        <w:rPr>
          <w:szCs w:val="22"/>
        </w:rPr>
        <w:t xml:space="preserve">spowodował łagodne do umiarkowanych podrażnienia skóry oraz niewielkie, przemijające podrażnienia oczu. </w:t>
      </w:r>
    </w:p>
    <w:p w14:paraId="76F79E35" w14:textId="147D58F5" w:rsidR="00FB6A06" w:rsidRPr="008E3E1F" w:rsidRDefault="00FB6A06" w:rsidP="009D41F2">
      <w:pPr>
        <w:ind w:left="0" w:firstLine="0"/>
        <w:rPr>
          <w:szCs w:val="22"/>
        </w:rPr>
      </w:pPr>
    </w:p>
    <w:p w14:paraId="27CA72AA" w14:textId="6FC638F6" w:rsidR="00FB6A06" w:rsidRPr="008E3E1F" w:rsidRDefault="00FB6A06" w:rsidP="009D41F2">
      <w:pPr>
        <w:ind w:left="0" w:firstLine="0"/>
      </w:pPr>
      <w:r w:rsidRPr="008E3E1F">
        <w:rPr>
          <w:szCs w:val="22"/>
        </w:rPr>
        <w:t>Badania oceny ryzyka środowiskowego wykazały, że betametazon może stanowić zagrożenie dla organizmów wodnych.</w:t>
      </w:r>
    </w:p>
    <w:p w14:paraId="188D6E89" w14:textId="77777777" w:rsidR="00A65887" w:rsidRPr="008E3E1F" w:rsidRDefault="00A65887" w:rsidP="006D5855"/>
    <w:p w14:paraId="04D64089" w14:textId="77777777" w:rsidR="00A65887" w:rsidRPr="008E3E1F" w:rsidRDefault="00A65887" w:rsidP="006D5855"/>
    <w:p w14:paraId="2A76752D" w14:textId="77777777" w:rsidR="00A65887" w:rsidRPr="008E3E1F" w:rsidRDefault="005355BC" w:rsidP="006D5855">
      <w:pPr>
        <w:rPr>
          <w:b/>
        </w:rPr>
      </w:pPr>
      <w:r w:rsidRPr="008E3E1F">
        <w:rPr>
          <w:b/>
        </w:rPr>
        <w:t>6.</w:t>
      </w:r>
      <w:r w:rsidRPr="008E3E1F">
        <w:rPr>
          <w:b/>
        </w:rPr>
        <w:tab/>
        <w:t>DANE FARMACEUTYCZNE</w:t>
      </w:r>
    </w:p>
    <w:p w14:paraId="1D7A1C09" w14:textId="77777777" w:rsidR="00A65887" w:rsidRPr="008E3E1F" w:rsidRDefault="00A65887" w:rsidP="006D5855"/>
    <w:p w14:paraId="70925331" w14:textId="77777777" w:rsidR="00A65887" w:rsidRPr="008E3E1F" w:rsidRDefault="005355BC" w:rsidP="006D5855">
      <w:pPr>
        <w:rPr>
          <w:b/>
        </w:rPr>
      </w:pPr>
      <w:r w:rsidRPr="008E3E1F">
        <w:rPr>
          <w:b/>
        </w:rPr>
        <w:t>6.1</w:t>
      </w:r>
      <w:r w:rsidRPr="008E3E1F">
        <w:rPr>
          <w:b/>
        </w:rPr>
        <w:tab/>
        <w:t>Wykaz substancji pomocniczych</w:t>
      </w:r>
    </w:p>
    <w:p w14:paraId="388E7B68" w14:textId="77777777" w:rsidR="00A65887" w:rsidRPr="008E3E1F" w:rsidRDefault="00A65887" w:rsidP="006D5855">
      <w:pPr>
        <w:rPr>
          <w:b/>
        </w:rPr>
      </w:pPr>
    </w:p>
    <w:p w14:paraId="0B0806C8" w14:textId="6E5F50AC" w:rsidR="00A65887" w:rsidRPr="008E3E1F" w:rsidRDefault="009B0BAC" w:rsidP="006D5855">
      <w:pPr>
        <w:rPr>
          <w:noProof/>
          <w:szCs w:val="24"/>
        </w:rPr>
      </w:pPr>
      <w:r w:rsidRPr="008E3E1F">
        <w:rPr>
          <w:noProof/>
          <w:szCs w:val="24"/>
        </w:rPr>
        <w:t>Parafina ciekła</w:t>
      </w:r>
    </w:p>
    <w:p w14:paraId="59A6D7E2" w14:textId="1AF76ECB" w:rsidR="009B0BAC" w:rsidRPr="008E3E1F" w:rsidRDefault="009B0BAC" w:rsidP="006D5855">
      <w:pPr>
        <w:rPr>
          <w:bCs/>
        </w:rPr>
      </w:pPr>
      <w:r w:rsidRPr="008E3E1F">
        <w:rPr>
          <w:bCs/>
        </w:rPr>
        <w:t>Polioksypropylenu eter stearylowy</w:t>
      </w:r>
    </w:p>
    <w:p w14:paraId="21621992" w14:textId="42F150A6" w:rsidR="009B0BAC" w:rsidRPr="008E3E1F" w:rsidRDefault="009B0BAC" w:rsidP="006D5855">
      <w:pPr>
        <w:rPr>
          <w:bCs/>
        </w:rPr>
      </w:pPr>
      <w:r w:rsidRPr="008E3E1F">
        <w:rPr>
          <w:bCs/>
        </w:rPr>
        <w:t>Olej rycynowy uwodorniony</w:t>
      </w:r>
    </w:p>
    <w:p w14:paraId="3EAFBDEE" w14:textId="4E26402D" w:rsidR="009B0BAC" w:rsidRPr="008E3E1F" w:rsidRDefault="009B0BAC" w:rsidP="006D5855">
      <w:pPr>
        <w:rPr>
          <w:bCs/>
        </w:rPr>
      </w:pPr>
      <w:r w:rsidRPr="008E3E1F">
        <w:rPr>
          <w:bCs/>
        </w:rPr>
        <w:t>Butylohydroksytoluen (E321)</w:t>
      </w:r>
    </w:p>
    <w:p w14:paraId="4DF8DEC7" w14:textId="77777777" w:rsidR="00A65887" w:rsidRPr="008E3E1F" w:rsidRDefault="00A65887" w:rsidP="006D5855"/>
    <w:p w14:paraId="5F875401" w14:textId="77777777" w:rsidR="00A65887" w:rsidRPr="008E3E1F" w:rsidRDefault="005355BC" w:rsidP="006D5855">
      <w:pPr>
        <w:rPr>
          <w:b/>
        </w:rPr>
      </w:pPr>
      <w:r w:rsidRPr="008E3E1F">
        <w:rPr>
          <w:b/>
        </w:rPr>
        <w:t>6.2</w:t>
      </w:r>
      <w:r w:rsidRPr="008E3E1F">
        <w:rPr>
          <w:b/>
        </w:rPr>
        <w:tab/>
        <w:t>Niezgodności farmaceutyczne</w:t>
      </w:r>
    </w:p>
    <w:p w14:paraId="08763B56" w14:textId="77777777" w:rsidR="00CC6F84" w:rsidRPr="008E3E1F" w:rsidRDefault="00CC6F84" w:rsidP="006D5855">
      <w:pPr>
        <w:ind w:left="0" w:firstLine="0"/>
      </w:pPr>
    </w:p>
    <w:p w14:paraId="3ACF12C2" w14:textId="5D3D7CF5" w:rsidR="00A65887" w:rsidRPr="008E3E1F" w:rsidRDefault="00664C08" w:rsidP="006D5855">
      <w:pPr>
        <w:ind w:left="0" w:firstLine="0"/>
      </w:pPr>
      <w:r w:rsidRPr="008E3E1F">
        <w:rPr>
          <w:noProof/>
          <w:szCs w:val="22"/>
        </w:rPr>
        <w:t xml:space="preserve">Nie mieszać </w:t>
      </w:r>
      <w:r w:rsidR="00E61CF4" w:rsidRPr="008E3E1F">
        <w:rPr>
          <w:noProof/>
          <w:szCs w:val="22"/>
        </w:rPr>
        <w:t xml:space="preserve">tego </w:t>
      </w:r>
      <w:r w:rsidRPr="008E3E1F">
        <w:rPr>
          <w:noProof/>
          <w:szCs w:val="22"/>
        </w:rPr>
        <w:t xml:space="preserve">produktu leczniczego z innymi produktami leczniczymi, </w:t>
      </w:r>
      <w:r w:rsidR="003F2B5E" w:rsidRPr="008E3E1F">
        <w:t>ponieważ</w:t>
      </w:r>
      <w:r w:rsidR="005355BC" w:rsidRPr="008E3E1F">
        <w:t xml:space="preserve"> nie wykonano badań dotyczących zgodności.</w:t>
      </w:r>
    </w:p>
    <w:p w14:paraId="27C8DA12" w14:textId="77777777" w:rsidR="00A65887" w:rsidRPr="008E3E1F" w:rsidRDefault="00A65887" w:rsidP="006D5855"/>
    <w:p w14:paraId="5F62B217" w14:textId="77777777" w:rsidR="00A65887" w:rsidRPr="008E3E1F" w:rsidRDefault="005355BC" w:rsidP="006D5855">
      <w:pPr>
        <w:rPr>
          <w:b/>
        </w:rPr>
      </w:pPr>
      <w:r w:rsidRPr="008E3E1F">
        <w:rPr>
          <w:b/>
        </w:rPr>
        <w:t>6.3</w:t>
      </w:r>
      <w:r w:rsidRPr="008E3E1F">
        <w:rPr>
          <w:b/>
        </w:rPr>
        <w:tab/>
        <w:t xml:space="preserve">Okres </w:t>
      </w:r>
      <w:r w:rsidRPr="008E3E1F">
        <w:rPr>
          <w:b/>
          <w:noProof/>
        </w:rPr>
        <w:t>ważności</w:t>
      </w:r>
    </w:p>
    <w:p w14:paraId="6856F61E" w14:textId="77777777" w:rsidR="00A65887" w:rsidRPr="008E3E1F" w:rsidRDefault="00A65887" w:rsidP="006D5855"/>
    <w:p w14:paraId="6B2CCDF7" w14:textId="0931B75A" w:rsidR="00A65887" w:rsidRPr="008E3E1F" w:rsidRDefault="00026849" w:rsidP="006D5855">
      <w:r>
        <w:t>3</w:t>
      </w:r>
      <w:r w:rsidR="005355BC" w:rsidRPr="008E3E1F">
        <w:t xml:space="preserve"> lata</w:t>
      </w:r>
    </w:p>
    <w:p w14:paraId="37B18D2D" w14:textId="78D24C30" w:rsidR="009B0BAC" w:rsidRPr="008E3E1F" w:rsidRDefault="004A7B21" w:rsidP="006D5855">
      <w:r w:rsidRPr="008E3E1F">
        <w:t>Okres ważności p</w:t>
      </w:r>
      <w:r w:rsidR="009B0BAC" w:rsidRPr="008E3E1F">
        <w:t>o pierwszym otwarciu</w:t>
      </w:r>
      <w:r w:rsidR="00854B92" w:rsidRPr="008E3E1F">
        <w:t xml:space="preserve"> tuby</w:t>
      </w:r>
      <w:r w:rsidR="009B0BAC" w:rsidRPr="008E3E1F">
        <w:t>: 6 miesięcy</w:t>
      </w:r>
    </w:p>
    <w:p w14:paraId="55009426" w14:textId="77777777" w:rsidR="00A65887" w:rsidRPr="008E3E1F" w:rsidRDefault="00A65887" w:rsidP="009B0BAC">
      <w:pPr>
        <w:ind w:left="0" w:firstLine="0"/>
      </w:pPr>
    </w:p>
    <w:p w14:paraId="12405664" w14:textId="77777777" w:rsidR="00A65887" w:rsidRPr="008E3E1F" w:rsidRDefault="005355BC" w:rsidP="006D5855">
      <w:pPr>
        <w:rPr>
          <w:b/>
        </w:rPr>
      </w:pPr>
      <w:r w:rsidRPr="008E3E1F">
        <w:rPr>
          <w:b/>
        </w:rPr>
        <w:t>6.4</w:t>
      </w:r>
      <w:r w:rsidRPr="008E3E1F">
        <w:rPr>
          <w:b/>
        </w:rPr>
        <w:tab/>
        <w:t xml:space="preserve">Specjalne środki ostrożności </w:t>
      </w:r>
      <w:r w:rsidR="00664C08" w:rsidRPr="008E3E1F">
        <w:rPr>
          <w:b/>
          <w:noProof/>
          <w:szCs w:val="22"/>
        </w:rPr>
        <w:t>podczas</w:t>
      </w:r>
      <w:r w:rsidRPr="008E3E1F">
        <w:rPr>
          <w:b/>
        </w:rPr>
        <w:t xml:space="preserve"> </w:t>
      </w:r>
      <w:r w:rsidR="00664C08" w:rsidRPr="008E3E1F">
        <w:rPr>
          <w:b/>
        </w:rPr>
        <w:t>przechowywania</w:t>
      </w:r>
    </w:p>
    <w:p w14:paraId="493EF2F9" w14:textId="77777777" w:rsidR="00A65887" w:rsidRPr="008E3E1F" w:rsidRDefault="00A65887" w:rsidP="006D5855">
      <w:pPr>
        <w:rPr>
          <w:i/>
          <w:color w:val="000000"/>
        </w:rPr>
      </w:pPr>
    </w:p>
    <w:p w14:paraId="0EFC2096" w14:textId="1FEDE3C5" w:rsidR="00A65887" w:rsidRPr="008E3E1F" w:rsidRDefault="00E11D8A" w:rsidP="006D5855">
      <w:pPr>
        <w:ind w:left="0" w:firstLine="0"/>
        <w:rPr>
          <w:i/>
          <w:color w:val="008000"/>
        </w:rPr>
      </w:pPr>
      <w:r w:rsidRPr="008E3E1F">
        <w:rPr>
          <w:noProof/>
        </w:rPr>
        <w:t>Nie przechowywać w lodówce.</w:t>
      </w:r>
    </w:p>
    <w:p w14:paraId="787C6269" w14:textId="77777777" w:rsidR="00A65887" w:rsidRPr="008E3E1F" w:rsidRDefault="00A65887" w:rsidP="00E11D8A">
      <w:pPr>
        <w:ind w:left="0" w:firstLine="0"/>
      </w:pPr>
    </w:p>
    <w:p w14:paraId="56D84D34" w14:textId="77777777" w:rsidR="00A65887" w:rsidRPr="008E3E1F" w:rsidRDefault="005355BC" w:rsidP="006D5855">
      <w:pPr>
        <w:rPr>
          <w:b/>
        </w:rPr>
      </w:pPr>
      <w:r w:rsidRPr="008E3E1F">
        <w:rPr>
          <w:b/>
        </w:rPr>
        <w:t>6.5</w:t>
      </w:r>
      <w:r w:rsidRPr="008E3E1F">
        <w:rPr>
          <w:b/>
        </w:rPr>
        <w:tab/>
        <w:t>Rodzaj i zawartość opakowania</w:t>
      </w:r>
    </w:p>
    <w:p w14:paraId="4316B5DB" w14:textId="4B107BAF" w:rsidR="00A65887" w:rsidRPr="008E3E1F" w:rsidRDefault="00A65887" w:rsidP="006D5855"/>
    <w:p w14:paraId="5265B6F3" w14:textId="0D76EA3C" w:rsidR="00E11D8A" w:rsidRPr="008E3E1F" w:rsidRDefault="00E11D8A" w:rsidP="006D5855">
      <w:r w:rsidRPr="008E3E1F">
        <w:t>Biała cylindryczna tuba z HDPE z białą zakrętką z PP. Tuba jest umieszczona w tekturowym pudełku.</w:t>
      </w:r>
    </w:p>
    <w:p w14:paraId="62D677CD" w14:textId="2AB433DD" w:rsidR="00E11D8A" w:rsidRPr="008E3E1F" w:rsidRDefault="00E11D8A" w:rsidP="006D5855"/>
    <w:p w14:paraId="5E366CFD" w14:textId="6E0DE38D" w:rsidR="00FB6A06" w:rsidRPr="008E3E1F" w:rsidRDefault="00FB6A06" w:rsidP="006D5855">
      <w:r w:rsidRPr="008E3E1F">
        <w:lastRenderedPageBreak/>
        <w:t>Wielkości opakowań:</w:t>
      </w:r>
    </w:p>
    <w:p w14:paraId="2FE7AD69" w14:textId="7DC7F5E4" w:rsidR="00E11D8A" w:rsidRPr="008E3E1F" w:rsidRDefault="00E11D8A" w:rsidP="006D5855">
      <w:r w:rsidRPr="008E3E1F">
        <w:t>1 tuba po 30 g</w:t>
      </w:r>
    </w:p>
    <w:p w14:paraId="7B313551" w14:textId="3129DCEC" w:rsidR="00E11D8A" w:rsidRPr="008E3E1F" w:rsidRDefault="00E11D8A" w:rsidP="006D5855">
      <w:r w:rsidRPr="008E3E1F">
        <w:t>1 tuba po 60 g</w:t>
      </w:r>
    </w:p>
    <w:p w14:paraId="2E0D0F58" w14:textId="461272FE" w:rsidR="00E11D8A" w:rsidRPr="008E3E1F" w:rsidRDefault="00E11D8A" w:rsidP="006D5855"/>
    <w:p w14:paraId="4CD253D0" w14:textId="3CAB5882" w:rsidR="00E11D8A" w:rsidRPr="008E3E1F" w:rsidRDefault="00E11D8A" w:rsidP="00E11D8A">
      <w:pPr>
        <w:ind w:left="0" w:firstLine="0"/>
      </w:pPr>
      <w:r w:rsidRPr="008E3E1F">
        <w:t>Opakowania zbiorcze zawierające 60 g (2 tuby po 30 g), 120 g (2 tuby po 60 g) i 180 g (3 tuby po 60 g)</w:t>
      </w:r>
    </w:p>
    <w:p w14:paraId="594B76F6" w14:textId="51D3F2A5" w:rsidR="00A65887" w:rsidRPr="008E3E1F" w:rsidRDefault="005355BC" w:rsidP="006D5855">
      <w:r w:rsidRPr="008E3E1F">
        <w:t xml:space="preserve">Nie wszystkie </w:t>
      </w:r>
      <w:r w:rsidR="00664C08" w:rsidRPr="008E3E1F">
        <w:rPr>
          <w:noProof/>
          <w:szCs w:val="22"/>
        </w:rPr>
        <w:t>wielkości</w:t>
      </w:r>
      <w:r w:rsidRPr="008E3E1F">
        <w:t xml:space="preserve"> opakowań muszą znajdować się w obrocie.</w:t>
      </w:r>
    </w:p>
    <w:p w14:paraId="3F1FA47E" w14:textId="77777777" w:rsidR="00A65887" w:rsidRPr="008E3E1F" w:rsidRDefault="00A65887" w:rsidP="006D5855"/>
    <w:p w14:paraId="7270362E" w14:textId="77777777" w:rsidR="00A65887" w:rsidRPr="008E3E1F" w:rsidRDefault="00A65887" w:rsidP="00E11D8A">
      <w:pPr>
        <w:ind w:left="0" w:firstLine="0"/>
      </w:pPr>
    </w:p>
    <w:p w14:paraId="55DB7700" w14:textId="1CDA1C0E" w:rsidR="00A65887" w:rsidRPr="008E3E1F" w:rsidRDefault="005355BC" w:rsidP="006D5855">
      <w:pPr>
        <w:rPr>
          <w:b/>
        </w:rPr>
      </w:pPr>
      <w:r w:rsidRPr="008E3E1F">
        <w:rPr>
          <w:b/>
        </w:rPr>
        <w:t>6.6</w:t>
      </w:r>
      <w:r w:rsidRPr="008E3E1F">
        <w:rPr>
          <w:b/>
        </w:rPr>
        <w:tab/>
      </w:r>
      <w:r w:rsidR="00664C08" w:rsidRPr="008E3E1F">
        <w:rPr>
          <w:b/>
          <w:bCs/>
          <w:noProof/>
          <w:szCs w:val="22"/>
        </w:rPr>
        <w:t>Specjalne</w:t>
      </w:r>
      <w:r w:rsidRPr="008E3E1F">
        <w:rPr>
          <w:b/>
          <w:bCs/>
          <w:noProof/>
          <w:szCs w:val="22"/>
        </w:rPr>
        <w:t xml:space="preserve"> środki ostrożności dotyczące usuwania</w:t>
      </w:r>
      <w:r w:rsidRPr="008E3E1F">
        <w:rPr>
          <w:b/>
        </w:rPr>
        <w:t xml:space="preserve"> </w:t>
      </w:r>
    </w:p>
    <w:p w14:paraId="7B407183" w14:textId="77777777" w:rsidR="00CC6F84" w:rsidRPr="008E3E1F" w:rsidRDefault="00CC6F84" w:rsidP="006D5855">
      <w:pPr>
        <w:ind w:left="0" w:firstLine="0"/>
      </w:pPr>
    </w:p>
    <w:p w14:paraId="724F9889" w14:textId="0DB35EC7" w:rsidR="009810F4" w:rsidRPr="008E3E1F" w:rsidRDefault="00E11D8A" w:rsidP="006D5855">
      <w:pPr>
        <w:ind w:left="0" w:firstLine="0"/>
      </w:pPr>
      <w:r w:rsidRPr="008E3E1F">
        <w:t xml:space="preserve">Produkt </w:t>
      </w:r>
      <w:r w:rsidR="00A8321B" w:rsidRPr="008E3E1F">
        <w:t xml:space="preserve">leczniczy </w:t>
      </w:r>
      <w:r w:rsidRPr="008E3E1F">
        <w:t>może stanowić zagrożenie dla środowiska naturalnego</w:t>
      </w:r>
      <w:r w:rsidR="00CC3A6C" w:rsidRPr="008E3E1F">
        <w:t xml:space="preserve"> (patrz punkt 5.3)</w:t>
      </w:r>
      <w:r w:rsidRPr="008E3E1F">
        <w:t xml:space="preserve">. </w:t>
      </w:r>
      <w:r w:rsidR="005355BC" w:rsidRPr="008E3E1F">
        <w:t>Wszelkie niewykorzystane resztki produktu leczniczego lub jego odpady należy usunąć zgodnie z lokalnymi przepisami.</w:t>
      </w:r>
    </w:p>
    <w:p w14:paraId="729BB9FA" w14:textId="77777777" w:rsidR="00A65887" w:rsidRPr="008E3E1F" w:rsidRDefault="00A65887" w:rsidP="006D5855"/>
    <w:p w14:paraId="5B3A8F8C" w14:textId="77777777" w:rsidR="00A65887" w:rsidRPr="008E3E1F" w:rsidRDefault="00A65887" w:rsidP="006D5855"/>
    <w:p w14:paraId="70A1E511" w14:textId="77777777" w:rsidR="00A65887" w:rsidRPr="008E3E1F" w:rsidRDefault="005355BC" w:rsidP="006D5855">
      <w:pPr>
        <w:rPr>
          <w:b/>
        </w:rPr>
      </w:pPr>
      <w:r w:rsidRPr="008E3E1F">
        <w:rPr>
          <w:b/>
        </w:rPr>
        <w:t>7.</w:t>
      </w:r>
      <w:r w:rsidRPr="008E3E1F">
        <w:rPr>
          <w:b/>
        </w:rPr>
        <w:tab/>
        <w:t>PODMIOT ODPOWIEDZIALNY POSIADAJĄCY POZWOLENIE NA DOPUSZCZENIE DO OBROTU</w:t>
      </w:r>
    </w:p>
    <w:p w14:paraId="0DDDBD02" w14:textId="77777777" w:rsidR="00A65887" w:rsidRPr="008E3E1F" w:rsidRDefault="00A65887" w:rsidP="006D5855"/>
    <w:p w14:paraId="682BA716" w14:textId="77777777" w:rsidR="00FB6A06" w:rsidRPr="008E3E1F" w:rsidRDefault="00FB6A06" w:rsidP="00FB6A06">
      <w:pPr>
        <w:rPr>
          <w:szCs w:val="22"/>
          <w:lang w:val="en-US"/>
        </w:rPr>
      </w:pPr>
      <w:r w:rsidRPr="008E3E1F">
        <w:rPr>
          <w:szCs w:val="22"/>
          <w:lang w:val="en-US"/>
        </w:rPr>
        <w:t>Bausch Health Ireland Limited</w:t>
      </w:r>
    </w:p>
    <w:p w14:paraId="6DB5E330" w14:textId="77777777" w:rsidR="00FB6A06" w:rsidRPr="008E3E1F" w:rsidRDefault="00FB6A06" w:rsidP="00FB6A06">
      <w:pPr>
        <w:rPr>
          <w:szCs w:val="22"/>
          <w:lang w:val="en-US"/>
        </w:rPr>
      </w:pPr>
      <w:r w:rsidRPr="008E3E1F">
        <w:rPr>
          <w:szCs w:val="22"/>
          <w:lang w:val="en-US"/>
        </w:rPr>
        <w:t>3013 Lake Drive</w:t>
      </w:r>
    </w:p>
    <w:p w14:paraId="75D98D5D" w14:textId="77777777" w:rsidR="00FB6A06" w:rsidRPr="008E3E1F" w:rsidRDefault="00FB6A06" w:rsidP="00FB6A06">
      <w:pPr>
        <w:rPr>
          <w:szCs w:val="22"/>
          <w:lang w:val="en-US"/>
        </w:rPr>
      </w:pPr>
      <w:r w:rsidRPr="008E3E1F">
        <w:rPr>
          <w:szCs w:val="22"/>
          <w:lang w:val="en-US"/>
        </w:rPr>
        <w:t>Citywest Business Campus</w:t>
      </w:r>
    </w:p>
    <w:p w14:paraId="691A83E3" w14:textId="77777777" w:rsidR="00354343" w:rsidRPr="008E3E1F" w:rsidRDefault="00354343" w:rsidP="00354343">
      <w:pPr>
        <w:rPr>
          <w:szCs w:val="22"/>
          <w:lang w:val="en-US"/>
        </w:rPr>
      </w:pPr>
      <w:r w:rsidRPr="008E3E1F">
        <w:rPr>
          <w:szCs w:val="22"/>
          <w:lang w:val="en-US"/>
        </w:rPr>
        <w:t>Dublin 24, D24PPT3</w:t>
      </w:r>
    </w:p>
    <w:p w14:paraId="497B5962" w14:textId="77777777" w:rsidR="00FB6A06" w:rsidRPr="008E3E1F" w:rsidRDefault="00FB6A06" w:rsidP="00FB6A06">
      <w:pPr>
        <w:rPr>
          <w:noProof/>
          <w:szCs w:val="22"/>
          <w:lang w:val="en-US"/>
        </w:rPr>
      </w:pPr>
      <w:r w:rsidRPr="008E3E1F">
        <w:rPr>
          <w:szCs w:val="22"/>
          <w:lang w:val="en-US"/>
        </w:rPr>
        <w:t>Irlandia</w:t>
      </w:r>
      <w:r w:rsidRPr="008E3E1F" w:rsidDel="00854F58">
        <w:rPr>
          <w:lang w:val="en-US"/>
        </w:rPr>
        <w:t xml:space="preserve"> </w:t>
      </w:r>
    </w:p>
    <w:p w14:paraId="269B34E8" w14:textId="77777777" w:rsidR="00A65887" w:rsidRPr="008E3E1F" w:rsidRDefault="00A65887" w:rsidP="00E11D8A">
      <w:pPr>
        <w:ind w:left="0" w:firstLine="0"/>
        <w:rPr>
          <w:lang w:val="en-US"/>
        </w:rPr>
      </w:pPr>
    </w:p>
    <w:p w14:paraId="2B497AA1" w14:textId="77777777" w:rsidR="00A65887" w:rsidRPr="008E3E1F" w:rsidRDefault="00A65887" w:rsidP="006D5855">
      <w:pPr>
        <w:rPr>
          <w:lang w:val="en-US"/>
        </w:rPr>
      </w:pPr>
    </w:p>
    <w:p w14:paraId="3CF23DDE" w14:textId="65F02A2C" w:rsidR="00A65887" w:rsidRPr="008E3E1F" w:rsidRDefault="005355BC" w:rsidP="006D5855">
      <w:pPr>
        <w:rPr>
          <w:b/>
        </w:rPr>
      </w:pPr>
      <w:r w:rsidRPr="008E3E1F">
        <w:rPr>
          <w:b/>
        </w:rPr>
        <w:t>8.</w:t>
      </w:r>
      <w:r w:rsidRPr="008E3E1F">
        <w:rPr>
          <w:b/>
        </w:rPr>
        <w:tab/>
      </w:r>
      <w:r w:rsidR="00CC6F84" w:rsidRPr="008E3E1F">
        <w:rPr>
          <w:b/>
          <w:noProof/>
          <w:szCs w:val="22"/>
        </w:rPr>
        <w:t>NUMER POZWOLENIA</w:t>
      </w:r>
      <w:r w:rsidR="003B7AEE" w:rsidRPr="008E3E1F">
        <w:rPr>
          <w:b/>
          <w:noProof/>
          <w:szCs w:val="22"/>
        </w:rPr>
        <w:t xml:space="preserve"> </w:t>
      </w:r>
      <w:r w:rsidRPr="008E3E1F">
        <w:rPr>
          <w:b/>
        </w:rPr>
        <w:t>NA DOPUSZCZENIE DO OBROTU</w:t>
      </w:r>
    </w:p>
    <w:p w14:paraId="343C3D26" w14:textId="77777777" w:rsidR="00A65887" w:rsidRPr="008E3E1F" w:rsidRDefault="00A65887" w:rsidP="006D5855">
      <w:pPr>
        <w:rPr>
          <w:i/>
        </w:rPr>
      </w:pPr>
    </w:p>
    <w:p w14:paraId="2F3DE21C" w14:textId="3EC19320" w:rsidR="00A65887" w:rsidRPr="008E3E1F" w:rsidRDefault="003F2B5E" w:rsidP="006D5855">
      <w:r w:rsidRPr="008E3E1F">
        <w:t xml:space="preserve">Pozwolenie nr </w:t>
      </w:r>
      <w:r w:rsidR="008F6700">
        <w:t>26631</w:t>
      </w:r>
    </w:p>
    <w:p w14:paraId="74180D0F" w14:textId="77777777" w:rsidR="00A65887" w:rsidRPr="008E3E1F" w:rsidRDefault="00A65887" w:rsidP="006D5855"/>
    <w:p w14:paraId="59B9DDD3" w14:textId="77777777" w:rsidR="00A65887" w:rsidRPr="008E3E1F" w:rsidRDefault="005355BC" w:rsidP="006D5855">
      <w:pPr>
        <w:rPr>
          <w:b/>
        </w:rPr>
      </w:pPr>
      <w:r w:rsidRPr="008E3E1F">
        <w:rPr>
          <w:b/>
        </w:rPr>
        <w:t>9.</w:t>
      </w:r>
      <w:r w:rsidRPr="008E3E1F">
        <w:rPr>
          <w:b/>
        </w:rPr>
        <w:tab/>
        <w:t xml:space="preserve">DATA WYDANIA PIERWSZEGO POZWOLENIA NA DOPUSZCZENIE DO OBROTU </w:t>
      </w:r>
      <w:r w:rsidR="00CC6F84" w:rsidRPr="008E3E1F">
        <w:rPr>
          <w:b/>
        </w:rPr>
        <w:t>I </w:t>
      </w:r>
      <w:r w:rsidRPr="008E3E1F">
        <w:rPr>
          <w:b/>
        </w:rPr>
        <w:t>DATA PRZEDŁUŻENIA POZWOLENIA</w:t>
      </w:r>
    </w:p>
    <w:p w14:paraId="4A7FDEB7" w14:textId="77777777" w:rsidR="00A65887" w:rsidRPr="008E3E1F" w:rsidRDefault="00A65887" w:rsidP="006D5855">
      <w:pPr>
        <w:rPr>
          <w:b/>
        </w:rPr>
      </w:pPr>
    </w:p>
    <w:p w14:paraId="268FDE03" w14:textId="34303E65" w:rsidR="00F52678" w:rsidRPr="008E3E1F" w:rsidRDefault="005355BC" w:rsidP="006D5855">
      <w:pPr>
        <w:rPr>
          <w:noProof/>
          <w:szCs w:val="24"/>
        </w:rPr>
      </w:pPr>
      <w:r w:rsidRPr="008E3E1F">
        <w:rPr>
          <w:noProof/>
          <w:szCs w:val="24"/>
        </w:rPr>
        <w:t xml:space="preserve">Data wydania pierwszego pozwolenia na dopuszczenie do obrotu: </w:t>
      </w:r>
      <w:r w:rsidR="008F6700">
        <w:rPr>
          <w:noProof/>
          <w:szCs w:val="24"/>
        </w:rPr>
        <w:t>22.09.2021</w:t>
      </w:r>
    </w:p>
    <w:p w14:paraId="314312A0" w14:textId="2AA1ED26" w:rsidR="00A65887" w:rsidRPr="008E3E1F" w:rsidRDefault="00A65887" w:rsidP="008A7B40">
      <w:pPr>
        <w:ind w:left="0" w:firstLine="0"/>
        <w:rPr>
          <w:i/>
          <w:iCs/>
        </w:rPr>
      </w:pPr>
    </w:p>
    <w:p w14:paraId="752E4BE8" w14:textId="77777777" w:rsidR="00A65887" w:rsidRPr="008E3E1F" w:rsidRDefault="00A65887" w:rsidP="006D5855"/>
    <w:p w14:paraId="0C22F494" w14:textId="77777777" w:rsidR="00A65887" w:rsidRPr="008E3E1F" w:rsidRDefault="00A65887" w:rsidP="006D5855"/>
    <w:p w14:paraId="340D7775" w14:textId="77777777" w:rsidR="00A65887" w:rsidRPr="008E3E1F" w:rsidRDefault="005355BC" w:rsidP="006D5855">
      <w:pPr>
        <w:rPr>
          <w:b/>
        </w:rPr>
      </w:pPr>
      <w:r w:rsidRPr="008E3E1F">
        <w:rPr>
          <w:b/>
        </w:rPr>
        <w:t>10.</w:t>
      </w:r>
      <w:r w:rsidRPr="008E3E1F">
        <w:rPr>
          <w:b/>
        </w:rPr>
        <w:tab/>
        <w:t>DATA ZATWIERDZENIA LUB CZĘŚCIOWEJ ZMIANY TEKSTU CHARAKTERYSTYKI PRODUKTU LECZNICZEGO</w:t>
      </w:r>
    </w:p>
    <w:p w14:paraId="03AC84FF" w14:textId="77777777" w:rsidR="003E4D51" w:rsidRPr="008E3E1F" w:rsidRDefault="003E4D51" w:rsidP="006D5855">
      <w:pPr>
        <w:rPr>
          <w:b/>
        </w:rPr>
      </w:pPr>
    </w:p>
    <w:p w14:paraId="5B32266B" w14:textId="16732C1B" w:rsidR="00A65887" w:rsidRPr="008E3E1F" w:rsidRDefault="00356391" w:rsidP="006D5855">
      <w:pPr>
        <w:ind w:left="705" w:hanging="705"/>
      </w:pPr>
      <w:r>
        <w:t>31.05.2023</w:t>
      </w:r>
    </w:p>
    <w:p w14:paraId="2DF8BC07" w14:textId="42CB7D97" w:rsidR="00A65887" w:rsidRPr="008E3E1F" w:rsidRDefault="00A65887" w:rsidP="007301F0">
      <w:pPr>
        <w:ind w:left="0" w:firstLine="0"/>
        <w:rPr>
          <w:noProof/>
        </w:rPr>
      </w:pPr>
    </w:p>
    <w:p w14:paraId="039184A0" w14:textId="77777777" w:rsidR="001B0364" w:rsidRPr="008E3E1F" w:rsidRDefault="001B0364"/>
    <w:sectPr w:rsidR="001B0364" w:rsidRPr="008E3E1F" w:rsidSect="00927B6C">
      <w:footerReference w:type="default" r:id="rId12"/>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A377" w14:textId="77777777" w:rsidR="00923B63" w:rsidRDefault="00923B63">
      <w:r>
        <w:separator/>
      </w:r>
    </w:p>
  </w:endnote>
  <w:endnote w:type="continuationSeparator" w:id="0">
    <w:p w14:paraId="50276832" w14:textId="77777777" w:rsidR="00923B63" w:rsidRDefault="0092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3E52" w14:textId="5636F3F9" w:rsidR="00FA1665" w:rsidRDefault="00FA1665">
    <w:pPr>
      <w:pStyle w:val="Stopka"/>
      <w:jc w:val="center"/>
      <w:rPr>
        <w:rFonts w:ascii="Arial" w:hAnsi="Arial" w:cs="Arial"/>
      </w:rPr>
    </w:pPr>
    <w:r>
      <w:rPr>
        <w:rStyle w:val="Numerstrony"/>
        <w:rFonts w:ascii="Arial" w:hAnsi="Arial" w:cs="Arial"/>
      </w:rPr>
      <w:fldChar w:fldCharType="begin"/>
    </w:r>
    <w:r>
      <w:rPr>
        <w:rStyle w:val="Numerstrony"/>
        <w:rFonts w:ascii="Arial" w:hAnsi="Arial" w:cs="Arial"/>
      </w:rPr>
      <w:instrText xml:space="preserve"> PAGE </w:instrText>
    </w:r>
    <w:r>
      <w:rPr>
        <w:rStyle w:val="Numerstrony"/>
        <w:rFonts w:ascii="Arial" w:hAnsi="Arial" w:cs="Arial"/>
      </w:rPr>
      <w:fldChar w:fldCharType="separate"/>
    </w:r>
    <w:r w:rsidR="001F1BBA">
      <w:rPr>
        <w:rStyle w:val="Numerstrony"/>
        <w:rFonts w:ascii="Arial" w:hAnsi="Arial" w:cs="Arial"/>
        <w:noProof/>
      </w:rPr>
      <w:t>2</w:t>
    </w:r>
    <w:r>
      <w:rPr>
        <w:rStyle w:val="Numerstro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D666" w14:textId="77777777" w:rsidR="00923B63" w:rsidRDefault="00923B63">
      <w:r>
        <w:separator/>
      </w:r>
    </w:p>
  </w:footnote>
  <w:footnote w:type="continuationSeparator" w:id="0">
    <w:p w14:paraId="67149771" w14:textId="77777777" w:rsidR="00923B63" w:rsidRDefault="0092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913E6F"/>
    <w:multiLevelType w:val="hybridMultilevel"/>
    <w:tmpl w:val="C77ECA50"/>
    <w:lvl w:ilvl="0" w:tplc="0415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15:restartNumberingAfterBreak="0">
    <w:nsid w:val="0A300A7D"/>
    <w:multiLevelType w:val="hybridMultilevel"/>
    <w:tmpl w:val="7304C574"/>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C3D2D"/>
    <w:multiLevelType w:val="hybridMultilevel"/>
    <w:tmpl w:val="420E78F4"/>
    <w:lvl w:ilvl="0" w:tplc="DA1E4D22">
      <w:start w:val="21"/>
      <w:numFmt w:val="bullet"/>
      <w:lvlText w:val="-"/>
      <w:lvlJc w:val="left"/>
      <w:pPr>
        <w:tabs>
          <w:tab w:val="num" w:pos="417"/>
        </w:tabs>
        <w:ind w:left="417" w:hanging="360"/>
      </w:pPr>
      <w:rPr>
        <w:rFonts w:hint="default"/>
      </w:rPr>
    </w:lvl>
    <w:lvl w:ilvl="1" w:tplc="66265E46" w:tentative="1">
      <w:start w:val="1"/>
      <w:numFmt w:val="bullet"/>
      <w:lvlText w:val="o"/>
      <w:lvlJc w:val="left"/>
      <w:pPr>
        <w:tabs>
          <w:tab w:val="num" w:pos="1440"/>
        </w:tabs>
        <w:ind w:left="1440" w:hanging="360"/>
      </w:pPr>
      <w:rPr>
        <w:rFonts w:ascii="Courier New" w:hAnsi="Courier New" w:cs="Courier New" w:hint="default"/>
      </w:rPr>
    </w:lvl>
    <w:lvl w:ilvl="2" w:tplc="3F8423F8" w:tentative="1">
      <w:start w:val="1"/>
      <w:numFmt w:val="bullet"/>
      <w:lvlText w:val=""/>
      <w:lvlJc w:val="left"/>
      <w:pPr>
        <w:tabs>
          <w:tab w:val="num" w:pos="2160"/>
        </w:tabs>
        <w:ind w:left="2160" w:hanging="360"/>
      </w:pPr>
      <w:rPr>
        <w:rFonts w:ascii="Wingdings" w:hAnsi="Wingdings" w:hint="default"/>
      </w:rPr>
    </w:lvl>
    <w:lvl w:ilvl="3" w:tplc="27AA2514" w:tentative="1">
      <w:start w:val="1"/>
      <w:numFmt w:val="bullet"/>
      <w:lvlText w:val=""/>
      <w:lvlJc w:val="left"/>
      <w:pPr>
        <w:tabs>
          <w:tab w:val="num" w:pos="2880"/>
        </w:tabs>
        <w:ind w:left="2880" w:hanging="360"/>
      </w:pPr>
      <w:rPr>
        <w:rFonts w:ascii="Symbol" w:hAnsi="Symbol" w:hint="default"/>
      </w:rPr>
    </w:lvl>
    <w:lvl w:ilvl="4" w:tplc="D02E11BE" w:tentative="1">
      <w:start w:val="1"/>
      <w:numFmt w:val="bullet"/>
      <w:lvlText w:val="o"/>
      <w:lvlJc w:val="left"/>
      <w:pPr>
        <w:tabs>
          <w:tab w:val="num" w:pos="3600"/>
        </w:tabs>
        <w:ind w:left="3600" w:hanging="360"/>
      </w:pPr>
      <w:rPr>
        <w:rFonts w:ascii="Courier New" w:hAnsi="Courier New" w:cs="Courier New" w:hint="default"/>
      </w:rPr>
    </w:lvl>
    <w:lvl w:ilvl="5" w:tplc="040ECAF4" w:tentative="1">
      <w:start w:val="1"/>
      <w:numFmt w:val="bullet"/>
      <w:lvlText w:val=""/>
      <w:lvlJc w:val="left"/>
      <w:pPr>
        <w:tabs>
          <w:tab w:val="num" w:pos="4320"/>
        </w:tabs>
        <w:ind w:left="4320" w:hanging="360"/>
      </w:pPr>
      <w:rPr>
        <w:rFonts w:ascii="Wingdings" w:hAnsi="Wingdings" w:hint="default"/>
      </w:rPr>
    </w:lvl>
    <w:lvl w:ilvl="6" w:tplc="924E27F6" w:tentative="1">
      <w:start w:val="1"/>
      <w:numFmt w:val="bullet"/>
      <w:lvlText w:val=""/>
      <w:lvlJc w:val="left"/>
      <w:pPr>
        <w:tabs>
          <w:tab w:val="num" w:pos="5040"/>
        </w:tabs>
        <w:ind w:left="5040" w:hanging="360"/>
      </w:pPr>
      <w:rPr>
        <w:rFonts w:ascii="Symbol" w:hAnsi="Symbol" w:hint="default"/>
      </w:rPr>
    </w:lvl>
    <w:lvl w:ilvl="7" w:tplc="8F66A386" w:tentative="1">
      <w:start w:val="1"/>
      <w:numFmt w:val="bullet"/>
      <w:lvlText w:val="o"/>
      <w:lvlJc w:val="left"/>
      <w:pPr>
        <w:tabs>
          <w:tab w:val="num" w:pos="5760"/>
        </w:tabs>
        <w:ind w:left="5760" w:hanging="360"/>
      </w:pPr>
      <w:rPr>
        <w:rFonts w:ascii="Courier New" w:hAnsi="Courier New" w:cs="Courier New" w:hint="default"/>
      </w:rPr>
    </w:lvl>
    <w:lvl w:ilvl="8" w:tplc="D1B242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D5548"/>
    <w:multiLevelType w:val="hybridMultilevel"/>
    <w:tmpl w:val="1762855C"/>
    <w:lvl w:ilvl="0" w:tplc="46D2622E">
      <w:start w:val="21"/>
      <w:numFmt w:val="bullet"/>
      <w:lvlText w:val="-"/>
      <w:lvlJc w:val="left"/>
      <w:pPr>
        <w:ind w:left="360" w:hanging="360"/>
      </w:pPr>
      <w:rPr>
        <w:rFonts w:hint="default"/>
      </w:rPr>
    </w:lvl>
    <w:lvl w:ilvl="1" w:tplc="FC0850A6" w:tentative="1">
      <w:start w:val="1"/>
      <w:numFmt w:val="bullet"/>
      <w:lvlText w:val="o"/>
      <w:lvlJc w:val="left"/>
      <w:pPr>
        <w:ind w:left="1080" w:hanging="360"/>
      </w:pPr>
      <w:rPr>
        <w:rFonts w:ascii="Courier New" w:hAnsi="Courier New" w:cs="Courier New" w:hint="default"/>
      </w:rPr>
    </w:lvl>
    <w:lvl w:ilvl="2" w:tplc="4CFE3476" w:tentative="1">
      <w:start w:val="1"/>
      <w:numFmt w:val="bullet"/>
      <w:lvlText w:val=""/>
      <w:lvlJc w:val="left"/>
      <w:pPr>
        <w:ind w:left="1800" w:hanging="360"/>
      </w:pPr>
      <w:rPr>
        <w:rFonts w:ascii="Wingdings" w:hAnsi="Wingdings" w:hint="default"/>
      </w:rPr>
    </w:lvl>
    <w:lvl w:ilvl="3" w:tplc="084A5DB0" w:tentative="1">
      <w:start w:val="1"/>
      <w:numFmt w:val="bullet"/>
      <w:lvlText w:val=""/>
      <w:lvlJc w:val="left"/>
      <w:pPr>
        <w:ind w:left="2520" w:hanging="360"/>
      </w:pPr>
      <w:rPr>
        <w:rFonts w:ascii="Symbol" w:hAnsi="Symbol" w:hint="default"/>
      </w:rPr>
    </w:lvl>
    <w:lvl w:ilvl="4" w:tplc="AC248F72" w:tentative="1">
      <w:start w:val="1"/>
      <w:numFmt w:val="bullet"/>
      <w:lvlText w:val="o"/>
      <w:lvlJc w:val="left"/>
      <w:pPr>
        <w:ind w:left="3240" w:hanging="360"/>
      </w:pPr>
      <w:rPr>
        <w:rFonts w:ascii="Courier New" w:hAnsi="Courier New" w:cs="Courier New" w:hint="default"/>
      </w:rPr>
    </w:lvl>
    <w:lvl w:ilvl="5" w:tplc="A2FAE744" w:tentative="1">
      <w:start w:val="1"/>
      <w:numFmt w:val="bullet"/>
      <w:lvlText w:val=""/>
      <w:lvlJc w:val="left"/>
      <w:pPr>
        <w:ind w:left="3960" w:hanging="360"/>
      </w:pPr>
      <w:rPr>
        <w:rFonts w:ascii="Wingdings" w:hAnsi="Wingdings" w:hint="default"/>
      </w:rPr>
    </w:lvl>
    <w:lvl w:ilvl="6" w:tplc="E1643EB8" w:tentative="1">
      <w:start w:val="1"/>
      <w:numFmt w:val="bullet"/>
      <w:lvlText w:val=""/>
      <w:lvlJc w:val="left"/>
      <w:pPr>
        <w:ind w:left="4680" w:hanging="360"/>
      </w:pPr>
      <w:rPr>
        <w:rFonts w:ascii="Symbol" w:hAnsi="Symbol" w:hint="default"/>
      </w:rPr>
    </w:lvl>
    <w:lvl w:ilvl="7" w:tplc="7630870A" w:tentative="1">
      <w:start w:val="1"/>
      <w:numFmt w:val="bullet"/>
      <w:lvlText w:val="o"/>
      <w:lvlJc w:val="left"/>
      <w:pPr>
        <w:ind w:left="5400" w:hanging="360"/>
      </w:pPr>
      <w:rPr>
        <w:rFonts w:ascii="Courier New" w:hAnsi="Courier New" w:cs="Courier New" w:hint="default"/>
      </w:rPr>
    </w:lvl>
    <w:lvl w:ilvl="8" w:tplc="1DF0C184" w:tentative="1">
      <w:start w:val="1"/>
      <w:numFmt w:val="bullet"/>
      <w:lvlText w:val=""/>
      <w:lvlJc w:val="left"/>
      <w:pPr>
        <w:ind w:left="6120" w:hanging="360"/>
      </w:pPr>
      <w:rPr>
        <w:rFonts w:ascii="Wingdings" w:hAnsi="Wingdings" w:hint="default"/>
      </w:rPr>
    </w:lvl>
  </w:abstractNum>
  <w:abstractNum w:abstractNumId="6" w15:restartNumberingAfterBreak="0">
    <w:nsid w:val="25AA228C"/>
    <w:multiLevelType w:val="hybridMultilevel"/>
    <w:tmpl w:val="035889D0"/>
    <w:lvl w:ilvl="0" w:tplc="605E4EEA">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E40EC"/>
    <w:multiLevelType w:val="hybridMultilevel"/>
    <w:tmpl w:val="E90AC95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B2318"/>
    <w:multiLevelType w:val="hybridMultilevel"/>
    <w:tmpl w:val="4290EEBC"/>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0340D"/>
    <w:multiLevelType w:val="hybridMultilevel"/>
    <w:tmpl w:val="C1CAF8C8"/>
    <w:lvl w:ilvl="0" w:tplc="209C695E">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A341A"/>
    <w:multiLevelType w:val="hybridMultilevel"/>
    <w:tmpl w:val="1136A6D0"/>
    <w:lvl w:ilvl="0" w:tplc="1E96E0D8">
      <w:start w:val="21"/>
      <w:numFmt w:val="bullet"/>
      <w:lvlText w:val="-"/>
      <w:lvlJc w:val="left"/>
      <w:pPr>
        <w:tabs>
          <w:tab w:val="num" w:pos="360"/>
        </w:tabs>
        <w:ind w:left="360" w:hanging="360"/>
      </w:pPr>
      <w:rPr>
        <w:rFonts w:hint="default"/>
      </w:rPr>
    </w:lvl>
    <w:lvl w:ilvl="1" w:tplc="5A283A7E" w:tentative="1">
      <w:start w:val="1"/>
      <w:numFmt w:val="bullet"/>
      <w:lvlText w:val="o"/>
      <w:lvlJc w:val="left"/>
      <w:pPr>
        <w:ind w:left="1440" w:hanging="360"/>
      </w:pPr>
      <w:rPr>
        <w:rFonts w:ascii="Courier New" w:hAnsi="Courier New" w:hint="default"/>
      </w:rPr>
    </w:lvl>
    <w:lvl w:ilvl="2" w:tplc="45761550" w:tentative="1">
      <w:start w:val="1"/>
      <w:numFmt w:val="bullet"/>
      <w:lvlText w:val=""/>
      <w:lvlJc w:val="left"/>
      <w:pPr>
        <w:ind w:left="2160" w:hanging="360"/>
      </w:pPr>
      <w:rPr>
        <w:rFonts w:ascii="Wingdings" w:hAnsi="Wingdings" w:hint="default"/>
      </w:rPr>
    </w:lvl>
    <w:lvl w:ilvl="3" w:tplc="EAA8D192" w:tentative="1">
      <w:start w:val="1"/>
      <w:numFmt w:val="bullet"/>
      <w:lvlText w:val=""/>
      <w:lvlJc w:val="left"/>
      <w:pPr>
        <w:ind w:left="2880" w:hanging="360"/>
      </w:pPr>
      <w:rPr>
        <w:rFonts w:ascii="Symbol" w:hAnsi="Symbol" w:hint="default"/>
      </w:rPr>
    </w:lvl>
    <w:lvl w:ilvl="4" w:tplc="83549850" w:tentative="1">
      <w:start w:val="1"/>
      <w:numFmt w:val="bullet"/>
      <w:lvlText w:val="o"/>
      <w:lvlJc w:val="left"/>
      <w:pPr>
        <w:ind w:left="3600" w:hanging="360"/>
      </w:pPr>
      <w:rPr>
        <w:rFonts w:ascii="Courier New" w:hAnsi="Courier New" w:hint="default"/>
      </w:rPr>
    </w:lvl>
    <w:lvl w:ilvl="5" w:tplc="DC368E96" w:tentative="1">
      <w:start w:val="1"/>
      <w:numFmt w:val="bullet"/>
      <w:lvlText w:val=""/>
      <w:lvlJc w:val="left"/>
      <w:pPr>
        <w:ind w:left="4320" w:hanging="360"/>
      </w:pPr>
      <w:rPr>
        <w:rFonts w:ascii="Wingdings" w:hAnsi="Wingdings" w:hint="default"/>
      </w:rPr>
    </w:lvl>
    <w:lvl w:ilvl="6" w:tplc="BD9C9228" w:tentative="1">
      <w:start w:val="1"/>
      <w:numFmt w:val="bullet"/>
      <w:lvlText w:val=""/>
      <w:lvlJc w:val="left"/>
      <w:pPr>
        <w:ind w:left="5040" w:hanging="360"/>
      </w:pPr>
      <w:rPr>
        <w:rFonts w:ascii="Symbol" w:hAnsi="Symbol" w:hint="default"/>
      </w:rPr>
    </w:lvl>
    <w:lvl w:ilvl="7" w:tplc="ADA08588" w:tentative="1">
      <w:start w:val="1"/>
      <w:numFmt w:val="bullet"/>
      <w:lvlText w:val="o"/>
      <w:lvlJc w:val="left"/>
      <w:pPr>
        <w:ind w:left="5760" w:hanging="360"/>
      </w:pPr>
      <w:rPr>
        <w:rFonts w:ascii="Courier New" w:hAnsi="Courier New" w:hint="default"/>
      </w:rPr>
    </w:lvl>
    <w:lvl w:ilvl="8" w:tplc="29CCE37E" w:tentative="1">
      <w:start w:val="1"/>
      <w:numFmt w:val="bullet"/>
      <w:lvlText w:val=""/>
      <w:lvlJc w:val="left"/>
      <w:pPr>
        <w:ind w:left="6480" w:hanging="360"/>
      </w:pPr>
      <w:rPr>
        <w:rFonts w:ascii="Wingdings" w:hAnsi="Wingdings" w:hint="default"/>
      </w:rPr>
    </w:lvl>
  </w:abstractNum>
  <w:abstractNum w:abstractNumId="11" w15:restartNumberingAfterBreak="0">
    <w:nsid w:val="40B35EF6"/>
    <w:multiLevelType w:val="hybridMultilevel"/>
    <w:tmpl w:val="06CC291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E0DE5"/>
    <w:multiLevelType w:val="hybridMultilevel"/>
    <w:tmpl w:val="87EC071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17285"/>
    <w:multiLevelType w:val="hybridMultilevel"/>
    <w:tmpl w:val="330A6A68"/>
    <w:lvl w:ilvl="0" w:tplc="F07C5FC0">
      <w:start w:val="1"/>
      <w:numFmt w:val="bullet"/>
      <w:lvlText w:val="-"/>
      <w:lvlJc w:val="left"/>
      <w:pPr>
        <w:tabs>
          <w:tab w:val="num" w:pos="1440"/>
        </w:tabs>
        <w:ind w:left="1440" w:hanging="360"/>
      </w:pPr>
      <w:rPr>
        <w:rFonts w:ascii="Times New Roman" w:hAnsi="Times New Roman" w:cs="Times New Roman" w:hint="default"/>
      </w:rPr>
    </w:lvl>
    <w:lvl w:ilvl="1" w:tplc="CC906476" w:tentative="1">
      <w:start w:val="1"/>
      <w:numFmt w:val="bullet"/>
      <w:lvlText w:val="o"/>
      <w:lvlJc w:val="left"/>
      <w:pPr>
        <w:tabs>
          <w:tab w:val="num" w:pos="1440"/>
        </w:tabs>
        <w:ind w:left="1440" w:hanging="360"/>
      </w:pPr>
      <w:rPr>
        <w:rFonts w:ascii="Courier New" w:hAnsi="Courier New" w:cs="Courier New" w:hint="default"/>
      </w:rPr>
    </w:lvl>
    <w:lvl w:ilvl="2" w:tplc="634E433C" w:tentative="1">
      <w:start w:val="1"/>
      <w:numFmt w:val="bullet"/>
      <w:lvlText w:val=""/>
      <w:lvlJc w:val="left"/>
      <w:pPr>
        <w:tabs>
          <w:tab w:val="num" w:pos="2160"/>
        </w:tabs>
        <w:ind w:left="2160" w:hanging="360"/>
      </w:pPr>
      <w:rPr>
        <w:rFonts w:ascii="Wingdings" w:hAnsi="Wingdings" w:hint="default"/>
      </w:rPr>
    </w:lvl>
    <w:lvl w:ilvl="3" w:tplc="E370EAF0" w:tentative="1">
      <w:start w:val="1"/>
      <w:numFmt w:val="bullet"/>
      <w:lvlText w:val=""/>
      <w:lvlJc w:val="left"/>
      <w:pPr>
        <w:tabs>
          <w:tab w:val="num" w:pos="2880"/>
        </w:tabs>
        <w:ind w:left="2880" w:hanging="360"/>
      </w:pPr>
      <w:rPr>
        <w:rFonts w:ascii="Symbol" w:hAnsi="Symbol" w:hint="default"/>
      </w:rPr>
    </w:lvl>
    <w:lvl w:ilvl="4" w:tplc="7DBC123C" w:tentative="1">
      <w:start w:val="1"/>
      <w:numFmt w:val="bullet"/>
      <w:lvlText w:val="o"/>
      <w:lvlJc w:val="left"/>
      <w:pPr>
        <w:tabs>
          <w:tab w:val="num" w:pos="3600"/>
        </w:tabs>
        <w:ind w:left="3600" w:hanging="360"/>
      </w:pPr>
      <w:rPr>
        <w:rFonts w:ascii="Courier New" w:hAnsi="Courier New" w:cs="Courier New" w:hint="default"/>
      </w:rPr>
    </w:lvl>
    <w:lvl w:ilvl="5" w:tplc="FB50DF56" w:tentative="1">
      <w:start w:val="1"/>
      <w:numFmt w:val="bullet"/>
      <w:lvlText w:val=""/>
      <w:lvlJc w:val="left"/>
      <w:pPr>
        <w:tabs>
          <w:tab w:val="num" w:pos="4320"/>
        </w:tabs>
        <w:ind w:left="4320" w:hanging="360"/>
      </w:pPr>
      <w:rPr>
        <w:rFonts w:ascii="Wingdings" w:hAnsi="Wingdings" w:hint="default"/>
      </w:rPr>
    </w:lvl>
    <w:lvl w:ilvl="6" w:tplc="85A8084C" w:tentative="1">
      <w:start w:val="1"/>
      <w:numFmt w:val="bullet"/>
      <w:lvlText w:val=""/>
      <w:lvlJc w:val="left"/>
      <w:pPr>
        <w:tabs>
          <w:tab w:val="num" w:pos="5040"/>
        </w:tabs>
        <w:ind w:left="5040" w:hanging="360"/>
      </w:pPr>
      <w:rPr>
        <w:rFonts w:ascii="Symbol" w:hAnsi="Symbol" w:hint="default"/>
      </w:rPr>
    </w:lvl>
    <w:lvl w:ilvl="7" w:tplc="AC20DE78" w:tentative="1">
      <w:start w:val="1"/>
      <w:numFmt w:val="bullet"/>
      <w:lvlText w:val="o"/>
      <w:lvlJc w:val="left"/>
      <w:pPr>
        <w:tabs>
          <w:tab w:val="num" w:pos="5760"/>
        </w:tabs>
        <w:ind w:left="5760" w:hanging="360"/>
      </w:pPr>
      <w:rPr>
        <w:rFonts w:ascii="Courier New" w:hAnsi="Courier New" w:cs="Courier New" w:hint="default"/>
      </w:rPr>
    </w:lvl>
    <w:lvl w:ilvl="8" w:tplc="41CA50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72ACC"/>
    <w:multiLevelType w:val="hybridMultilevel"/>
    <w:tmpl w:val="1714CB60"/>
    <w:lvl w:ilvl="0" w:tplc="CD1C30B0">
      <w:start w:val="1"/>
      <w:numFmt w:val="bullet"/>
      <w:lvlText w:val="-"/>
      <w:lvlJc w:val="left"/>
      <w:pPr>
        <w:tabs>
          <w:tab w:val="num" w:pos="1440"/>
        </w:tabs>
        <w:ind w:left="1440" w:hanging="360"/>
      </w:pPr>
      <w:rPr>
        <w:rFonts w:ascii="Times New Roman" w:hAnsi="Times New Roman" w:cs="Times New Roman" w:hint="default"/>
        <w:lang w:val="pl-PL"/>
      </w:rPr>
    </w:lvl>
    <w:lvl w:ilvl="1" w:tplc="B5D2AB6E" w:tentative="1">
      <w:start w:val="1"/>
      <w:numFmt w:val="bullet"/>
      <w:lvlText w:val="o"/>
      <w:lvlJc w:val="left"/>
      <w:pPr>
        <w:tabs>
          <w:tab w:val="num" w:pos="1440"/>
        </w:tabs>
        <w:ind w:left="1440" w:hanging="360"/>
      </w:pPr>
      <w:rPr>
        <w:rFonts w:ascii="Courier New" w:hAnsi="Courier New" w:cs="Courier New" w:hint="default"/>
      </w:rPr>
    </w:lvl>
    <w:lvl w:ilvl="2" w:tplc="3DC04CA8" w:tentative="1">
      <w:start w:val="1"/>
      <w:numFmt w:val="bullet"/>
      <w:lvlText w:val=""/>
      <w:lvlJc w:val="left"/>
      <w:pPr>
        <w:tabs>
          <w:tab w:val="num" w:pos="2160"/>
        </w:tabs>
        <w:ind w:left="2160" w:hanging="360"/>
      </w:pPr>
      <w:rPr>
        <w:rFonts w:ascii="Wingdings" w:hAnsi="Wingdings" w:hint="default"/>
      </w:rPr>
    </w:lvl>
    <w:lvl w:ilvl="3" w:tplc="1F66DA62" w:tentative="1">
      <w:start w:val="1"/>
      <w:numFmt w:val="bullet"/>
      <w:lvlText w:val=""/>
      <w:lvlJc w:val="left"/>
      <w:pPr>
        <w:tabs>
          <w:tab w:val="num" w:pos="2880"/>
        </w:tabs>
        <w:ind w:left="2880" w:hanging="360"/>
      </w:pPr>
      <w:rPr>
        <w:rFonts w:ascii="Symbol" w:hAnsi="Symbol" w:hint="default"/>
      </w:rPr>
    </w:lvl>
    <w:lvl w:ilvl="4" w:tplc="744E717A" w:tentative="1">
      <w:start w:val="1"/>
      <w:numFmt w:val="bullet"/>
      <w:lvlText w:val="o"/>
      <w:lvlJc w:val="left"/>
      <w:pPr>
        <w:tabs>
          <w:tab w:val="num" w:pos="3600"/>
        </w:tabs>
        <w:ind w:left="3600" w:hanging="360"/>
      </w:pPr>
      <w:rPr>
        <w:rFonts w:ascii="Courier New" w:hAnsi="Courier New" w:cs="Courier New" w:hint="default"/>
      </w:rPr>
    </w:lvl>
    <w:lvl w:ilvl="5" w:tplc="F0E2D81E" w:tentative="1">
      <w:start w:val="1"/>
      <w:numFmt w:val="bullet"/>
      <w:lvlText w:val=""/>
      <w:lvlJc w:val="left"/>
      <w:pPr>
        <w:tabs>
          <w:tab w:val="num" w:pos="4320"/>
        </w:tabs>
        <w:ind w:left="4320" w:hanging="360"/>
      </w:pPr>
      <w:rPr>
        <w:rFonts w:ascii="Wingdings" w:hAnsi="Wingdings" w:hint="default"/>
      </w:rPr>
    </w:lvl>
    <w:lvl w:ilvl="6" w:tplc="85EE7240" w:tentative="1">
      <w:start w:val="1"/>
      <w:numFmt w:val="bullet"/>
      <w:lvlText w:val=""/>
      <w:lvlJc w:val="left"/>
      <w:pPr>
        <w:tabs>
          <w:tab w:val="num" w:pos="5040"/>
        </w:tabs>
        <w:ind w:left="5040" w:hanging="360"/>
      </w:pPr>
      <w:rPr>
        <w:rFonts w:ascii="Symbol" w:hAnsi="Symbol" w:hint="default"/>
      </w:rPr>
    </w:lvl>
    <w:lvl w:ilvl="7" w:tplc="8FD2E502" w:tentative="1">
      <w:start w:val="1"/>
      <w:numFmt w:val="bullet"/>
      <w:lvlText w:val="o"/>
      <w:lvlJc w:val="left"/>
      <w:pPr>
        <w:tabs>
          <w:tab w:val="num" w:pos="5760"/>
        </w:tabs>
        <w:ind w:left="5760" w:hanging="360"/>
      </w:pPr>
      <w:rPr>
        <w:rFonts w:ascii="Courier New" w:hAnsi="Courier New" w:cs="Courier New" w:hint="default"/>
      </w:rPr>
    </w:lvl>
    <w:lvl w:ilvl="8" w:tplc="040EEE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2C21B3"/>
    <w:multiLevelType w:val="hybridMultilevel"/>
    <w:tmpl w:val="FA1A5798"/>
    <w:lvl w:ilvl="0" w:tplc="0415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160016"/>
    <w:multiLevelType w:val="hybridMultilevel"/>
    <w:tmpl w:val="9F4EDB2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9306A"/>
    <w:multiLevelType w:val="hybridMultilevel"/>
    <w:tmpl w:val="1140400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26909"/>
    <w:multiLevelType w:val="hybridMultilevel"/>
    <w:tmpl w:val="7E0E3D9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37FB2"/>
    <w:multiLevelType w:val="hybridMultilevel"/>
    <w:tmpl w:val="5C20AB6E"/>
    <w:lvl w:ilvl="0" w:tplc="37D8D3D2">
      <w:start w:val="1"/>
      <w:numFmt w:val="decimal"/>
      <w:lvlText w:val="%1."/>
      <w:lvlJc w:val="left"/>
      <w:pPr>
        <w:ind w:left="112" w:hanging="361"/>
      </w:pPr>
      <w:rPr>
        <w:rFonts w:ascii="Times New Roman" w:eastAsia="Times New Roman" w:hAnsi="Times New Roman" w:hint="default"/>
        <w:b/>
        <w:bCs/>
        <w:spacing w:val="7"/>
        <w:w w:val="102"/>
        <w:sz w:val="22"/>
        <w:szCs w:val="22"/>
      </w:rPr>
    </w:lvl>
    <w:lvl w:ilvl="1" w:tplc="A2BA2F32">
      <w:start w:val="1"/>
      <w:numFmt w:val="bullet"/>
      <w:lvlText w:val="■"/>
      <w:lvlJc w:val="left"/>
      <w:pPr>
        <w:ind w:left="833" w:hanging="361"/>
      </w:pPr>
      <w:rPr>
        <w:rFonts w:ascii="Arial" w:eastAsia="Arial" w:hAnsi="Arial" w:hint="default"/>
        <w:b/>
        <w:bCs/>
        <w:w w:val="103"/>
        <w:sz w:val="13"/>
        <w:szCs w:val="13"/>
      </w:rPr>
    </w:lvl>
    <w:lvl w:ilvl="2" w:tplc="E856EB80">
      <w:start w:val="1"/>
      <w:numFmt w:val="bullet"/>
      <w:lvlText w:val="•"/>
      <w:lvlJc w:val="left"/>
      <w:pPr>
        <w:ind w:left="1734" w:hanging="361"/>
      </w:pPr>
      <w:rPr>
        <w:rFonts w:hint="default"/>
      </w:rPr>
    </w:lvl>
    <w:lvl w:ilvl="3" w:tplc="0FB01494">
      <w:start w:val="1"/>
      <w:numFmt w:val="bullet"/>
      <w:lvlText w:val="•"/>
      <w:lvlJc w:val="left"/>
      <w:pPr>
        <w:ind w:left="2636" w:hanging="361"/>
      </w:pPr>
      <w:rPr>
        <w:rFonts w:hint="default"/>
      </w:rPr>
    </w:lvl>
    <w:lvl w:ilvl="4" w:tplc="B23C1DEC">
      <w:start w:val="1"/>
      <w:numFmt w:val="bullet"/>
      <w:lvlText w:val="•"/>
      <w:lvlJc w:val="left"/>
      <w:pPr>
        <w:ind w:left="3538" w:hanging="361"/>
      </w:pPr>
      <w:rPr>
        <w:rFonts w:hint="default"/>
      </w:rPr>
    </w:lvl>
    <w:lvl w:ilvl="5" w:tplc="287C6BA2">
      <w:start w:val="1"/>
      <w:numFmt w:val="bullet"/>
      <w:lvlText w:val="•"/>
      <w:lvlJc w:val="left"/>
      <w:pPr>
        <w:ind w:left="4440" w:hanging="361"/>
      </w:pPr>
      <w:rPr>
        <w:rFonts w:hint="default"/>
      </w:rPr>
    </w:lvl>
    <w:lvl w:ilvl="6" w:tplc="93CC95CC">
      <w:start w:val="1"/>
      <w:numFmt w:val="bullet"/>
      <w:lvlText w:val="•"/>
      <w:lvlJc w:val="left"/>
      <w:pPr>
        <w:ind w:left="5342" w:hanging="361"/>
      </w:pPr>
      <w:rPr>
        <w:rFonts w:hint="default"/>
      </w:rPr>
    </w:lvl>
    <w:lvl w:ilvl="7" w:tplc="23F243F8">
      <w:start w:val="1"/>
      <w:numFmt w:val="bullet"/>
      <w:lvlText w:val="•"/>
      <w:lvlJc w:val="left"/>
      <w:pPr>
        <w:ind w:left="6244" w:hanging="361"/>
      </w:pPr>
      <w:rPr>
        <w:rFonts w:hint="default"/>
      </w:rPr>
    </w:lvl>
    <w:lvl w:ilvl="8" w:tplc="F2EC0470">
      <w:start w:val="1"/>
      <w:numFmt w:val="bullet"/>
      <w:lvlText w:val="•"/>
      <w:lvlJc w:val="left"/>
      <w:pPr>
        <w:ind w:left="7146" w:hanging="361"/>
      </w:pPr>
      <w:rPr>
        <w:rFonts w:hint="default"/>
      </w:rPr>
    </w:lvl>
  </w:abstractNum>
  <w:abstractNum w:abstractNumId="20" w15:restartNumberingAfterBreak="0">
    <w:nsid w:val="6E8A769C"/>
    <w:multiLevelType w:val="hybridMultilevel"/>
    <w:tmpl w:val="58A2C14E"/>
    <w:lvl w:ilvl="0" w:tplc="0CD6F028">
      <w:start w:val="21"/>
      <w:numFmt w:val="bullet"/>
      <w:lvlText w:val="-"/>
      <w:lvlJc w:val="left"/>
      <w:pPr>
        <w:tabs>
          <w:tab w:val="num" w:pos="417"/>
        </w:tabs>
        <w:ind w:left="417" w:hanging="360"/>
      </w:pPr>
      <w:rPr>
        <w:rFonts w:hint="default"/>
      </w:rPr>
    </w:lvl>
    <w:lvl w:ilvl="1" w:tplc="E25EE3D6">
      <w:start w:val="1"/>
      <w:numFmt w:val="bullet"/>
      <w:lvlText w:val="o"/>
      <w:lvlJc w:val="left"/>
      <w:pPr>
        <w:tabs>
          <w:tab w:val="num" w:pos="1497"/>
        </w:tabs>
        <w:ind w:left="1497" w:hanging="360"/>
      </w:pPr>
      <w:rPr>
        <w:rFonts w:ascii="Courier New" w:hAnsi="Courier New" w:cs="Courier New" w:hint="default"/>
      </w:rPr>
    </w:lvl>
    <w:lvl w:ilvl="2" w:tplc="14B82478">
      <w:start w:val="1"/>
      <w:numFmt w:val="bullet"/>
      <w:lvlText w:val=""/>
      <w:lvlJc w:val="left"/>
      <w:pPr>
        <w:tabs>
          <w:tab w:val="num" w:pos="2217"/>
        </w:tabs>
        <w:ind w:left="2217" w:hanging="360"/>
      </w:pPr>
      <w:rPr>
        <w:rFonts w:ascii="Wingdings" w:hAnsi="Wingdings" w:cs="Times New Roman" w:hint="default"/>
      </w:rPr>
    </w:lvl>
    <w:lvl w:ilvl="3" w:tplc="67B62A66">
      <w:start w:val="1"/>
      <w:numFmt w:val="bullet"/>
      <w:lvlText w:val=""/>
      <w:lvlJc w:val="left"/>
      <w:pPr>
        <w:tabs>
          <w:tab w:val="num" w:pos="2937"/>
        </w:tabs>
        <w:ind w:left="2937" w:hanging="360"/>
      </w:pPr>
      <w:rPr>
        <w:rFonts w:ascii="Symbol" w:hAnsi="Symbol" w:cs="Times New Roman" w:hint="default"/>
      </w:rPr>
    </w:lvl>
    <w:lvl w:ilvl="4" w:tplc="FA261992">
      <w:start w:val="1"/>
      <w:numFmt w:val="bullet"/>
      <w:lvlText w:val="o"/>
      <w:lvlJc w:val="left"/>
      <w:pPr>
        <w:tabs>
          <w:tab w:val="num" w:pos="3657"/>
        </w:tabs>
        <w:ind w:left="3657" w:hanging="360"/>
      </w:pPr>
      <w:rPr>
        <w:rFonts w:ascii="Courier New" w:hAnsi="Courier New" w:cs="Courier New" w:hint="default"/>
      </w:rPr>
    </w:lvl>
    <w:lvl w:ilvl="5" w:tplc="61D6D8A8">
      <w:start w:val="1"/>
      <w:numFmt w:val="bullet"/>
      <w:lvlText w:val=""/>
      <w:lvlJc w:val="left"/>
      <w:pPr>
        <w:tabs>
          <w:tab w:val="num" w:pos="4377"/>
        </w:tabs>
        <w:ind w:left="4377" w:hanging="360"/>
      </w:pPr>
      <w:rPr>
        <w:rFonts w:ascii="Wingdings" w:hAnsi="Wingdings" w:cs="Times New Roman" w:hint="default"/>
      </w:rPr>
    </w:lvl>
    <w:lvl w:ilvl="6" w:tplc="24E61618">
      <w:start w:val="1"/>
      <w:numFmt w:val="bullet"/>
      <w:lvlText w:val=""/>
      <w:lvlJc w:val="left"/>
      <w:pPr>
        <w:tabs>
          <w:tab w:val="num" w:pos="5097"/>
        </w:tabs>
        <w:ind w:left="5097" w:hanging="360"/>
      </w:pPr>
      <w:rPr>
        <w:rFonts w:ascii="Symbol" w:hAnsi="Symbol" w:cs="Times New Roman" w:hint="default"/>
      </w:rPr>
    </w:lvl>
    <w:lvl w:ilvl="7" w:tplc="FC10873E">
      <w:start w:val="1"/>
      <w:numFmt w:val="bullet"/>
      <w:lvlText w:val="o"/>
      <w:lvlJc w:val="left"/>
      <w:pPr>
        <w:tabs>
          <w:tab w:val="num" w:pos="5817"/>
        </w:tabs>
        <w:ind w:left="5817" w:hanging="360"/>
      </w:pPr>
      <w:rPr>
        <w:rFonts w:ascii="Courier New" w:hAnsi="Courier New" w:cs="Courier New" w:hint="default"/>
      </w:rPr>
    </w:lvl>
    <w:lvl w:ilvl="8" w:tplc="EB7CB8FA">
      <w:start w:val="1"/>
      <w:numFmt w:val="bullet"/>
      <w:lvlText w:val=""/>
      <w:lvlJc w:val="left"/>
      <w:pPr>
        <w:tabs>
          <w:tab w:val="num" w:pos="6537"/>
        </w:tabs>
        <w:ind w:left="6537" w:hanging="360"/>
      </w:pPr>
      <w:rPr>
        <w:rFonts w:ascii="Wingdings" w:hAnsi="Wingdings" w:cs="Times New Roman" w:hint="default"/>
      </w:rPr>
    </w:lvl>
  </w:abstractNum>
  <w:abstractNum w:abstractNumId="21" w15:restartNumberingAfterBreak="0">
    <w:nsid w:val="77AE171A"/>
    <w:multiLevelType w:val="hybridMultilevel"/>
    <w:tmpl w:val="D4B4B14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00D28"/>
    <w:multiLevelType w:val="hybridMultilevel"/>
    <w:tmpl w:val="2F94C0BA"/>
    <w:lvl w:ilvl="0" w:tplc="A54AB5B4">
      <w:start w:val="1"/>
      <w:numFmt w:val="upperLetter"/>
      <w:lvlText w:val="%1."/>
      <w:lvlJc w:val="left"/>
      <w:pPr>
        <w:ind w:left="5670" w:hanging="5670"/>
      </w:pPr>
      <w:rPr>
        <w:b/>
      </w:rPr>
    </w:lvl>
    <w:lvl w:ilvl="1" w:tplc="39C83ED0">
      <w:start w:val="1"/>
      <w:numFmt w:val="decimal"/>
      <w:lvlText w:val="%2."/>
      <w:lvlJc w:val="left"/>
      <w:pPr>
        <w:ind w:left="1650" w:hanging="570"/>
      </w:pPr>
      <w:rPr>
        <w:b/>
        <w:i w:val="0"/>
      </w:rPr>
    </w:lvl>
    <w:lvl w:ilvl="2" w:tplc="0E36820A">
      <w:start w:val="1"/>
      <w:numFmt w:val="lowerRoman"/>
      <w:lvlText w:val="%3."/>
      <w:lvlJc w:val="right"/>
      <w:pPr>
        <w:ind w:left="2160" w:hanging="180"/>
      </w:pPr>
    </w:lvl>
    <w:lvl w:ilvl="3" w:tplc="45A424E6">
      <w:start w:val="1"/>
      <w:numFmt w:val="decimal"/>
      <w:lvlText w:val="%4."/>
      <w:lvlJc w:val="left"/>
      <w:pPr>
        <w:ind w:left="2880" w:hanging="360"/>
      </w:pPr>
    </w:lvl>
    <w:lvl w:ilvl="4" w:tplc="069AB026">
      <w:start w:val="1"/>
      <w:numFmt w:val="lowerLetter"/>
      <w:lvlText w:val="%5."/>
      <w:lvlJc w:val="left"/>
      <w:pPr>
        <w:ind w:left="3600" w:hanging="360"/>
      </w:pPr>
    </w:lvl>
    <w:lvl w:ilvl="5" w:tplc="335CB158">
      <w:start w:val="1"/>
      <w:numFmt w:val="lowerRoman"/>
      <w:lvlText w:val="%6."/>
      <w:lvlJc w:val="right"/>
      <w:pPr>
        <w:ind w:left="4320" w:hanging="180"/>
      </w:pPr>
    </w:lvl>
    <w:lvl w:ilvl="6" w:tplc="EBB2D42E">
      <w:start w:val="1"/>
      <w:numFmt w:val="decimal"/>
      <w:lvlText w:val="%7."/>
      <w:lvlJc w:val="left"/>
      <w:pPr>
        <w:ind w:left="5040" w:hanging="360"/>
      </w:pPr>
    </w:lvl>
    <w:lvl w:ilvl="7" w:tplc="9FB20C3A">
      <w:start w:val="1"/>
      <w:numFmt w:val="lowerLetter"/>
      <w:lvlText w:val="%8."/>
      <w:lvlJc w:val="left"/>
      <w:pPr>
        <w:ind w:left="5760" w:hanging="360"/>
      </w:pPr>
    </w:lvl>
    <w:lvl w:ilvl="8" w:tplc="6E60CF36">
      <w:start w:val="1"/>
      <w:numFmt w:val="lowerRoman"/>
      <w:lvlText w:val="%9."/>
      <w:lvlJc w:val="right"/>
      <w:pPr>
        <w:ind w:left="6480" w:hanging="180"/>
      </w:pPr>
    </w:lvl>
  </w:abstractNum>
  <w:abstractNum w:abstractNumId="23" w15:restartNumberingAfterBreak="0">
    <w:nsid w:val="7DD477FF"/>
    <w:multiLevelType w:val="hybridMultilevel"/>
    <w:tmpl w:val="ACB636D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449135">
    <w:abstractNumId w:val="20"/>
  </w:num>
  <w:num w:numId="2" w16cid:durableId="1955480163">
    <w:abstractNumId w:val="4"/>
  </w:num>
  <w:num w:numId="3" w16cid:durableId="1991985144">
    <w:abstractNumId w:val="13"/>
  </w:num>
  <w:num w:numId="4" w16cid:durableId="189731128">
    <w:abstractNumId w:val="14"/>
  </w:num>
  <w:num w:numId="5" w16cid:durableId="1046099404">
    <w:abstractNumId w:val="10"/>
  </w:num>
  <w:num w:numId="6" w16cid:durableId="964459890">
    <w:abstractNumId w:val="0"/>
    <w:lvlOverride w:ilvl="0">
      <w:lvl w:ilvl="0">
        <w:start w:val="1"/>
        <w:numFmt w:val="bullet"/>
        <w:lvlText w:val=""/>
        <w:lvlJc w:val="left"/>
        <w:pPr>
          <w:ind w:left="360" w:hanging="360"/>
        </w:pPr>
        <w:rPr>
          <w:rFonts w:ascii="Symbol" w:hAnsi="Symbol" w:hint="default"/>
        </w:rPr>
      </w:lvl>
    </w:lvlOverride>
  </w:num>
  <w:num w:numId="7" w16cid:durableId="89283161">
    <w:abstractNumId w:val="2"/>
  </w:num>
  <w:num w:numId="8" w16cid:durableId="576090481">
    <w:abstractNumId w:val="5"/>
  </w:num>
  <w:num w:numId="9" w16cid:durableId="21374119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22206">
    <w:abstractNumId w:val="16"/>
  </w:num>
  <w:num w:numId="11" w16cid:durableId="217668871">
    <w:abstractNumId w:val="3"/>
  </w:num>
  <w:num w:numId="12" w16cid:durableId="815608109">
    <w:abstractNumId w:val="9"/>
  </w:num>
  <w:num w:numId="13" w16cid:durableId="587465976">
    <w:abstractNumId w:val="6"/>
  </w:num>
  <w:num w:numId="14" w16cid:durableId="1661033411">
    <w:abstractNumId w:val="1"/>
  </w:num>
  <w:num w:numId="15" w16cid:durableId="2050255011">
    <w:abstractNumId w:val="15"/>
  </w:num>
  <w:num w:numId="16" w16cid:durableId="1562788837">
    <w:abstractNumId w:val="12"/>
  </w:num>
  <w:num w:numId="17" w16cid:durableId="1085764432">
    <w:abstractNumId w:val="18"/>
  </w:num>
  <w:num w:numId="18" w16cid:durableId="718631131">
    <w:abstractNumId w:val="8"/>
  </w:num>
  <w:num w:numId="19" w16cid:durableId="532380703">
    <w:abstractNumId w:val="21"/>
  </w:num>
  <w:num w:numId="20" w16cid:durableId="30108362">
    <w:abstractNumId w:val="7"/>
  </w:num>
  <w:num w:numId="21" w16cid:durableId="1352145232">
    <w:abstractNumId w:val="11"/>
  </w:num>
  <w:num w:numId="22" w16cid:durableId="1218199494">
    <w:abstractNumId w:val="17"/>
  </w:num>
  <w:num w:numId="23" w16cid:durableId="2107265413">
    <w:abstractNumId w:val="23"/>
  </w:num>
  <w:num w:numId="24" w16cid:durableId="10519207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65887"/>
    <w:rsid w:val="00006299"/>
    <w:rsid w:val="00021E1E"/>
    <w:rsid w:val="00026849"/>
    <w:rsid w:val="0004119A"/>
    <w:rsid w:val="00041D0E"/>
    <w:rsid w:val="00045752"/>
    <w:rsid w:val="000460B0"/>
    <w:rsid w:val="00051196"/>
    <w:rsid w:val="00052043"/>
    <w:rsid w:val="00054767"/>
    <w:rsid w:val="00057A37"/>
    <w:rsid w:val="00062868"/>
    <w:rsid w:val="00062F3D"/>
    <w:rsid w:val="00063335"/>
    <w:rsid w:val="000652D0"/>
    <w:rsid w:val="00074C0D"/>
    <w:rsid w:val="0007511F"/>
    <w:rsid w:val="00077EA5"/>
    <w:rsid w:val="0008166E"/>
    <w:rsid w:val="00083BEC"/>
    <w:rsid w:val="00091965"/>
    <w:rsid w:val="0009363A"/>
    <w:rsid w:val="000A371D"/>
    <w:rsid w:val="000A4798"/>
    <w:rsid w:val="000A505A"/>
    <w:rsid w:val="000A6B9A"/>
    <w:rsid w:val="000A75D7"/>
    <w:rsid w:val="000B0C2B"/>
    <w:rsid w:val="000B173D"/>
    <w:rsid w:val="000B4077"/>
    <w:rsid w:val="000B45E8"/>
    <w:rsid w:val="000B6C00"/>
    <w:rsid w:val="000C02CA"/>
    <w:rsid w:val="000C6C91"/>
    <w:rsid w:val="000C7E15"/>
    <w:rsid w:val="000D1288"/>
    <w:rsid w:val="000D4ED9"/>
    <w:rsid w:val="000D681B"/>
    <w:rsid w:val="000D7EE1"/>
    <w:rsid w:val="000E1AE9"/>
    <w:rsid w:val="000E7460"/>
    <w:rsid w:val="000F2216"/>
    <w:rsid w:val="000F60EB"/>
    <w:rsid w:val="00121C5D"/>
    <w:rsid w:val="00123534"/>
    <w:rsid w:val="00130083"/>
    <w:rsid w:val="00130853"/>
    <w:rsid w:val="001314E7"/>
    <w:rsid w:val="00150EC6"/>
    <w:rsid w:val="00154F7F"/>
    <w:rsid w:val="00160E76"/>
    <w:rsid w:val="00175292"/>
    <w:rsid w:val="00182156"/>
    <w:rsid w:val="001947DD"/>
    <w:rsid w:val="001A25A3"/>
    <w:rsid w:val="001B0364"/>
    <w:rsid w:val="001C24B0"/>
    <w:rsid w:val="001C381D"/>
    <w:rsid w:val="001D2CC1"/>
    <w:rsid w:val="001D7BD4"/>
    <w:rsid w:val="001E18DB"/>
    <w:rsid w:val="001E30BA"/>
    <w:rsid w:val="001E3F5C"/>
    <w:rsid w:val="001E6329"/>
    <w:rsid w:val="001F1BBA"/>
    <w:rsid w:val="001F79FA"/>
    <w:rsid w:val="002003F8"/>
    <w:rsid w:val="0021036C"/>
    <w:rsid w:val="00211DFE"/>
    <w:rsid w:val="00213DE8"/>
    <w:rsid w:val="002160F8"/>
    <w:rsid w:val="0023514F"/>
    <w:rsid w:val="00250A94"/>
    <w:rsid w:val="00252855"/>
    <w:rsid w:val="00255523"/>
    <w:rsid w:val="00260BAF"/>
    <w:rsid w:val="00263AD1"/>
    <w:rsid w:val="0027088C"/>
    <w:rsid w:val="00270C2B"/>
    <w:rsid w:val="0027243C"/>
    <w:rsid w:val="00273B30"/>
    <w:rsid w:val="0028430C"/>
    <w:rsid w:val="0029112D"/>
    <w:rsid w:val="002A1EE9"/>
    <w:rsid w:val="002A2FE3"/>
    <w:rsid w:val="002B10FB"/>
    <w:rsid w:val="002C0587"/>
    <w:rsid w:val="002D3CF7"/>
    <w:rsid w:val="002D4164"/>
    <w:rsid w:val="002E3DC2"/>
    <w:rsid w:val="002E5C20"/>
    <w:rsid w:val="002E5C48"/>
    <w:rsid w:val="002F2A56"/>
    <w:rsid w:val="002F2B86"/>
    <w:rsid w:val="003008B2"/>
    <w:rsid w:val="0031270B"/>
    <w:rsid w:val="003138CE"/>
    <w:rsid w:val="00314C0E"/>
    <w:rsid w:val="00314FEB"/>
    <w:rsid w:val="00337BB8"/>
    <w:rsid w:val="00354343"/>
    <w:rsid w:val="00354909"/>
    <w:rsid w:val="00356391"/>
    <w:rsid w:val="00357A53"/>
    <w:rsid w:val="003617C8"/>
    <w:rsid w:val="0036479C"/>
    <w:rsid w:val="0036702D"/>
    <w:rsid w:val="003745BC"/>
    <w:rsid w:val="00384E82"/>
    <w:rsid w:val="003932C8"/>
    <w:rsid w:val="00397AB4"/>
    <w:rsid w:val="003A1A70"/>
    <w:rsid w:val="003A234A"/>
    <w:rsid w:val="003A37B1"/>
    <w:rsid w:val="003A7289"/>
    <w:rsid w:val="003B20C1"/>
    <w:rsid w:val="003B7AEE"/>
    <w:rsid w:val="003C4E23"/>
    <w:rsid w:val="003D1EA8"/>
    <w:rsid w:val="003D5AEC"/>
    <w:rsid w:val="003E4890"/>
    <w:rsid w:val="003E4D51"/>
    <w:rsid w:val="003F2B5E"/>
    <w:rsid w:val="003F7E8C"/>
    <w:rsid w:val="0040020C"/>
    <w:rsid w:val="00400495"/>
    <w:rsid w:val="00400E7E"/>
    <w:rsid w:val="00403765"/>
    <w:rsid w:val="00415366"/>
    <w:rsid w:val="004214B8"/>
    <w:rsid w:val="00425221"/>
    <w:rsid w:val="00430B13"/>
    <w:rsid w:val="00431981"/>
    <w:rsid w:val="00432524"/>
    <w:rsid w:val="00434CF7"/>
    <w:rsid w:val="00436F6D"/>
    <w:rsid w:val="00445CD6"/>
    <w:rsid w:val="00456D63"/>
    <w:rsid w:val="00457961"/>
    <w:rsid w:val="00460DFA"/>
    <w:rsid w:val="00462A8E"/>
    <w:rsid w:val="004703F9"/>
    <w:rsid w:val="00473753"/>
    <w:rsid w:val="00474BFB"/>
    <w:rsid w:val="0048411C"/>
    <w:rsid w:val="00491E64"/>
    <w:rsid w:val="00495215"/>
    <w:rsid w:val="00496B48"/>
    <w:rsid w:val="004A6706"/>
    <w:rsid w:val="004A7B21"/>
    <w:rsid w:val="004D2D5D"/>
    <w:rsid w:val="004E0B6D"/>
    <w:rsid w:val="004E102E"/>
    <w:rsid w:val="004E154F"/>
    <w:rsid w:val="004E4734"/>
    <w:rsid w:val="004F0B5A"/>
    <w:rsid w:val="004F6504"/>
    <w:rsid w:val="00502A65"/>
    <w:rsid w:val="005055D8"/>
    <w:rsid w:val="00511854"/>
    <w:rsid w:val="00512178"/>
    <w:rsid w:val="00523146"/>
    <w:rsid w:val="00530A8D"/>
    <w:rsid w:val="00532902"/>
    <w:rsid w:val="00532C7A"/>
    <w:rsid w:val="00534F25"/>
    <w:rsid w:val="005355BC"/>
    <w:rsid w:val="00536804"/>
    <w:rsid w:val="0053752A"/>
    <w:rsid w:val="0053793B"/>
    <w:rsid w:val="00544574"/>
    <w:rsid w:val="00546FDF"/>
    <w:rsid w:val="005543F4"/>
    <w:rsid w:val="00562748"/>
    <w:rsid w:val="005646CF"/>
    <w:rsid w:val="00571103"/>
    <w:rsid w:val="00572D53"/>
    <w:rsid w:val="00574451"/>
    <w:rsid w:val="00580AD1"/>
    <w:rsid w:val="005815DC"/>
    <w:rsid w:val="005847A1"/>
    <w:rsid w:val="00584B78"/>
    <w:rsid w:val="005858B8"/>
    <w:rsid w:val="00585DB0"/>
    <w:rsid w:val="00591A98"/>
    <w:rsid w:val="005926CB"/>
    <w:rsid w:val="005A219B"/>
    <w:rsid w:val="005A41A9"/>
    <w:rsid w:val="005A5277"/>
    <w:rsid w:val="005A705A"/>
    <w:rsid w:val="005B6D9E"/>
    <w:rsid w:val="005B6E30"/>
    <w:rsid w:val="005C189A"/>
    <w:rsid w:val="005C4835"/>
    <w:rsid w:val="005E18BA"/>
    <w:rsid w:val="005E5146"/>
    <w:rsid w:val="005E5831"/>
    <w:rsid w:val="005F456B"/>
    <w:rsid w:val="005F7535"/>
    <w:rsid w:val="00600488"/>
    <w:rsid w:val="006045B6"/>
    <w:rsid w:val="00605BF5"/>
    <w:rsid w:val="00605FD3"/>
    <w:rsid w:val="006063B0"/>
    <w:rsid w:val="00613688"/>
    <w:rsid w:val="00625861"/>
    <w:rsid w:val="00625F6F"/>
    <w:rsid w:val="00627F4E"/>
    <w:rsid w:val="00632697"/>
    <w:rsid w:val="006342F5"/>
    <w:rsid w:val="00635504"/>
    <w:rsid w:val="00637609"/>
    <w:rsid w:val="0065185B"/>
    <w:rsid w:val="00653F95"/>
    <w:rsid w:val="00654311"/>
    <w:rsid w:val="0066002D"/>
    <w:rsid w:val="00661581"/>
    <w:rsid w:val="00664C08"/>
    <w:rsid w:val="00664C32"/>
    <w:rsid w:val="00665778"/>
    <w:rsid w:val="00667B58"/>
    <w:rsid w:val="00671753"/>
    <w:rsid w:val="00672D6A"/>
    <w:rsid w:val="00674798"/>
    <w:rsid w:val="0067582B"/>
    <w:rsid w:val="00681AD3"/>
    <w:rsid w:val="00690342"/>
    <w:rsid w:val="006920BB"/>
    <w:rsid w:val="00692EB6"/>
    <w:rsid w:val="00693A5C"/>
    <w:rsid w:val="00694C12"/>
    <w:rsid w:val="0069614A"/>
    <w:rsid w:val="00696261"/>
    <w:rsid w:val="0069742B"/>
    <w:rsid w:val="006A0129"/>
    <w:rsid w:val="006A0D41"/>
    <w:rsid w:val="006A24D6"/>
    <w:rsid w:val="006A32BD"/>
    <w:rsid w:val="006B0B98"/>
    <w:rsid w:val="006B6FB4"/>
    <w:rsid w:val="006C0D43"/>
    <w:rsid w:val="006C427E"/>
    <w:rsid w:val="006C725A"/>
    <w:rsid w:val="006D5855"/>
    <w:rsid w:val="006E6A7E"/>
    <w:rsid w:val="006F10BA"/>
    <w:rsid w:val="006F3CD8"/>
    <w:rsid w:val="006F6BE6"/>
    <w:rsid w:val="006F7008"/>
    <w:rsid w:val="00704987"/>
    <w:rsid w:val="00704AEA"/>
    <w:rsid w:val="00704B29"/>
    <w:rsid w:val="007079E3"/>
    <w:rsid w:val="0071317C"/>
    <w:rsid w:val="00713B17"/>
    <w:rsid w:val="0071487E"/>
    <w:rsid w:val="00715DDF"/>
    <w:rsid w:val="007216CC"/>
    <w:rsid w:val="00723CBC"/>
    <w:rsid w:val="00724B50"/>
    <w:rsid w:val="007301F0"/>
    <w:rsid w:val="0073399B"/>
    <w:rsid w:val="00750DF4"/>
    <w:rsid w:val="0075566D"/>
    <w:rsid w:val="00755CFD"/>
    <w:rsid w:val="0076126F"/>
    <w:rsid w:val="007633EC"/>
    <w:rsid w:val="007644BA"/>
    <w:rsid w:val="00764C0D"/>
    <w:rsid w:val="00767ACE"/>
    <w:rsid w:val="00774F76"/>
    <w:rsid w:val="00780819"/>
    <w:rsid w:val="0079120A"/>
    <w:rsid w:val="0079686A"/>
    <w:rsid w:val="007A4587"/>
    <w:rsid w:val="007A4FCF"/>
    <w:rsid w:val="007B02D4"/>
    <w:rsid w:val="007C0C39"/>
    <w:rsid w:val="007C0E9B"/>
    <w:rsid w:val="007C4877"/>
    <w:rsid w:val="007D2150"/>
    <w:rsid w:val="007E65C7"/>
    <w:rsid w:val="007F207B"/>
    <w:rsid w:val="007F2FBF"/>
    <w:rsid w:val="007F38C1"/>
    <w:rsid w:val="00801E04"/>
    <w:rsid w:val="008020B9"/>
    <w:rsid w:val="00811742"/>
    <w:rsid w:val="00812B78"/>
    <w:rsid w:val="00815C49"/>
    <w:rsid w:val="00816CEF"/>
    <w:rsid w:val="00816D85"/>
    <w:rsid w:val="00817724"/>
    <w:rsid w:val="00821E47"/>
    <w:rsid w:val="00833866"/>
    <w:rsid w:val="008461CD"/>
    <w:rsid w:val="00847878"/>
    <w:rsid w:val="00850185"/>
    <w:rsid w:val="00854B92"/>
    <w:rsid w:val="00857801"/>
    <w:rsid w:val="00860ADB"/>
    <w:rsid w:val="00863254"/>
    <w:rsid w:val="008665C6"/>
    <w:rsid w:val="008727B2"/>
    <w:rsid w:val="00876312"/>
    <w:rsid w:val="008776BB"/>
    <w:rsid w:val="00881049"/>
    <w:rsid w:val="008834D5"/>
    <w:rsid w:val="008853AE"/>
    <w:rsid w:val="00891429"/>
    <w:rsid w:val="00897D99"/>
    <w:rsid w:val="008A6BE7"/>
    <w:rsid w:val="008A7B40"/>
    <w:rsid w:val="008B47F0"/>
    <w:rsid w:val="008B6D54"/>
    <w:rsid w:val="008B7615"/>
    <w:rsid w:val="008C259A"/>
    <w:rsid w:val="008C41C2"/>
    <w:rsid w:val="008D3C28"/>
    <w:rsid w:val="008D3D04"/>
    <w:rsid w:val="008E1802"/>
    <w:rsid w:val="008E3E1F"/>
    <w:rsid w:val="008E74FC"/>
    <w:rsid w:val="008F0DF4"/>
    <w:rsid w:val="008F3182"/>
    <w:rsid w:val="008F6700"/>
    <w:rsid w:val="008F6785"/>
    <w:rsid w:val="009162D4"/>
    <w:rsid w:val="009225AA"/>
    <w:rsid w:val="00923B63"/>
    <w:rsid w:val="00926EF5"/>
    <w:rsid w:val="009273F2"/>
    <w:rsid w:val="00927B6C"/>
    <w:rsid w:val="00931BD5"/>
    <w:rsid w:val="00937F41"/>
    <w:rsid w:val="00941257"/>
    <w:rsid w:val="00943FD6"/>
    <w:rsid w:val="0094761D"/>
    <w:rsid w:val="00947F39"/>
    <w:rsid w:val="00951BAE"/>
    <w:rsid w:val="009557D3"/>
    <w:rsid w:val="00955A2F"/>
    <w:rsid w:val="00957E51"/>
    <w:rsid w:val="0096143E"/>
    <w:rsid w:val="00967092"/>
    <w:rsid w:val="00976E82"/>
    <w:rsid w:val="0098098B"/>
    <w:rsid w:val="009810F4"/>
    <w:rsid w:val="00993641"/>
    <w:rsid w:val="009A27FF"/>
    <w:rsid w:val="009A357D"/>
    <w:rsid w:val="009A3AC7"/>
    <w:rsid w:val="009A615E"/>
    <w:rsid w:val="009A7231"/>
    <w:rsid w:val="009B0BAC"/>
    <w:rsid w:val="009B5769"/>
    <w:rsid w:val="009B68E2"/>
    <w:rsid w:val="009B6E4E"/>
    <w:rsid w:val="009C5FB5"/>
    <w:rsid w:val="009D06FA"/>
    <w:rsid w:val="009D41F2"/>
    <w:rsid w:val="009E170A"/>
    <w:rsid w:val="009E1EC1"/>
    <w:rsid w:val="009E5BA9"/>
    <w:rsid w:val="009E6D8C"/>
    <w:rsid w:val="009F4528"/>
    <w:rsid w:val="009F5DD3"/>
    <w:rsid w:val="009F7EA7"/>
    <w:rsid w:val="00A1364A"/>
    <w:rsid w:val="00A1467D"/>
    <w:rsid w:val="00A24AD8"/>
    <w:rsid w:val="00A32395"/>
    <w:rsid w:val="00A43050"/>
    <w:rsid w:val="00A4335D"/>
    <w:rsid w:val="00A44ED0"/>
    <w:rsid w:val="00A527C0"/>
    <w:rsid w:val="00A5508E"/>
    <w:rsid w:val="00A561E0"/>
    <w:rsid w:val="00A64B84"/>
    <w:rsid w:val="00A65887"/>
    <w:rsid w:val="00A72C20"/>
    <w:rsid w:val="00A817A9"/>
    <w:rsid w:val="00A8321B"/>
    <w:rsid w:val="00A835E6"/>
    <w:rsid w:val="00A8500E"/>
    <w:rsid w:val="00A90BE4"/>
    <w:rsid w:val="00A934AA"/>
    <w:rsid w:val="00A9695F"/>
    <w:rsid w:val="00AA3918"/>
    <w:rsid w:val="00AB6146"/>
    <w:rsid w:val="00AB6220"/>
    <w:rsid w:val="00AD7D07"/>
    <w:rsid w:val="00AE1F84"/>
    <w:rsid w:val="00AE32AA"/>
    <w:rsid w:val="00AE554F"/>
    <w:rsid w:val="00AF1429"/>
    <w:rsid w:val="00AF2527"/>
    <w:rsid w:val="00AF338E"/>
    <w:rsid w:val="00AF33D7"/>
    <w:rsid w:val="00AF3493"/>
    <w:rsid w:val="00AF594B"/>
    <w:rsid w:val="00AF6997"/>
    <w:rsid w:val="00B067BA"/>
    <w:rsid w:val="00B105A3"/>
    <w:rsid w:val="00B107E3"/>
    <w:rsid w:val="00B13223"/>
    <w:rsid w:val="00B175AF"/>
    <w:rsid w:val="00B217C5"/>
    <w:rsid w:val="00B23E28"/>
    <w:rsid w:val="00B301C2"/>
    <w:rsid w:val="00B31C1C"/>
    <w:rsid w:val="00B325CC"/>
    <w:rsid w:val="00B336C2"/>
    <w:rsid w:val="00B34ADC"/>
    <w:rsid w:val="00B3590F"/>
    <w:rsid w:val="00B40922"/>
    <w:rsid w:val="00B42673"/>
    <w:rsid w:val="00B56DDC"/>
    <w:rsid w:val="00B6390F"/>
    <w:rsid w:val="00B64C05"/>
    <w:rsid w:val="00B650A1"/>
    <w:rsid w:val="00B7060F"/>
    <w:rsid w:val="00B7245C"/>
    <w:rsid w:val="00B758AF"/>
    <w:rsid w:val="00B8551F"/>
    <w:rsid w:val="00B86B78"/>
    <w:rsid w:val="00B87475"/>
    <w:rsid w:val="00B915FF"/>
    <w:rsid w:val="00B96D4E"/>
    <w:rsid w:val="00BA13D3"/>
    <w:rsid w:val="00BA18D5"/>
    <w:rsid w:val="00BA3398"/>
    <w:rsid w:val="00BB041B"/>
    <w:rsid w:val="00BB2235"/>
    <w:rsid w:val="00BB29AD"/>
    <w:rsid w:val="00BC36F7"/>
    <w:rsid w:val="00BD2BB7"/>
    <w:rsid w:val="00BD49F5"/>
    <w:rsid w:val="00BE0F88"/>
    <w:rsid w:val="00BE2634"/>
    <w:rsid w:val="00BF3645"/>
    <w:rsid w:val="00C02F4C"/>
    <w:rsid w:val="00C058B2"/>
    <w:rsid w:val="00C14BC3"/>
    <w:rsid w:val="00C15A30"/>
    <w:rsid w:val="00C208C0"/>
    <w:rsid w:val="00C211FF"/>
    <w:rsid w:val="00C2295E"/>
    <w:rsid w:val="00C23D97"/>
    <w:rsid w:val="00C265BD"/>
    <w:rsid w:val="00C32736"/>
    <w:rsid w:val="00C35A86"/>
    <w:rsid w:val="00C40618"/>
    <w:rsid w:val="00C427B8"/>
    <w:rsid w:val="00C450E7"/>
    <w:rsid w:val="00C47406"/>
    <w:rsid w:val="00C616B6"/>
    <w:rsid w:val="00C65E0C"/>
    <w:rsid w:val="00C82025"/>
    <w:rsid w:val="00C901BF"/>
    <w:rsid w:val="00C903E5"/>
    <w:rsid w:val="00C90AED"/>
    <w:rsid w:val="00C974B2"/>
    <w:rsid w:val="00CA15A3"/>
    <w:rsid w:val="00CA1893"/>
    <w:rsid w:val="00CA58C0"/>
    <w:rsid w:val="00CA6B6F"/>
    <w:rsid w:val="00CA75AE"/>
    <w:rsid w:val="00CA7933"/>
    <w:rsid w:val="00CB361E"/>
    <w:rsid w:val="00CB3BC5"/>
    <w:rsid w:val="00CB3E5B"/>
    <w:rsid w:val="00CC25EE"/>
    <w:rsid w:val="00CC3A6C"/>
    <w:rsid w:val="00CC54EF"/>
    <w:rsid w:val="00CC59BC"/>
    <w:rsid w:val="00CC6F84"/>
    <w:rsid w:val="00CD4EC8"/>
    <w:rsid w:val="00CE23D6"/>
    <w:rsid w:val="00CE29CA"/>
    <w:rsid w:val="00CE4738"/>
    <w:rsid w:val="00CE7915"/>
    <w:rsid w:val="00CF05B4"/>
    <w:rsid w:val="00CF23EB"/>
    <w:rsid w:val="00CF405E"/>
    <w:rsid w:val="00D017E6"/>
    <w:rsid w:val="00D01FFA"/>
    <w:rsid w:val="00D02151"/>
    <w:rsid w:val="00D021A1"/>
    <w:rsid w:val="00D04F7E"/>
    <w:rsid w:val="00D11D58"/>
    <w:rsid w:val="00D143BB"/>
    <w:rsid w:val="00D1441D"/>
    <w:rsid w:val="00D15875"/>
    <w:rsid w:val="00D15F12"/>
    <w:rsid w:val="00D21C12"/>
    <w:rsid w:val="00D26BB8"/>
    <w:rsid w:val="00D27DBD"/>
    <w:rsid w:val="00D31C51"/>
    <w:rsid w:val="00D36E82"/>
    <w:rsid w:val="00D37407"/>
    <w:rsid w:val="00D411FD"/>
    <w:rsid w:val="00D669BA"/>
    <w:rsid w:val="00D70FA1"/>
    <w:rsid w:val="00D747A6"/>
    <w:rsid w:val="00D75F03"/>
    <w:rsid w:val="00D772E3"/>
    <w:rsid w:val="00D85092"/>
    <w:rsid w:val="00D877A1"/>
    <w:rsid w:val="00D9784E"/>
    <w:rsid w:val="00DA2E36"/>
    <w:rsid w:val="00DA48DE"/>
    <w:rsid w:val="00DA5831"/>
    <w:rsid w:val="00DA778E"/>
    <w:rsid w:val="00DB105B"/>
    <w:rsid w:val="00DB13CA"/>
    <w:rsid w:val="00DB171F"/>
    <w:rsid w:val="00DB58DE"/>
    <w:rsid w:val="00DB60F9"/>
    <w:rsid w:val="00DB67F7"/>
    <w:rsid w:val="00DC2367"/>
    <w:rsid w:val="00DD19E2"/>
    <w:rsid w:val="00DD4FCF"/>
    <w:rsid w:val="00DD6D0E"/>
    <w:rsid w:val="00DE1712"/>
    <w:rsid w:val="00DE375E"/>
    <w:rsid w:val="00E027B6"/>
    <w:rsid w:val="00E11D8A"/>
    <w:rsid w:val="00E13B13"/>
    <w:rsid w:val="00E13D16"/>
    <w:rsid w:val="00E14CB4"/>
    <w:rsid w:val="00E16155"/>
    <w:rsid w:val="00E16FC1"/>
    <w:rsid w:val="00E21029"/>
    <w:rsid w:val="00E2465A"/>
    <w:rsid w:val="00E271FF"/>
    <w:rsid w:val="00E30111"/>
    <w:rsid w:val="00E33071"/>
    <w:rsid w:val="00E41D7A"/>
    <w:rsid w:val="00E44389"/>
    <w:rsid w:val="00E464A3"/>
    <w:rsid w:val="00E47A6D"/>
    <w:rsid w:val="00E5573F"/>
    <w:rsid w:val="00E61523"/>
    <w:rsid w:val="00E61B45"/>
    <w:rsid w:val="00E61CF4"/>
    <w:rsid w:val="00E63AF9"/>
    <w:rsid w:val="00E654FD"/>
    <w:rsid w:val="00E753CB"/>
    <w:rsid w:val="00E76A0C"/>
    <w:rsid w:val="00E84245"/>
    <w:rsid w:val="00E9547D"/>
    <w:rsid w:val="00E95D98"/>
    <w:rsid w:val="00EA59BF"/>
    <w:rsid w:val="00EB22B8"/>
    <w:rsid w:val="00EB4992"/>
    <w:rsid w:val="00EC08D3"/>
    <w:rsid w:val="00EC14CA"/>
    <w:rsid w:val="00EC245B"/>
    <w:rsid w:val="00ED1470"/>
    <w:rsid w:val="00ED4CA7"/>
    <w:rsid w:val="00EE3867"/>
    <w:rsid w:val="00EE3A14"/>
    <w:rsid w:val="00EE5508"/>
    <w:rsid w:val="00EE6279"/>
    <w:rsid w:val="00EF0863"/>
    <w:rsid w:val="00EF1A90"/>
    <w:rsid w:val="00EF5FCC"/>
    <w:rsid w:val="00EF66BA"/>
    <w:rsid w:val="00EF6FED"/>
    <w:rsid w:val="00F013B8"/>
    <w:rsid w:val="00F016A7"/>
    <w:rsid w:val="00F0331A"/>
    <w:rsid w:val="00F05483"/>
    <w:rsid w:val="00F077DF"/>
    <w:rsid w:val="00F07B2D"/>
    <w:rsid w:val="00F10BB7"/>
    <w:rsid w:val="00F10E1A"/>
    <w:rsid w:val="00F17565"/>
    <w:rsid w:val="00F35835"/>
    <w:rsid w:val="00F415A8"/>
    <w:rsid w:val="00F4445F"/>
    <w:rsid w:val="00F457D1"/>
    <w:rsid w:val="00F51F73"/>
    <w:rsid w:val="00F52678"/>
    <w:rsid w:val="00F61051"/>
    <w:rsid w:val="00F71D06"/>
    <w:rsid w:val="00F72055"/>
    <w:rsid w:val="00F75066"/>
    <w:rsid w:val="00F761F1"/>
    <w:rsid w:val="00F8013B"/>
    <w:rsid w:val="00F839C6"/>
    <w:rsid w:val="00F87A78"/>
    <w:rsid w:val="00F92358"/>
    <w:rsid w:val="00F974D8"/>
    <w:rsid w:val="00FA0599"/>
    <w:rsid w:val="00FA1665"/>
    <w:rsid w:val="00FA338A"/>
    <w:rsid w:val="00FB0B9F"/>
    <w:rsid w:val="00FB10C8"/>
    <w:rsid w:val="00FB149B"/>
    <w:rsid w:val="00FB1802"/>
    <w:rsid w:val="00FB2DBC"/>
    <w:rsid w:val="00FB2EBB"/>
    <w:rsid w:val="00FB42E1"/>
    <w:rsid w:val="00FB6A06"/>
    <w:rsid w:val="00FC1DD5"/>
    <w:rsid w:val="00FC4E49"/>
    <w:rsid w:val="00FC6643"/>
    <w:rsid w:val="00FC68A7"/>
    <w:rsid w:val="00FC79D5"/>
    <w:rsid w:val="00FD79AB"/>
    <w:rsid w:val="00FE06E3"/>
    <w:rsid w:val="00FE16E7"/>
    <w:rsid w:val="00FE2E24"/>
    <w:rsid w:val="00FE5007"/>
    <w:rsid w:val="00FE7FC5"/>
    <w:rsid w:val="00FF0CF0"/>
    <w:rsid w:val="00FF5A4B"/>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003A51"/>
  <w15:docId w15:val="{CDA50EB4-36CD-4C11-BD61-21F093D1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ind w:left="567" w:hanging="567"/>
    </w:pPr>
    <w:rPr>
      <w:sz w:val="22"/>
      <w:szCs w:val="28"/>
    </w:rPr>
  </w:style>
  <w:style w:type="paragraph" w:styleId="Nagwek1">
    <w:name w:val="heading 1"/>
    <w:basedOn w:val="Normalny"/>
    <w:next w:val="Normalny"/>
    <w:qFormat/>
    <w:rsid w:val="00FB1802"/>
    <w:pPr>
      <w:tabs>
        <w:tab w:val="left" w:pos="567"/>
      </w:tabs>
      <w:spacing w:before="240" w:after="120" w:line="260" w:lineRule="exact"/>
      <w:ind w:left="357" w:hanging="357"/>
      <w:outlineLvl w:val="0"/>
    </w:pPr>
    <w:rPr>
      <w:b/>
      <w:caps/>
      <w:sz w:val="26"/>
      <w:szCs w:val="20"/>
      <w:lang w:val="en-US" w:eastAsia="en-US"/>
    </w:rPr>
  </w:style>
  <w:style w:type="paragraph" w:styleId="Nagwek2">
    <w:name w:val="heading 2"/>
    <w:basedOn w:val="Normalny"/>
    <w:next w:val="Normalny"/>
    <w:qFormat/>
    <w:rsid w:val="00FB1802"/>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Nagwek3">
    <w:name w:val="heading 3"/>
    <w:basedOn w:val="Normalny"/>
    <w:next w:val="Normalny"/>
    <w:qFormat/>
    <w:rsid w:val="00FB1802"/>
    <w:pPr>
      <w:keepNext/>
      <w:keepLines/>
      <w:tabs>
        <w:tab w:val="left" w:pos="567"/>
      </w:tabs>
      <w:spacing w:before="120" w:after="80" w:line="260" w:lineRule="exact"/>
      <w:ind w:left="0" w:firstLine="0"/>
      <w:outlineLvl w:val="2"/>
    </w:pPr>
    <w:rPr>
      <w:b/>
      <w:kern w:val="28"/>
      <w:sz w:val="24"/>
      <w:szCs w:val="20"/>
      <w:lang w:val="en-US" w:eastAsia="en-US"/>
    </w:rPr>
  </w:style>
  <w:style w:type="paragraph" w:styleId="Nagwek4">
    <w:name w:val="heading 4"/>
    <w:basedOn w:val="Normalny"/>
    <w:next w:val="Normalny"/>
    <w:qFormat/>
    <w:pPr>
      <w:keepNext/>
      <w:tabs>
        <w:tab w:val="left" w:pos="567"/>
      </w:tabs>
      <w:spacing w:line="260" w:lineRule="exact"/>
      <w:ind w:left="0" w:firstLine="0"/>
      <w:jc w:val="both"/>
      <w:outlineLvl w:val="3"/>
    </w:pPr>
    <w:rPr>
      <w:b/>
      <w:noProof/>
      <w:szCs w:val="20"/>
      <w:lang w:val="cs-CZ" w:eastAsia="en-US"/>
    </w:rPr>
  </w:style>
  <w:style w:type="paragraph" w:styleId="Nagwek5">
    <w:name w:val="heading 5"/>
    <w:basedOn w:val="Normalny"/>
    <w:next w:val="Normalny"/>
    <w:qFormat/>
    <w:pPr>
      <w:keepNext/>
      <w:tabs>
        <w:tab w:val="left" w:pos="567"/>
      </w:tabs>
      <w:spacing w:line="260" w:lineRule="exact"/>
      <w:ind w:left="0" w:firstLine="0"/>
      <w:jc w:val="both"/>
      <w:outlineLvl w:val="4"/>
    </w:pPr>
    <w:rPr>
      <w:noProof/>
      <w:szCs w:val="20"/>
      <w:lang w:val="cs-CZ" w:eastAsia="en-US"/>
    </w:rPr>
  </w:style>
  <w:style w:type="paragraph" w:styleId="Nagwek6">
    <w:name w:val="heading 6"/>
    <w:basedOn w:val="Normalny"/>
    <w:next w:val="Normalny"/>
    <w:qFormat/>
    <w:rsid w:val="00FB1802"/>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Nagwek7">
    <w:name w:val="heading 7"/>
    <w:basedOn w:val="Normalny"/>
    <w:next w:val="Normalny"/>
    <w:qFormat/>
    <w:rsid w:val="00FB1802"/>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Nagwek8">
    <w:name w:val="heading 8"/>
    <w:basedOn w:val="Normalny"/>
    <w:next w:val="Normalny"/>
    <w:qFormat/>
    <w:rsid w:val="00FB1802"/>
    <w:pPr>
      <w:keepNext/>
      <w:tabs>
        <w:tab w:val="left" w:pos="567"/>
      </w:tabs>
      <w:spacing w:line="260" w:lineRule="exact"/>
      <w:jc w:val="both"/>
      <w:outlineLvl w:val="7"/>
    </w:pPr>
    <w:rPr>
      <w:b/>
      <w:i/>
      <w:szCs w:val="20"/>
      <w:lang w:val="cs-CZ" w:eastAsia="en-US"/>
    </w:rPr>
  </w:style>
  <w:style w:type="paragraph" w:styleId="Nagwek9">
    <w:name w:val="heading 9"/>
    <w:basedOn w:val="Normalny"/>
    <w:next w:val="Normalny"/>
    <w:qFormat/>
    <w:rsid w:val="00FB1802"/>
    <w:pPr>
      <w:keepNext/>
      <w:tabs>
        <w:tab w:val="left" w:pos="567"/>
      </w:tabs>
      <w:spacing w:line="260" w:lineRule="exact"/>
      <w:ind w:left="0" w:firstLine="0"/>
      <w:jc w:val="both"/>
      <w:outlineLvl w:val="8"/>
    </w:pPr>
    <w:rPr>
      <w:b/>
      <w:i/>
      <w:szCs w:val="20"/>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B1802"/>
    <w:pPr>
      <w:tabs>
        <w:tab w:val="left" w:pos="567"/>
        <w:tab w:val="center" w:pos="4536"/>
        <w:tab w:val="center" w:pos="8930"/>
      </w:tabs>
      <w:ind w:left="0" w:firstLine="0"/>
    </w:pPr>
    <w:rPr>
      <w:rFonts w:ascii="Helvetica" w:hAnsi="Helvetica"/>
      <w:sz w:val="16"/>
      <w:szCs w:val="20"/>
      <w:lang w:val="cs-CZ" w:eastAsia="en-US"/>
    </w:rPr>
  </w:style>
  <w:style w:type="character" w:styleId="Numerstrony">
    <w:name w:val="page number"/>
    <w:basedOn w:val="Domylnaczcionkaakapitu"/>
  </w:style>
  <w:style w:type="paragraph" w:styleId="Nagwek">
    <w:name w:val="header"/>
    <w:basedOn w:val="Normalny"/>
    <w:rsid w:val="00FB1802"/>
    <w:pPr>
      <w:tabs>
        <w:tab w:val="left" w:pos="567"/>
        <w:tab w:val="center" w:pos="4153"/>
        <w:tab w:val="right" w:pos="8306"/>
      </w:tabs>
      <w:ind w:left="0" w:firstLine="0"/>
    </w:pPr>
    <w:rPr>
      <w:rFonts w:ascii="Helvetica" w:hAnsi="Helvetica"/>
      <w:sz w:val="20"/>
      <w:szCs w:val="20"/>
      <w:lang w:val="cs-CZ" w:eastAsia="en-US"/>
    </w:rPr>
  </w:style>
  <w:style w:type="character" w:styleId="Hipercze">
    <w:name w:val="Hyperlink"/>
    <w:rPr>
      <w:color w:val="0000FF"/>
      <w:u w:val="single"/>
    </w:rPr>
  </w:style>
  <w:style w:type="paragraph" w:styleId="Tekstpodstawowy">
    <w:name w:val="Body Text"/>
    <w:basedOn w:val="Normalny"/>
    <w:pPr>
      <w:ind w:left="0" w:firstLine="0"/>
    </w:pPr>
    <w:rPr>
      <w:noProof/>
    </w:r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character" w:styleId="Odwoaniedokomentarza">
    <w:name w:val="annotation reference"/>
    <w:semiHidden/>
    <w:rsid w:val="008727B2"/>
    <w:rPr>
      <w:sz w:val="16"/>
      <w:szCs w:val="16"/>
    </w:rPr>
  </w:style>
  <w:style w:type="paragraph" w:styleId="Tekstkomentarza">
    <w:name w:val="annotation text"/>
    <w:basedOn w:val="Normalny"/>
    <w:link w:val="TekstkomentarzaZnak"/>
    <w:uiPriority w:val="99"/>
    <w:semiHidden/>
    <w:rsid w:val="008727B2"/>
    <w:rPr>
      <w:sz w:val="20"/>
      <w:szCs w:val="20"/>
    </w:rPr>
  </w:style>
  <w:style w:type="paragraph" w:styleId="Tematkomentarza">
    <w:name w:val="annotation subject"/>
    <w:basedOn w:val="Tekstkomentarza"/>
    <w:next w:val="Tekstkomentarza"/>
    <w:semiHidden/>
    <w:rsid w:val="008727B2"/>
    <w:rPr>
      <w:b/>
      <w:bCs/>
    </w:rPr>
  </w:style>
  <w:style w:type="character" w:customStyle="1" w:styleId="tlid-translation">
    <w:name w:val="tlid-translation"/>
    <w:basedOn w:val="Domylnaczcionkaakapitu"/>
    <w:rsid w:val="00D143BB"/>
  </w:style>
  <w:style w:type="paragraph" w:styleId="Akapitzlist">
    <w:name w:val="List Paragraph"/>
    <w:basedOn w:val="Normalny"/>
    <w:uiPriority w:val="34"/>
    <w:qFormat/>
    <w:rsid w:val="009E1EC1"/>
    <w:pPr>
      <w:ind w:left="720"/>
      <w:contextualSpacing/>
    </w:pPr>
  </w:style>
  <w:style w:type="paragraph" w:customStyle="1" w:styleId="TableParagraph">
    <w:name w:val="Table Paragraph"/>
    <w:basedOn w:val="Normalny"/>
    <w:uiPriority w:val="1"/>
    <w:qFormat/>
    <w:rsid w:val="008A6BE7"/>
    <w:pPr>
      <w:widowControl w:val="0"/>
      <w:ind w:left="0" w:firstLine="0"/>
    </w:pPr>
    <w:rPr>
      <w:rFonts w:asciiTheme="minorHAnsi" w:eastAsiaTheme="minorHAnsi" w:hAnsiTheme="minorHAnsi" w:cstheme="minorBidi"/>
      <w:szCs w:val="22"/>
      <w:lang w:val="en-US" w:eastAsia="en-US"/>
    </w:rPr>
  </w:style>
  <w:style w:type="table" w:customStyle="1" w:styleId="TableNormal">
    <w:name w:val="Table Normal"/>
    <w:uiPriority w:val="2"/>
    <w:semiHidden/>
    <w:qFormat/>
    <w:rsid w:val="008A6BE7"/>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Tabela-Siatka">
    <w:name w:val="Table Grid"/>
    <w:basedOn w:val="Standardowy"/>
    <w:uiPriority w:val="39"/>
    <w:rsid w:val="00585DB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E49"/>
    <w:pPr>
      <w:autoSpaceDE w:val="0"/>
      <w:autoSpaceDN w:val="0"/>
      <w:adjustRightInd w:val="0"/>
    </w:pPr>
    <w:rPr>
      <w:color w:val="000000"/>
      <w:sz w:val="24"/>
      <w:szCs w:val="24"/>
      <w:lang w:val="en-US"/>
    </w:rPr>
  </w:style>
  <w:style w:type="table" w:customStyle="1" w:styleId="TableNormal1">
    <w:name w:val="Table Normal1"/>
    <w:uiPriority w:val="2"/>
    <w:semiHidden/>
    <w:unhideWhenUsed/>
    <w:qFormat/>
    <w:rsid w:val="00693A5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oprawka">
    <w:name w:val="Revision"/>
    <w:hidden/>
    <w:uiPriority w:val="99"/>
    <w:semiHidden/>
    <w:rsid w:val="00DB60F9"/>
    <w:rPr>
      <w:sz w:val="22"/>
      <w:szCs w:val="28"/>
    </w:rPr>
  </w:style>
  <w:style w:type="character" w:customStyle="1" w:styleId="TekstkomentarzaZnak">
    <w:name w:val="Tekst komentarza Znak"/>
    <w:basedOn w:val="Domylnaczcionkaakapitu"/>
    <w:link w:val="Tekstkomentarza"/>
    <w:uiPriority w:val="99"/>
    <w:semiHidden/>
    <w:rsid w:val="0058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2944">
      <w:bodyDiv w:val="1"/>
      <w:marLeft w:val="0"/>
      <w:marRight w:val="0"/>
      <w:marTop w:val="0"/>
      <w:marBottom w:val="0"/>
      <w:divBdr>
        <w:top w:val="none" w:sz="0" w:space="0" w:color="auto"/>
        <w:left w:val="none" w:sz="0" w:space="0" w:color="auto"/>
        <w:bottom w:val="none" w:sz="0" w:space="0" w:color="auto"/>
        <w:right w:val="none" w:sz="0" w:space="0" w:color="auto"/>
      </w:divBdr>
    </w:div>
    <w:div w:id="269778562">
      <w:bodyDiv w:val="1"/>
      <w:marLeft w:val="0"/>
      <w:marRight w:val="0"/>
      <w:marTop w:val="0"/>
      <w:marBottom w:val="0"/>
      <w:divBdr>
        <w:top w:val="none" w:sz="0" w:space="0" w:color="auto"/>
        <w:left w:val="none" w:sz="0" w:space="0" w:color="auto"/>
        <w:bottom w:val="none" w:sz="0" w:space="0" w:color="auto"/>
        <w:right w:val="none" w:sz="0" w:space="0" w:color="auto"/>
      </w:divBdr>
    </w:div>
    <w:div w:id="624585749">
      <w:bodyDiv w:val="1"/>
      <w:marLeft w:val="0"/>
      <w:marRight w:val="0"/>
      <w:marTop w:val="0"/>
      <w:marBottom w:val="0"/>
      <w:divBdr>
        <w:top w:val="none" w:sz="0" w:space="0" w:color="auto"/>
        <w:left w:val="none" w:sz="0" w:space="0" w:color="auto"/>
        <w:bottom w:val="none" w:sz="0" w:space="0" w:color="auto"/>
        <w:right w:val="none" w:sz="0" w:space="0" w:color="auto"/>
      </w:divBdr>
    </w:div>
    <w:div w:id="1514345983">
      <w:bodyDiv w:val="1"/>
      <w:marLeft w:val="0"/>
      <w:marRight w:val="0"/>
      <w:marTop w:val="0"/>
      <w:marBottom w:val="0"/>
      <w:divBdr>
        <w:top w:val="none" w:sz="0" w:space="0" w:color="auto"/>
        <w:left w:val="none" w:sz="0" w:space="0" w:color="auto"/>
        <w:bottom w:val="none" w:sz="0" w:space="0" w:color="auto"/>
        <w:right w:val="none" w:sz="0" w:space="0" w:color="auto"/>
      </w:divBdr>
    </w:div>
    <w:div w:id="1548570812">
      <w:bodyDiv w:val="1"/>
      <w:marLeft w:val="0"/>
      <w:marRight w:val="0"/>
      <w:marTop w:val="0"/>
      <w:marBottom w:val="0"/>
      <w:divBdr>
        <w:top w:val="none" w:sz="0" w:space="0" w:color="auto"/>
        <w:left w:val="none" w:sz="0" w:space="0" w:color="auto"/>
        <w:bottom w:val="none" w:sz="0" w:space="0" w:color="auto"/>
        <w:right w:val="none" w:sz="0" w:space="0" w:color="auto"/>
      </w:divBdr>
    </w:div>
    <w:div w:id="2033527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z.ezdrowie.gov.pl/"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D027-37EC-42C0-A778-7F9C15ED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4798</Words>
  <Characters>32073</Characters>
  <Application>Microsoft Office Word</Application>
  <DocSecurity>0</DocSecurity>
  <Lines>267</Lines>
  <Paragraphs>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Hreferralspcclean_pl</vt:lpstr>
      <vt:lpstr>Hreferralspcclean_pl</vt:lpstr>
    </vt:vector>
  </TitlesOfParts>
  <Company>EMEA</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Hreferralspcclean_pl</dc:title>
  <dc:subject>General-EMA/53561/2010</dc:subject>
  <dc:creator>European Medicines Agency</dc:creator>
  <cp:lastModifiedBy>Walentynowicz, Maja</cp:lastModifiedBy>
  <cp:revision>4</cp:revision>
  <cp:lastPrinted>2021-06-17T14:04:00Z</cp:lastPrinted>
  <dcterms:created xsi:type="dcterms:W3CDTF">2023-03-14T12:11:00Z</dcterms:created>
  <dcterms:modified xsi:type="dcterms:W3CDTF">2023-06-02T14:46:00Z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03/02/2020 12:41:05</vt:lpwstr>
  </property>
  <property fmtid="{D5CDD505-2E9C-101B-9397-08002B2CF9AE}" pid="7" name="DM_Creator_Name">
    <vt:lpwstr>Akhtar Timea</vt:lpwstr>
  </property>
  <property fmtid="{D5CDD505-2E9C-101B-9397-08002B2CF9AE}" pid="8" name="DM_DocRefId">
    <vt:lpwstr>EMA/58739/2020</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53561</vt:lpwstr>
  </property>
  <property fmtid="{D5CDD505-2E9C-101B-9397-08002B2CF9AE}" pid="14" name="DM_emea_doc_ref_id">
    <vt:lpwstr>EMA/58739/2020</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17/02/2020 15:08:28</vt:lpwstr>
  </property>
  <property fmtid="{D5CDD505-2E9C-101B-9397-08002B2CF9AE}" pid="35" name="DM_Modifier_Name">
    <vt:lpwstr>Akhtar Timea</vt:lpwstr>
  </property>
  <property fmtid="{D5CDD505-2E9C-101B-9397-08002B2CF9AE}" pid="36" name="DM_Modify_Date">
    <vt:lpwstr>17/02/2020 15:08:28</vt:lpwstr>
  </property>
  <property fmtid="{D5CDD505-2E9C-101B-9397-08002B2CF9AE}" pid="37" name="DM_Name">
    <vt:lpwstr>Hreferralspcclean_pl</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templates/2019-06 H Referral template v 4.1 Dec 19/Publication February 2020/Final CLEAN templates f</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8a74da1a-2b94-4741-847c-d71276af45e3</vt:lpwstr>
  </property>
  <property fmtid="{D5CDD505-2E9C-101B-9397-08002B2CF9AE}" pid="46" name="MSIP_Label_0eea11ca-d417-4147-80ed-01a58412c458_Application">
    <vt:lpwstr>Microsoft Azure Information Protection</vt:lpwstr>
  </property>
  <property fmtid="{D5CDD505-2E9C-101B-9397-08002B2CF9AE}" pid="47" name="MSIP_Label_0eea11ca-d417-4147-80ed-01a58412c458_Enabled">
    <vt:lpwstr>True</vt:lpwstr>
  </property>
  <property fmtid="{D5CDD505-2E9C-101B-9397-08002B2CF9AE}" pid="48" name="MSIP_Label_0eea11ca-d417-4147-80ed-01a58412c458_Extended_MSFT_Method">
    <vt:lpwstr>Automatic</vt:lpwstr>
  </property>
  <property fmtid="{D5CDD505-2E9C-101B-9397-08002B2CF9AE}" pid="49" name="MSIP_Label_0eea11ca-d417-4147-80ed-01a58412c458_Name">
    <vt:lpwstr>All EMA Staff and Contractors</vt:lpwstr>
  </property>
  <property fmtid="{D5CDD505-2E9C-101B-9397-08002B2CF9AE}" pid="50" name="MSIP_Label_0eea11ca-d417-4147-80ed-01a58412c458_Owner">
    <vt:lpwstr>Tia.Akhtar@ema.europa.eu</vt:lpwstr>
  </property>
  <property fmtid="{D5CDD505-2E9C-101B-9397-08002B2CF9AE}" pid="51" name="MSIP_Label_0eea11ca-d417-4147-80ed-01a58412c458_Parent">
    <vt:lpwstr>afe1b31d-cec0-4074-b4bd-f07689e43d84</vt:lpwstr>
  </property>
  <property fmtid="{D5CDD505-2E9C-101B-9397-08002B2CF9AE}" pid="52" name="MSIP_Label_0eea11ca-d417-4147-80ed-01a58412c458_SetDate">
    <vt:lpwstr>2020-02-03T11:38:03.4623711Z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8a74da1a-2b94-4741-847c-d71276af45e3</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Tia.Akhtar@ema.europa.eu</vt:lpwstr>
  </property>
  <property fmtid="{D5CDD505-2E9C-101B-9397-08002B2CF9AE}" pid="60" name="MSIP_Label_afe1b31d-cec0-4074-b4bd-f07689e43d84_SetDate">
    <vt:lpwstr>2020-02-03T11:38:03.4623711Z</vt:lpwstr>
  </property>
  <property fmtid="{D5CDD505-2E9C-101B-9397-08002B2CF9AE}" pid="61" name="MSIP_Label_afe1b31d-cec0-4074-b4bd-f07689e43d84_SiteId">
    <vt:lpwstr>bc9dc15c-61bc-4f03-b60b-e5b6d8922839</vt:lpwstr>
  </property>
</Properties>
</file>