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CC3" w:rsidRDefault="00C90CC3" w:rsidP="0041762C">
      <w:pPr>
        <w:kinsoku w:val="0"/>
        <w:overflowPunct w:val="0"/>
        <w:spacing w:line="200" w:lineRule="exact"/>
        <w:rPr>
          <w:sz w:val="22"/>
          <w:szCs w:val="22"/>
        </w:rPr>
      </w:pPr>
    </w:p>
    <w:p w:rsidR="001E56C9" w:rsidRPr="00560841" w:rsidRDefault="001E56C9" w:rsidP="0041762C">
      <w:pPr>
        <w:kinsoku w:val="0"/>
        <w:overflowPunct w:val="0"/>
        <w:spacing w:line="200" w:lineRule="exact"/>
        <w:rPr>
          <w:sz w:val="22"/>
          <w:szCs w:val="22"/>
        </w:rPr>
      </w:pPr>
    </w:p>
    <w:p w:rsidR="00482BD3" w:rsidRPr="00B32D0E" w:rsidRDefault="00522BCB" w:rsidP="0041762C">
      <w:pPr>
        <w:ind w:left="1416" w:firstLine="708"/>
        <w:jc w:val="both"/>
        <w:rPr>
          <w:b/>
          <w:sz w:val="22"/>
          <w:szCs w:val="22"/>
        </w:rPr>
      </w:pPr>
      <w:r>
        <w:rPr>
          <w:b/>
          <w:bCs/>
        </w:rPr>
        <w:t>CHARAKTERYSTYKA PRODUKTU LECZNICZEGO</w:t>
      </w:r>
    </w:p>
    <w:p w:rsidR="00C90CC3" w:rsidRPr="00560841" w:rsidRDefault="00C90CC3" w:rsidP="0041762C">
      <w:pPr>
        <w:kinsoku w:val="0"/>
        <w:overflowPunct w:val="0"/>
        <w:spacing w:line="200" w:lineRule="exact"/>
        <w:rPr>
          <w:sz w:val="22"/>
          <w:szCs w:val="22"/>
        </w:rPr>
      </w:pPr>
    </w:p>
    <w:p w:rsidR="00C90CC3" w:rsidRPr="00560841" w:rsidRDefault="00C90CC3" w:rsidP="0041762C">
      <w:pPr>
        <w:kinsoku w:val="0"/>
        <w:overflowPunct w:val="0"/>
        <w:spacing w:line="240" w:lineRule="exact"/>
        <w:rPr>
          <w:sz w:val="22"/>
          <w:szCs w:val="22"/>
        </w:rPr>
      </w:pPr>
    </w:p>
    <w:p w:rsidR="00C90CC3" w:rsidRPr="00560841" w:rsidRDefault="00C90CC3" w:rsidP="0041762C">
      <w:pPr>
        <w:pStyle w:val="Nagwek1"/>
        <w:numPr>
          <w:ilvl w:val="0"/>
          <w:numId w:val="2"/>
        </w:numPr>
        <w:tabs>
          <w:tab w:val="left" w:pos="335"/>
        </w:tabs>
        <w:kinsoku w:val="0"/>
        <w:overflowPunct w:val="0"/>
        <w:ind w:left="335"/>
      </w:pPr>
      <w:r w:rsidRPr="00560841">
        <w:t>NAZWA PRODUKTU LECZNICZEGO</w:t>
      </w:r>
    </w:p>
    <w:p w:rsidR="00C90CC3" w:rsidRPr="00560841" w:rsidRDefault="00C90CC3" w:rsidP="0041762C">
      <w:pPr>
        <w:kinsoku w:val="0"/>
        <w:overflowPunct w:val="0"/>
        <w:spacing w:line="170" w:lineRule="exact"/>
        <w:rPr>
          <w:sz w:val="22"/>
          <w:szCs w:val="22"/>
        </w:rPr>
      </w:pPr>
    </w:p>
    <w:p w:rsidR="00C90CC3" w:rsidRPr="00560841" w:rsidRDefault="00CB3A9B" w:rsidP="0041762C">
      <w:pPr>
        <w:pStyle w:val="Tekstpodstawowy"/>
        <w:kinsoku w:val="0"/>
        <w:overflowPunct w:val="0"/>
      </w:pPr>
      <w:proofErr w:type="spellStart"/>
      <w:r>
        <w:t>Elosone</w:t>
      </w:r>
      <w:proofErr w:type="spellEnd"/>
      <w:r w:rsidR="00AC616E">
        <w:t>,</w:t>
      </w:r>
      <w:r w:rsidR="00C90CC3" w:rsidRPr="00DC306B">
        <w:t xml:space="preserve"> </w:t>
      </w:r>
      <w:r w:rsidR="00C90CC3" w:rsidRPr="00560841">
        <w:t>1 mg/g</w:t>
      </w:r>
      <w:r w:rsidR="00AC616E">
        <w:t>,</w:t>
      </w:r>
      <w:r w:rsidR="00C90CC3" w:rsidRPr="00560841">
        <w:t xml:space="preserve"> roztwór na skórę</w:t>
      </w:r>
    </w:p>
    <w:p w:rsidR="00C90CC3" w:rsidRPr="00560841" w:rsidRDefault="00C90CC3" w:rsidP="0041762C">
      <w:pPr>
        <w:kinsoku w:val="0"/>
        <w:overflowPunct w:val="0"/>
        <w:spacing w:line="110" w:lineRule="exact"/>
        <w:rPr>
          <w:sz w:val="22"/>
          <w:szCs w:val="22"/>
        </w:rPr>
      </w:pPr>
    </w:p>
    <w:p w:rsidR="00C90CC3" w:rsidRPr="00560841" w:rsidRDefault="00C90CC3" w:rsidP="0041762C">
      <w:pPr>
        <w:kinsoku w:val="0"/>
        <w:overflowPunct w:val="0"/>
        <w:spacing w:line="200" w:lineRule="exact"/>
        <w:rPr>
          <w:sz w:val="22"/>
          <w:szCs w:val="22"/>
        </w:rPr>
      </w:pPr>
    </w:p>
    <w:p w:rsidR="00C90CC3" w:rsidRPr="00560841" w:rsidRDefault="00C90CC3" w:rsidP="0041762C">
      <w:pPr>
        <w:kinsoku w:val="0"/>
        <w:overflowPunct w:val="0"/>
        <w:spacing w:line="200" w:lineRule="exact"/>
        <w:rPr>
          <w:sz w:val="22"/>
          <w:szCs w:val="22"/>
        </w:rPr>
      </w:pPr>
    </w:p>
    <w:p w:rsidR="00C90CC3" w:rsidRPr="00560841" w:rsidRDefault="00C90CC3" w:rsidP="0041762C">
      <w:pPr>
        <w:pStyle w:val="Nagwek1"/>
        <w:numPr>
          <w:ilvl w:val="0"/>
          <w:numId w:val="2"/>
        </w:numPr>
        <w:tabs>
          <w:tab w:val="left" w:pos="335"/>
        </w:tabs>
        <w:kinsoku w:val="0"/>
        <w:overflowPunct w:val="0"/>
        <w:ind w:left="335"/>
      </w:pPr>
      <w:r w:rsidRPr="00560841">
        <w:t>SKŁAD JAKOŚCIOWY I ILOŚCIOWY</w:t>
      </w:r>
    </w:p>
    <w:p w:rsidR="00C90CC3" w:rsidRPr="00560841" w:rsidRDefault="00C90CC3" w:rsidP="0041762C">
      <w:pPr>
        <w:kinsoku w:val="0"/>
        <w:overflowPunct w:val="0"/>
        <w:spacing w:line="240" w:lineRule="exact"/>
        <w:rPr>
          <w:sz w:val="22"/>
          <w:szCs w:val="22"/>
        </w:rPr>
      </w:pPr>
    </w:p>
    <w:p w:rsidR="00560841" w:rsidRPr="00560841" w:rsidRDefault="00560841" w:rsidP="0041762C">
      <w:pPr>
        <w:pStyle w:val="Tekstpodstawowy"/>
        <w:tabs>
          <w:tab w:val="left" w:pos="281"/>
        </w:tabs>
        <w:kinsoku w:val="0"/>
        <w:overflowPunct w:val="0"/>
        <w:spacing w:line="239" w:lineRule="auto"/>
        <w:ind w:right="-50"/>
      </w:pPr>
      <w:smartTag w:uri="urn:schemas-microsoft-com:office:smarttags" w:element="metricconverter">
        <w:smartTagPr>
          <w:attr w:name="ProductID" w:val="1 g"/>
        </w:smartTagPr>
        <w:r w:rsidRPr="00560841">
          <w:t>1</w:t>
        </w:r>
        <w:r w:rsidR="00C90CC3" w:rsidRPr="00560841">
          <w:t xml:space="preserve"> g</w:t>
        </w:r>
      </w:smartTag>
      <w:r w:rsidR="00C90CC3" w:rsidRPr="00560841">
        <w:t xml:space="preserve"> roztworu zawiera 1 mg </w:t>
      </w:r>
      <w:proofErr w:type="spellStart"/>
      <w:r w:rsidR="00C90CC3" w:rsidRPr="00560841">
        <w:t>mometazonu</w:t>
      </w:r>
      <w:proofErr w:type="spellEnd"/>
      <w:r w:rsidR="00FE6CA0">
        <w:t xml:space="preserve"> </w:t>
      </w:r>
      <w:proofErr w:type="spellStart"/>
      <w:r w:rsidR="00FE6CA0" w:rsidRPr="00560841">
        <w:t>furoinianu</w:t>
      </w:r>
      <w:proofErr w:type="spellEnd"/>
      <w:r w:rsidR="00D46F9D">
        <w:t>.</w:t>
      </w:r>
      <w:r w:rsidR="00C90CC3" w:rsidRPr="00560841">
        <w:t xml:space="preserve"> </w:t>
      </w:r>
    </w:p>
    <w:p w:rsidR="00560841" w:rsidRPr="00560841" w:rsidRDefault="00C90CC3" w:rsidP="0041762C">
      <w:pPr>
        <w:pStyle w:val="Tekstpodstawowy"/>
        <w:tabs>
          <w:tab w:val="left" w:pos="281"/>
        </w:tabs>
        <w:kinsoku w:val="0"/>
        <w:overflowPunct w:val="0"/>
        <w:spacing w:line="239" w:lineRule="auto"/>
        <w:ind w:right="-50"/>
      </w:pPr>
      <w:r w:rsidRPr="00560841">
        <w:t xml:space="preserve">Substancje pomocnicze o znanym działaniu: glikol propylenowy 300 mg/g </w:t>
      </w:r>
    </w:p>
    <w:p w:rsidR="00C90CC3" w:rsidRPr="00560841" w:rsidRDefault="00C90CC3" w:rsidP="0041762C">
      <w:pPr>
        <w:pStyle w:val="Tekstpodstawowy"/>
        <w:tabs>
          <w:tab w:val="left" w:pos="281"/>
        </w:tabs>
        <w:kinsoku w:val="0"/>
        <w:overflowPunct w:val="0"/>
        <w:spacing w:line="239" w:lineRule="auto"/>
        <w:ind w:right="-50"/>
      </w:pPr>
      <w:r w:rsidRPr="00560841">
        <w:t>Pełny wykaz substancji pomocniczych, patrz punkt 6.1.</w:t>
      </w:r>
    </w:p>
    <w:p w:rsidR="00C90CC3" w:rsidRPr="00560841" w:rsidRDefault="00C90CC3" w:rsidP="0041762C">
      <w:pPr>
        <w:kinsoku w:val="0"/>
        <w:overflowPunct w:val="0"/>
        <w:spacing w:line="110" w:lineRule="exact"/>
        <w:rPr>
          <w:sz w:val="22"/>
          <w:szCs w:val="22"/>
        </w:rPr>
      </w:pPr>
    </w:p>
    <w:p w:rsidR="00C90CC3" w:rsidRPr="00560841" w:rsidRDefault="00C90CC3" w:rsidP="0041762C">
      <w:pPr>
        <w:kinsoku w:val="0"/>
        <w:overflowPunct w:val="0"/>
        <w:spacing w:line="200" w:lineRule="exact"/>
        <w:rPr>
          <w:sz w:val="22"/>
          <w:szCs w:val="22"/>
        </w:rPr>
      </w:pPr>
    </w:p>
    <w:p w:rsidR="00C90CC3" w:rsidRPr="00560841" w:rsidRDefault="00C90CC3" w:rsidP="0041762C">
      <w:pPr>
        <w:kinsoku w:val="0"/>
        <w:overflowPunct w:val="0"/>
        <w:spacing w:line="200" w:lineRule="exact"/>
        <w:rPr>
          <w:sz w:val="22"/>
          <w:szCs w:val="22"/>
        </w:rPr>
      </w:pPr>
    </w:p>
    <w:p w:rsidR="00C90CC3" w:rsidRPr="00560841" w:rsidRDefault="00C90CC3" w:rsidP="0041762C">
      <w:pPr>
        <w:pStyle w:val="Nagwek1"/>
        <w:numPr>
          <w:ilvl w:val="0"/>
          <w:numId w:val="2"/>
        </w:numPr>
        <w:tabs>
          <w:tab w:val="left" w:pos="335"/>
        </w:tabs>
        <w:kinsoku w:val="0"/>
        <w:overflowPunct w:val="0"/>
        <w:ind w:left="335"/>
      </w:pPr>
      <w:r w:rsidRPr="00560841">
        <w:t>POSTAĆ FARMACEUTYCZNA</w:t>
      </w:r>
    </w:p>
    <w:p w:rsidR="00C90CC3" w:rsidRPr="00560841" w:rsidRDefault="00C90CC3" w:rsidP="0041762C">
      <w:pPr>
        <w:kinsoku w:val="0"/>
        <w:overflowPunct w:val="0"/>
        <w:spacing w:line="240" w:lineRule="exact"/>
        <w:rPr>
          <w:sz w:val="22"/>
          <w:szCs w:val="22"/>
        </w:rPr>
      </w:pPr>
    </w:p>
    <w:p w:rsidR="00C90CC3" w:rsidRPr="00560841" w:rsidRDefault="00C90CC3" w:rsidP="0041762C">
      <w:pPr>
        <w:pStyle w:val="Tekstpodstawowy"/>
        <w:kinsoku w:val="0"/>
        <w:overflowPunct w:val="0"/>
      </w:pPr>
      <w:r w:rsidRPr="00560841">
        <w:t>Roztwór na skórę</w:t>
      </w:r>
    </w:p>
    <w:p w:rsidR="00C90CC3" w:rsidRPr="00560841" w:rsidRDefault="00C90CC3" w:rsidP="0041762C">
      <w:pPr>
        <w:pStyle w:val="Tekstpodstawowy"/>
        <w:kinsoku w:val="0"/>
        <w:overflowPunct w:val="0"/>
        <w:spacing w:line="250" w:lineRule="exact"/>
      </w:pPr>
      <w:r w:rsidRPr="00560841">
        <w:t>Bezbarwny i prze</w:t>
      </w:r>
      <w:r w:rsidR="003A1D9D">
        <w:t>z</w:t>
      </w:r>
      <w:r w:rsidRPr="00560841">
        <w:t>roczysty płyn o zapachu alkoholu izopropylowego</w:t>
      </w:r>
    </w:p>
    <w:p w:rsidR="00C90CC3" w:rsidRPr="00560841" w:rsidRDefault="00C90CC3" w:rsidP="0041762C">
      <w:pPr>
        <w:kinsoku w:val="0"/>
        <w:overflowPunct w:val="0"/>
        <w:spacing w:line="110" w:lineRule="exact"/>
        <w:rPr>
          <w:sz w:val="22"/>
          <w:szCs w:val="22"/>
        </w:rPr>
      </w:pPr>
    </w:p>
    <w:p w:rsidR="00C90CC3" w:rsidRPr="00560841" w:rsidRDefault="00C90CC3" w:rsidP="0041762C">
      <w:pPr>
        <w:kinsoku w:val="0"/>
        <w:overflowPunct w:val="0"/>
        <w:spacing w:line="200" w:lineRule="exact"/>
        <w:rPr>
          <w:sz w:val="22"/>
          <w:szCs w:val="22"/>
        </w:rPr>
      </w:pPr>
    </w:p>
    <w:p w:rsidR="00C90CC3" w:rsidRPr="00560841" w:rsidRDefault="00C90CC3" w:rsidP="0041762C">
      <w:pPr>
        <w:kinsoku w:val="0"/>
        <w:overflowPunct w:val="0"/>
        <w:spacing w:line="200" w:lineRule="exact"/>
        <w:rPr>
          <w:sz w:val="22"/>
          <w:szCs w:val="22"/>
        </w:rPr>
      </w:pPr>
    </w:p>
    <w:p w:rsidR="00C90CC3" w:rsidRPr="00560841" w:rsidRDefault="00C90CC3" w:rsidP="0041762C">
      <w:pPr>
        <w:pStyle w:val="Nagwek1"/>
        <w:numPr>
          <w:ilvl w:val="0"/>
          <w:numId w:val="2"/>
        </w:numPr>
        <w:tabs>
          <w:tab w:val="left" w:pos="335"/>
        </w:tabs>
        <w:kinsoku w:val="0"/>
        <w:overflowPunct w:val="0"/>
        <w:ind w:left="335"/>
      </w:pPr>
      <w:r w:rsidRPr="00560841">
        <w:t>SZCZEGÓŁOWE DANE KLINICZNE</w:t>
      </w:r>
    </w:p>
    <w:p w:rsidR="00C90CC3" w:rsidRPr="00560841" w:rsidRDefault="00C90CC3" w:rsidP="0041762C">
      <w:pPr>
        <w:kinsoku w:val="0"/>
        <w:overflowPunct w:val="0"/>
        <w:spacing w:line="240" w:lineRule="exact"/>
        <w:rPr>
          <w:sz w:val="22"/>
          <w:szCs w:val="22"/>
        </w:rPr>
      </w:pPr>
    </w:p>
    <w:p w:rsidR="00C90CC3" w:rsidRPr="00560841" w:rsidRDefault="00C90CC3" w:rsidP="0041762C">
      <w:pPr>
        <w:numPr>
          <w:ilvl w:val="1"/>
          <w:numId w:val="2"/>
        </w:numPr>
        <w:tabs>
          <w:tab w:val="left" w:pos="444"/>
        </w:tabs>
        <w:kinsoku w:val="0"/>
        <w:overflowPunct w:val="0"/>
        <w:ind w:left="444"/>
        <w:rPr>
          <w:b/>
          <w:bCs/>
          <w:sz w:val="22"/>
          <w:szCs w:val="22"/>
        </w:rPr>
      </w:pPr>
      <w:r w:rsidRPr="00560841">
        <w:rPr>
          <w:b/>
          <w:bCs/>
          <w:sz w:val="22"/>
          <w:szCs w:val="22"/>
        </w:rPr>
        <w:t>Wskazania do stosowania</w:t>
      </w:r>
    </w:p>
    <w:p w:rsidR="00C90CC3" w:rsidRPr="00560841" w:rsidRDefault="00C90CC3" w:rsidP="0041762C">
      <w:pPr>
        <w:kinsoku w:val="0"/>
        <w:overflowPunct w:val="0"/>
        <w:spacing w:line="170" w:lineRule="exact"/>
        <w:rPr>
          <w:sz w:val="22"/>
          <w:szCs w:val="22"/>
        </w:rPr>
      </w:pPr>
    </w:p>
    <w:p w:rsidR="00C90CC3" w:rsidRPr="00560841" w:rsidRDefault="009E124C" w:rsidP="0041762C">
      <w:pPr>
        <w:pStyle w:val="Tekstpodstawowy"/>
        <w:kinsoku w:val="0"/>
        <w:overflowPunct w:val="0"/>
        <w:spacing w:line="241" w:lineRule="auto"/>
        <w:ind w:right="504"/>
      </w:pPr>
      <w:r>
        <w:t xml:space="preserve">Produkt leczniczy </w:t>
      </w:r>
      <w:proofErr w:type="spellStart"/>
      <w:r w:rsidR="00CB3A9B">
        <w:t>Elosone</w:t>
      </w:r>
      <w:proofErr w:type="spellEnd"/>
      <w:r w:rsidR="00CB3A9B">
        <w:t xml:space="preserve"> </w:t>
      </w:r>
      <w:r>
        <w:t xml:space="preserve">w postaci roztworu na skórę </w:t>
      </w:r>
      <w:r w:rsidR="00C90CC3" w:rsidRPr="00560841">
        <w:t xml:space="preserve">jest wskazany w </w:t>
      </w:r>
      <w:r>
        <w:t xml:space="preserve">łagodzeniu objawów zapalnych </w:t>
      </w:r>
      <w:r w:rsidR="00C90CC3" w:rsidRPr="00560841">
        <w:t xml:space="preserve">i świądu </w:t>
      </w:r>
      <w:r w:rsidR="002910F3" w:rsidRPr="00560841">
        <w:t xml:space="preserve">owłosionej </w:t>
      </w:r>
      <w:r w:rsidR="00C90CC3" w:rsidRPr="00560841">
        <w:t>skóry głowy w</w:t>
      </w:r>
      <w:r w:rsidR="00D34F01">
        <w:t xml:space="preserve"> reagujących na leczenie kortykosteroidami dermatozach</w:t>
      </w:r>
      <w:r w:rsidR="00906541">
        <w:t>,</w:t>
      </w:r>
      <w:r w:rsidR="00D34F01">
        <w:t xml:space="preserve"> takich jak </w:t>
      </w:r>
      <w:r w:rsidR="00C90CC3" w:rsidRPr="00560841">
        <w:t>łuszczyc</w:t>
      </w:r>
      <w:r w:rsidR="00D34F01">
        <w:t>a</w:t>
      </w:r>
      <w:r w:rsidR="00C90CC3" w:rsidRPr="00560841">
        <w:t xml:space="preserve"> i </w:t>
      </w:r>
      <w:r w:rsidR="00D34F01">
        <w:t>atopowe zapalenie owłosionej</w:t>
      </w:r>
      <w:r w:rsidR="00C90CC3" w:rsidRPr="00560841">
        <w:t xml:space="preserve"> skóry</w:t>
      </w:r>
      <w:r w:rsidR="00D34F01">
        <w:t xml:space="preserve"> głowy</w:t>
      </w:r>
      <w:r w:rsidR="00C90CC3" w:rsidRPr="00560841">
        <w:t>.</w:t>
      </w:r>
    </w:p>
    <w:p w:rsidR="00C90CC3" w:rsidRPr="00560841" w:rsidRDefault="00C90CC3" w:rsidP="0041762C">
      <w:pPr>
        <w:kinsoku w:val="0"/>
        <w:overflowPunct w:val="0"/>
        <w:spacing w:line="240" w:lineRule="exact"/>
        <w:rPr>
          <w:sz w:val="22"/>
          <w:szCs w:val="22"/>
        </w:rPr>
      </w:pPr>
    </w:p>
    <w:p w:rsidR="00C90CC3" w:rsidRPr="00560841" w:rsidRDefault="00C90CC3" w:rsidP="0041762C">
      <w:pPr>
        <w:pStyle w:val="Nagwek1"/>
        <w:numPr>
          <w:ilvl w:val="1"/>
          <w:numId w:val="2"/>
        </w:numPr>
        <w:tabs>
          <w:tab w:val="left" w:pos="445"/>
        </w:tabs>
        <w:kinsoku w:val="0"/>
        <w:overflowPunct w:val="0"/>
        <w:ind w:hanging="330"/>
      </w:pPr>
      <w:r w:rsidRPr="00560841">
        <w:t>Dawkowanie i sposób podawania</w:t>
      </w:r>
    </w:p>
    <w:p w:rsidR="00C90CC3" w:rsidRPr="00560841" w:rsidRDefault="00C90CC3" w:rsidP="0041762C">
      <w:pPr>
        <w:kinsoku w:val="0"/>
        <w:overflowPunct w:val="0"/>
        <w:spacing w:line="240" w:lineRule="exact"/>
        <w:rPr>
          <w:sz w:val="22"/>
          <w:szCs w:val="22"/>
        </w:rPr>
      </w:pPr>
    </w:p>
    <w:p w:rsidR="00300B7A" w:rsidRPr="00AB78C8" w:rsidRDefault="00300B7A" w:rsidP="0041762C">
      <w:pPr>
        <w:kinsoku w:val="0"/>
        <w:overflowPunct w:val="0"/>
        <w:ind w:left="116"/>
        <w:rPr>
          <w:iCs/>
          <w:sz w:val="22"/>
          <w:szCs w:val="22"/>
          <w:u w:val="single"/>
        </w:rPr>
      </w:pPr>
      <w:r w:rsidRPr="00AB78C8">
        <w:rPr>
          <w:iCs/>
          <w:sz w:val="22"/>
          <w:szCs w:val="22"/>
          <w:u w:val="single"/>
        </w:rPr>
        <w:t>Dawkowanie</w:t>
      </w:r>
    </w:p>
    <w:p w:rsidR="00300B7A" w:rsidRDefault="00300B7A" w:rsidP="0041762C">
      <w:pPr>
        <w:pStyle w:val="Tekstpodstawowy"/>
        <w:kinsoku w:val="0"/>
        <w:overflowPunct w:val="0"/>
        <w:spacing w:line="250" w:lineRule="exact"/>
        <w:ind w:right="423"/>
      </w:pPr>
      <w:r>
        <w:t>Raz na dobę nanosić k</w:t>
      </w:r>
      <w:r w:rsidR="00C90CC3" w:rsidRPr="00560841">
        <w:t xml:space="preserve">ilka kropli </w:t>
      </w:r>
      <w:r>
        <w:t xml:space="preserve">roztworu </w:t>
      </w:r>
      <w:r w:rsidR="00C90CC3" w:rsidRPr="00560841">
        <w:t>na chorobowo</w:t>
      </w:r>
      <w:r>
        <w:t xml:space="preserve"> zmienione miejsca</w:t>
      </w:r>
      <w:r w:rsidR="00C90CC3" w:rsidRPr="00560841">
        <w:t xml:space="preserve"> </w:t>
      </w:r>
      <w:r w:rsidR="00447FFA" w:rsidRPr="00560841">
        <w:t>owłosion</w:t>
      </w:r>
      <w:r>
        <w:t>ej</w:t>
      </w:r>
      <w:r w:rsidR="00447FFA" w:rsidRPr="00560841">
        <w:t xml:space="preserve"> </w:t>
      </w:r>
      <w:r w:rsidR="00C90CC3" w:rsidRPr="00560841">
        <w:t>skór</w:t>
      </w:r>
      <w:r>
        <w:t>y</w:t>
      </w:r>
      <w:r w:rsidR="00C90CC3" w:rsidRPr="00560841">
        <w:t xml:space="preserve"> głowy</w:t>
      </w:r>
      <w:r>
        <w:t>.</w:t>
      </w:r>
      <w:r w:rsidR="00C90CC3" w:rsidRPr="00560841">
        <w:t xml:space="preserve"> </w:t>
      </w:r>
    </w:p>
    <w:p w:rsidR="00C90CC3" w:rsidRPr="00560841" w:rsidRDefault="00300B7A" w:rsidP="0041762C">
      <w:pPr>
        <w:pStyle w:val="Tekstpodstawowy"/>
        <w:kinsoku w:val="0"/>
        <w:overflowPunct w:val="0"/>
        <w:spacing w:line="250" w:lineRule="exact"/>
        <w:ind w:right="423"/>
      </w:pPr>
      <w:r>
        <w:t xml:space="preserve">Delikatnie i dokładnie masować, aż do zniknięcia </w:t>
      </w:r>
      <w:r w:rsidR="00906541">
        <w:t>roztworu</w:t>
      </w:r>
      <w:r>
        <w:t>.</w:t>
      </w:r>
      <w:r w:rsidR="00C90CC3" w:rsidRPr="00560841">
        <w:t xml:space="preserve"> </w:t>
      </w:r>
    </w:p>
    <w:p w:rsidR="00C90CC3" w:rsidRDefault="00C90CC3" w:rsidP="0041762C">
      <w:pPr>
        <w:kinsoku w:val="0"/>
        <w:overflowPunct w:val="0"/>
        <w:spacing w:line="240" w:lineRule="exact"/>
        <w:rPr>
          <w:sz w:val="22"/>
          <w:szCs w:val="22"/>
        </w:rPr>
      </w:pPr>
    </w:p>
    <w:p w:rsidR="006B0640" w:rsidRPr="00AB78C8" w:rsidRDefault="006B0640" w:rsidP="0041762C">
      <w:pPr>
        <w:kinsoku w:val="0"/>
        <w:overflowPunct w:val="0"/>
        <w:spacing w:line="240" w:lineRule="exact"/>
        <w:ind w:firstLine="116"/>
        <w:rPr>
          <w:i/>
          <w:sz w:val="22"/>
          <w:szCs w:val="22"/>
        </w:rPr>
      </w:pPr>
      <w:r w:rsidRPr="00AB78C8">
        <w:rPr>
          <w:i/>
          <w:sz w:val="22"/>
          <w:szCs w:val="22"/>
        </w:rPr>
        <w:t>Dzieci</w:t>
      </w:r>
    </w:p>
    <w:p w:rsidR="00C90CC3" w:rsidRDefault="005032CD" w:rsidP="0041762C">
      <w:pPr>
        <w:kinsoku w:val="0"/>
        <w:overflowPunct w:val="0"/>
        <w:spacing w:line="240" w:lineRule="exact"/>
        <w:ind w:left="115"/>
        <w:rPr>
          <w:sz w:val="22"/>
          <w:szCs w:val="22"/>
        </w:rPr>
      </w:pPr>
      <w:r w:rsidRPr="005032CD">
        <w:rPr>
          <w:sz w:val="22"/>
          <w:szCs w:val="22"/>
        </w:rPr>
        <w:t>Nie ma wystarczających danych dotyczących stosowania produktu leczniczego u dzieci w wieku poniżej 2</w:t>
      </w:r>
      <w:r w:rsidR="00906541">
        <w:rPr>
          <w:sz w:val="22"/>
          <w:szCs w:val="22"/>
        </w:rPr>
        <w:t> </w:t>
      </w:r>
      <w:r w:rsidRPr="005032CD">
        <w:rPr>
          <w:sz w:val="22"/>
          <w:szCs w:val="22"/>
        </w:rPr>
        <w:t>lat.</w:t>
      </w:r>
    </w:p>
    <w:p w:rsidR="00710CCE" w:rsidRDefault="00710CCE" w:rsidP="0041762C">
      <w:pPr>
        <w:kinsoku w:val="0"/>
        <w:overflowPunct w:val="0"/>
        <w:spacing w:line="240" w:lineRule="exact"/>
        <w:ind w:left="115"/>
        <w:rPr>
          <w:sz w:val="22"/>
          <w:szCs w:val="22"/>
        </w:rPr>
      </w:pPr>
    </w:p>
    <w:p w:rsidR="00710CCE" w:rsidRPr="00EA3932" w:rsidRDefault="00710CCE" w:rsidP="00EA3932">
      <w:pPr>
        <w:kinsoku w:val="0"/>
        <w:overflowPunct w:val="0"/>
        <w:ind w:left="116"/>
        <w:rPr>
          <w:iCs/>
          <w:sz w:val="22"/>
          <w:szCs w:val="22"/>
          <w:u w:val="single"/>
        </w:rPr>
      </w:pPr>
      <w:r w:rsidRPr="00EA3932">
        <w:rPr>
          <w:iCs/>
          <w:sz w:val="22"/>
          <w:szCs w:val="22"/>
          <w:u w:val="single"/>
        </w:rPr>
        <w:t>Sposób podawania</w:t>
      </w:r>
    </w:p>
    <w:p w:rsidR="00710CCE" w:rsidRDefault="00710CCE" w:rsidP="0041762C">
      <w:pPr>
        <w:kinsoku w:val="0"/>
        <w:overflowPunct w:val="0"/>
        <w:spacing w:line="240" w:lineRule="exact"/>
        <w:ind w:left="115"/>
        <w:rPr>
          <w:sz w:val="22"/>
          <w:szCs w:val="22"/>
        </w:rPr>
      </w:pPr>
      <w:r>
        <w:rPr>
          <w:sz w:val="22"/>
          <w:szCs w:val="22"/>
        </w:rPr>
        <w:t>Podanie na skórę</w:t>
      </w:r>
    </w:p>
    <w:p w:rsidR="005032CD" w:rsidRPr="00560841" w:rsidRDefault="005032CD" w:rsidP="0041762C">
      <w:pPr>
        <w:kinsoku w:val="0"/>
        <w:overflowPunct w:val="0"/>
        <w:spacing w:line="240" w:lineRule="exact"/>
        <w:ind w:left="115"/>
        <w:rPr>
          <w:sz w:val="22"/>
          <w:szCs w:val="22"/>
        </w:rPr>
      </w:pPr>
    </w:p>
    <w:p w:rsidR="00C90CC3" w:rsidRPr="00560841" w:rsidRDefault="00C90CC3" w:rsidP="0041762C">
      <w:pPr>
        <w:pStyle w:val="Nagwek1"/>
        <w:numPr>
          <w:ilvl w:val="1"/>
          <w:numId w:val="2"/>
        </w:numPr>
        <w:tabs>
          <w:tab w:val="left" w:pos="444"/>
        </w:tabs>
        <w:kinsoku w:val="0"/>
        <w:overflowPunct w:val="0"/>
        <w:ind w:left="444"/>
      </w:pPr>
      <w:r w:rsidRPr="00560841">
        <w:t>Przeciwwskazania</w:t>
      </w:r>
    </w:p>
    <w:p w:rsidR="00C90CC3" w:rsidRPr="00560841" w:rsidRDefault="00C90CC3" w:rsidP="0041762C">
      <w:pPr>
        <w:kinsoku w:val="0"/>
        <w:overflowPunct w:val="0"/>
        <w:spacing w:line="170" w:lineRule="exact"/>
        <w:rPr>
          <w:sz w:val="22"/>
          <w:szCs w:val="22"/>
        </w:rPr>
      </w:pPr>
    </w:p>
    <w:p w:rsidR="003A0ADF" w:rsidRDefault="00714BD2" w:rsidP="0041762C">
      <w:pPr>
        <w:pStyle w:val="Tekstpodstawowy"/>
        <w:kinsoku w:val="0"/>
        <w:overflowPunct w:val="0"/>
        <w:ind w:left="284" w:hanging="142"/>
      </w:pPr>
      <w:r>
        <w:t>Nie stosować</w:t>
      </w:r>
      <w:r w:rsidR="003A0ADF">
        <w:t>:</w:t>
      </w:r>
    </w:p>
    <w:p w:rsidR="003A0ADF" w:rsidRDefault="003A0ADF" w:rsidP="0041762C">
      <w:pPr>
        <w:pStyle w:val="Tekstpodstawowy"/>
        <w:kinsoku w:val="0"/>
        <w:overflowPunct w:val="0"/>
        <w:ind w:left="284" w:hanging="142"/>
      </w:pPr>
      <w:r>
        <w:t xml:space="preserve">- w nadwrażliwości na substancję czynną - </w:t>
      </w:r>
      <w:proofErr w:type="spellStart"/>
      <w:r>
        <w:t>mometazonu</w:t>
      </w:r>
      <w:proofErr w:type="spellEnd"/>
      <w:r>
        <w:t xml:space="preserve"> </w:t>
      </w:r>
      <w:proofErr w:type="spellStart"/>
      <w:r>
        <w:t>furoinian</w:t>
      </w:r>
      <w:proofErr w:type="spellEnd"/>
      <w:r>
        <w:t xml:space="preserve">, inne kortykosteroidy lub na którąkolwiek substancję pomocniczą wymienioną w punkcie 6.1, </w:t>
      </w:r>
    </w:p>
    <w:p w:rsidR="003A0ADF" w:rsidRDefault="003A0ADF" w:rsidP="0041762C">
      <w:pPr>
        <w:pStyle w:val="Tekstpodstawowy"/>
        <w:kinsoku w:val="0"/>
        <w:overflowPunct w:val="0"/>
        <w:ind w:left="284" w:hanging="142"/>
      </w:pPr>
      <w:r>
        <w:t xml:space="preserve">- w trądziku pospolitym, </w:t>
      </w:r>
    </w:p>
    <w:p w:rsidR="003A0ADF" w:rsidRDefault="003A0ADF" w:rsidP="0041762C">
      <w:pPr>
        <w:pStyle w:val="Tekstpodstawowy"/>
        <w:kinsoku w:val="0"/>
        <w:overflowPunct w:val="0"/>
        <w:ind w:left="284" w:hanging="142"/>
      </w:pPr>
      <w:r>
        <w:t>- w trądziku różowatym,</w:t>
      </w:r>
      <w:r w:rsidR="00C90CC3" w:rsidRPr="00560841">
        <w:t xml:space="preserve"> </w:t>
      </w:r>
    </w:p>
    <w:p w:rsidR="003A0ADF" w:rsidRDefault="003A0ADF" w:rsidP="0041762C">
      <w:pPr>
        <w:pStyle w:val="Tekstpodstawowy"/>
        <w:kinsoku w:val="0"/>
        <w:overflowPunct w:val="0"/>
        <w:ind w:left="284" w:hanging="142"/>
      </w:pPr>
      <w:r>
        <w:t>- w</w:t>
      </w:r>
      <w:r w:rsidR="00C90CC3" w:rsidRPr="00560841">
        <w:t xml:space="preserve"> zanik</w:t>
      </w:r>
      <w:r>
        <w:t>u</w:t>
      </w:r>
      <w:r w:rsidR="00C90CC3" w:rsidRPr="00560841">
        <w:t xml:space="preserve"> skóry, </w:t>
      </w:r>
    </w:p>
    <w:p w:rsidR="003A0ADF" w:rsidRDefault="003A0ADF" w:rsidP="0041762C">
      <w:pPr>
        <w:pStyle w:val="Tekstpodstawowy"/>
        <w:kinsoku w:val="0"/>
        <w:overflowPunct w:val="0"/>
        <w:ind w:left="284" w:hanging="142"/>
      </w:pPr>
      <w:r>
        <w:t xml:space="preserve">- w zakażeniach </w:t>
      </w:r>
      <w:r w:rsidR="00C90CC3" w:rsidRPr="00560841">
        <w:t>bakteryjny</w:t>
      </w:r>
      <w:r>
        <w:t>ch</w:t>
      </w:r>
      <w:r w:rsidR="00C90CC3" w:rsidRPr="00560841">
        <w:t xml:space="preserve"> (np. liszajec, </w:t>
      </w:r>
      <w:r>
        <w:t>ropne zapalenie skóry</w:t>
      </w:r>
      <w:r w:rsidR="00C90CC3" w:rsidRPr="00560841">
        <w:t>), wirusowy</w:t>
      </w:r>
      <w:r>
        <w:t>ch</w:t>
      </w:r>
      <w:r w:rsidR="00C90CC3" w:rsidRPr="00560841">
        <w:t xml:space="preserve"> (np. opryszczka</w:t>
      </w:r>
      <w:r w:rsidR="00884E77">
        <w:t xml:space="preserve"> zwykła</w:t>
      </w:r>
      <w:r w:rsidR="00C90CC3" w:rsidRPr="00560841">
        <w:t>, półpasiec, ospa wietrzna, brodawki pospolite, kłykciny kończyste, mięczak zakaźny), pasożytniczy</w:t>
      </w:r>
      <w:r>
        <w:t>ch</w:t>
      </w:r>
      <w:r w:rsidR="00C90CC3" w:rsidRPr="00560841">
        <w:t xml:space="preserve"> i</w:t>
      </w:r>
      <w:r>
        <w:t> </w:t>
      </w:r>
      <w:r w:rsidR="00C90CC3" w:rsidRPr="00560841">
        <w:t>grzybiczy</w:t>
      </w:r>
      <w:r>
        <w:t>ch skóry</w:t>
      </w:r>
      <w:r w:rsidR="00C90CC3" w:rsidRPr="00560841">
        <w:t xml:space="preserve"> (np. </w:t>
      </w:r>
      <w:r>
        <w:t xml:space="preserve">wywołanych przez </w:t>
      </w:r>
      <w:r w:rsidR="00C90CC3" w:rsidRPr="00560841">
        <w:t>drożdżaki lub dermatofity)</w:t>
      </w:r>
      <w:r>
        <w:t>,</w:t>
      </w:r>
    </w:p>
    <w:p w:rsidR="003A0ADF" w:rsidRDefault="003A0ADF" w:rsidP="0041762C">
      <w:pPr>
        <w:pStyle w:val="Tekstpodstawowy"/>
        <w:kinsoku w:val="0"/>
        <w:overflowPunct w:val="0"/>
        <w:ind w:left="284" w:hanging="142"/>
      </w:pPr>
      <w:r>
        <w:t xml:space="preserve">- w przypadku odczynów poszczepiennych, </w:t>
      </w:r>
    </w:p>
    <w:p w:rsidR="003A0ADF" w:rsidRDefault="003A0ADF" w:rsidP="0041762C">
      <w:pPr>
        <w:pStyle w:val="Tekstpodstawowy"/>
        <w:kinsoku w:val="0"/>
        <w:overflowPunct w:val="0"/>
        <w:ind w:left="284" w:hanging="142"/>
      </w:pPr>
      <w:r>
        <w:t xml:space="preserve">- w gruźlicy skóry, </w:t>
      </w:r>
    </w:p>
    <w:p w:rsidR="003A0ADF" w:rsidRDefault="003A0ADF" w:rsidP="0041762C">
      <w:pPr>
        <w:pStyle w:val="Tekstpodstawowy"/>
        <w:kinsoku w:val="0"/>
        <w:overflowPunct w:val="0"/>
        <w:ind w:left="284" w:hanging="142"/>
      </w:pPr>
      <w:r>
        <w:lastRenderedPageBreak/>
        <w:t xml:space="preserve">- na kiłowe zmiany skórne, </w:t>
      </w:r>
    </w:p>
    <w:p w:rsidR="003A0ADF" w:rsidRDefault="003A0ADF" w:rsidP="0041762C">
      <w:pPr>
        <w:pStyle w:val="Tekstpodstawowy"/>
        <w:kinsoku w:val="0"/>
        <w:overflowPunct w:val="0"/>
        <w:ind w:left="284" w:hanging="142"/>
      </w:pPr>
      <w:r>
        <w:t xml:space="preserve">- w świądzie okolicy odbytu i narządów płciowych, </w:t>
      </w:r>
    </w:p>
    <w:p w:rsidR="003A0ADF" w:rsidRDefault="003A0ADF" w:rsidP="0041762C">
      <w:pPr>
        <w:pStyle w:val="Tekstpodstawowy"/>
        <w:kinsoku w:val="0"/>
        <w:overflowPunct w:val="0"/>
        <w:ind w:left="284" w:hanging="142"/>
      </w:pPr>
      <w:r>
        <w:t xml:space="preserve">- w pieluszkowym zapaleniu skóry, </w:t>
      </w:r>
    </w:p>
    <w:p w:rsidR="00C90CC3" w:rsidRPr="00560841" w:rsidRDefault="003A0ADF" w:rsidP="0041762C">
      <w:pPr>
        <w:pStyle w:val="Tekstpodstawowy"/>
        <w:kinsoku w:val="0"/>
        <w:overflowPunct w:val="0"/>
        <w:ind w:left="284" w:hanging="142"/>
      </w:pPr>
      <w:r>
        <w:t>- na uszkodzoną i pokrytą owrzodzeniami skórę.</w:t>
      </w:r>
    </w:p>
    <w:p w:rsidR="00C90CC3" w:rsidRPr="00560841" w:rsidRDefault="00C90CC3" w:rsidP="0041762C">
      <w:pPr>
        <w:kinsoku w:val="0"/>
        <w:overflowPunct w:val="0"/>
        <w:spacing w:line="240" w:lineRule="exact"/>
        <w:rPr>
          <w:sz w:val="22"/>
          <w:szCs w:val="22"/>
        </w:rPr>
      </w:pPr>
    </w:p>
    <w:p w:rsidR="00C90CC3" w:rsidRPr="00560841" w:rsidRDefault="00C90CC3" w:rsidP="0041762C">
      <w:pPr>
        <w:pStyle w:val="Nagwek1"/>
        <w:numPr>
          <w:ilvl w:val="1"/>
          <w:numId w:val="2"/>
        </w:numPr>
        <w:tabs>
          <w:tab w:val="left" w:pos="445"/>
        </w:tabs>
        <w:kinsoku w:val="0"/>
        <w:overflowPunct w:val="0"/>
        <w:ind w:hanging="330"/>
      </w:pPr>
      <w:r w:rsidRPr="00560841">
        <w:t>Specjalne ostrzeżenia i środki ostrożności dotyczące stosowania</w:t>
      </w:r>
    </w:p>
    <w:p w:rsidR="00C90CC3" w:rsidRPr="00560841" w:rsidRDefault="00C90CC3" w:rsidP="0041762C">
      <w:pPr>
        <w:kinsoku w:val="0"/>
        <w:overflowPunct w:val="0"/>
        <w:spacing w:line="170" w:lineRule="exact"/>
        <w:rPr>
          <w:sz w:val="22"/>
          <w:szCs w:val="22"/>
        </w:rPr>
      </w:pPr>
    </w:p>
    <w:p w:rsidR="00C90CC3" w:rsidRPr="00560841" w:rsidRDefault="00C90CC3" w:rsidP="0041762C">
      <w:pPr>
        <w:pStyle w:val="Tekstpodstawowy"/>
        <w:kinsoku w:val="0"/>
        <w:overflowPunct w:val="0"/>
        <w:spacing w:line="250" w:lineRule="exact"/>
        <w:ind w:right="94"/>
      </w:pPr>
      <w:r w:rsidRPr="00560841">
        <w:t xml:space="preserve">Jeżeli </w:t>
      </w:r>
      <w:r w:rsidR="00FC368C">
        <w:t>po zastosowaniu</w:t>
      </w:r>
      <w:r w:rsidR="00322E66">
        <w:t xml:space="preserve"> produktu leczniczego</w:t>
      </w:r>
      <w:r w:rsidRPr="00560841">
        <w:t xml:space="preserve"> wystąpi</w:t>
      </w:r>
      <w:r w:rsidR="00FC368C">
        <w:t>ą objawy</w:t>
      </w:r>
      <w:r w:rsidRPr="00560841">
        <w:t xml:space="preserve"> podrażnieni</w:t>
      </w:r>
      <w:r w:rsidR="00FC368C">
        <w:t>a</w:t>
      </w:r>
      <w:r w:rsidRPr="00560841">
        <w:t xml:space="preserve"> lub </w:t>
      </w:r>
      <w:r w:rsidR="00FC368C">
        <w:t>uczulenia</w:t>
      </w:r>
      <w:r w:rsidR="00340E8E">
        <w:t>,</w:t>
      </w:r>
      <w:r w:rsidRPr="00560841">
        <w:t xml:space="preserve"> należy </w:t>
      </w:r>
      <w:r w:rsidR="00FC368C">
        <w:t>go odstawić</w:t>
      </w:r>
      <w:r w:rsidRPr="00560841">
        <w:t xml:space="preserve"> i zastosować odpowiednie leczenie.</w:t>
      </w:r>
    </w:p>
    <w:p w:rsidR="00C90CC3" w:rsidRPr="00560841" w:rsidRDefault="00C90CC3" w:rsidP="0041762C">
      <w:pPr>
        <w:kinsoku w:val="0"/>
        <w:overflowPunct w:val="0"/>
        <w:spacing w:line="240" w:lineRule="exact"/>
        <w:rPr>
          <w:sz w:val="22"/>
          <w:szCs w:val="22"/>
        </w:rPr>
      </w:pPr>
    </w:p>
    <w:p w:rsidR="00C90CC3" w:rsidRPr="00560841" w:rsidRDefault="00C90CC3" w:rsidP="0041762C">
      <w:pPr>
        <w:pStyle w:val="Tekstpodstawowy"/>
        <w:kinsoku w:val="0"/>
        <w:overflowPunct w:val="0"/>
        <w:spacing w:line="239" w:lineRule="auto"/>
        <w:ind w:right="220"/>
      </w:pPr>
      <w:r w:rsidRPr="00560841">
        <w:t xml:space="preserve">Jeżeli </w:t>
      </w:r>
      <w:r w:rsidR="00FC368C">
        <w:t>wystąpi</w:t>
      </w:r>
      <w:r w:rsidRPr="00560841">
        <w:t xml:space="preserve"> zakażenie</w:t>
      </w:r>
      <w:r w:rsidR="00A4290E">
        <w:t>,</w:t>
      </w:r>
      <w:r w:rsidRPr="00560841">
        <w:t xml:space="preserve"> należy zastosować odpowiedni</w:t>
      </w:r>
      <w:r w:rsidR="00FC368C">
        <w:t>e</w:t>
      </w:r>
      <w:r w:rsidRPr="00560841">
        <w:t xml:space="preserve"> le</w:t>
      </w:r>
      <w:r w:rsidR="00FC368C">
        <w:t>czenie</w:t>
      </w:r>
      <w:r w:rsidRPr="00560841">
        <w:t xml:space="preserve"> przeciwgrzybicz</w:t>
      </w:r>
      <w:r w:rsidR="00FC368C">
        <w:t>e</w:t>
      </w:r>
      <w:r w:rsidRPr="00560841">
        <w:t xml:space="preserve"> lub przeciwbakteryjn</w:t>
      </w:r>
      <w:r w:rsidR="00FC368C">
        <w:t>e</w:t>
      </w:r>
      <w:r w:rsidRPr="00560841">
        <w:t xml:space="preserve">. </w:t>
      </w:r>
      <w:r w:rsidR="00FC368C">
        <w:t xml:space="preserve">W przypadku niewystąpienia szybkiej i pozytywnej reakcji </w:t>
      </w:r>
      <w:r w:rsidRPr="00560841">
        <w:t xml:space="preserve">na leczenie, należy </w:t>
      </w:r>
      <w:r w:rsidR="00FC368C">
        <w:t xml:space="preserve">przerwać </w:t>
      </w:r>
      <w:r w:rsidR="00A4290E">
        <w:t>stosowani</w:t>
      </w:r>
      <w:r w:rsidR="00FC368C">
        <w:t>e</w:t>
      </w:r>
      <w:r w:rsidR="00A4290E">
        <w:t xml:space="preserve"> </w:t>
      </w:r>
      <w:r w:rsidR="00340E8E" w:rsidRPr="00560841">
        <w:t>kortykosteroid</w:t>
      </w:r>
      <w:r w:rsidR="00340E8E">
        <w:t>u</w:t>
      </w:r>
      <w:r w:rsidR="00340E8E" w:rsidRPr="00560841">
        <w:t xml:space="preserve"> </w:t>
      </w:r>
      <w:r w:rsidR="00FC368C">
        <w:t xml:space="preserve">aż </w:t>
      </w:r>
      <w:r w:rsidRPr="00560841">
        <w:t>do</w:t>
      </w:r>
      <w:r w:rsidR="00FC368C">
        <w:t xml:space="preserve"> czasu</w:t>
      </w:r>
      <w:r w:rsidRPr="00560841">
        <w:t xml:space="preserve"> </w:t>
      </w:r>
      <w:r w:rsidR="001A40CC">
        <w:t xml:space="preserve">wyleczenia </w:t>
      </w:r>
      <w:r w:rsidRPr="00560841">
        <w:t>zakaże</w:t>
      </w:r>
      <w:r w:rsidR="00FC368C">
        <w:t>ń</w:t>
      </w:r>
      <w:r w:rsidRPr="00560841">
        <w:t xml:space="preserve">. </w:t>
      </w:r>
    </w:p>
    <w:p w:rsidR="00C90CC3" w:rsidRPr="00560841" w:rsidRDefault="00C90CC3" w:rsidP="0041762C">
      <w:pPr>
        <w:kinsoku w:val="0"/>
        <w:overflowPunct w:val="0"/>
        <w:spacing w:line="260" w:lineRule="exact"/>
        <w:rPr>
          <w:sz w:val="22"/>
          <w:szCs w:val="22"/>
        </w:rPr>
      </w:pPr>
    </w:p>
    <w:p w:rsidR="00C90CC3" w:rsidRPr="00560841" w:rsidRDefault="00FC368C" w:rsidP="0041762C">
      <w:pPr>
        <w:pStyle w:val="Tekstpodstawowy"/>
        <w:kinsoku w:val="0"/>
        <w:overflowPunct w:val="0"/>
        <w:spacing w:line="250" w:lineRule="exact"/>
        <w:ind w:right="206"/>
      </w:pPr>
      <w:r>
        <w:t>Ogólnoustrojowe w</w:t>
      </w:r>
      <w:r w:rsidR="00C90CC3" w:rsidRPr="00560841">
        <w:t>chłanianie</w:t>
      </w:r>
      <w:r w:rsidR="00692BE0">
        <w:t xml:space="preserve"> </w:t>
      </w:r>
      <w:r w:rsidR="00C90CC3" w:rsidRPr="00560841">
        <w:t xml:space="preserve">kortykosteroidów </w:t>
      </w:r>
      <w:r>
        <w:t xml:space="preserve">podawanych </w:t>
      </w:r>
      <w:r w:rsidR="00C90CC3" w:rsidRPr="00560841">
        <w:t xml:space="preserve">miejscowo może wywołać odwracalne zahamowanie </w:t>
      </w:r>
      <w:r w:rsidR="00EC5F89">
        <w:t xml:space="preserve">czynności </w:t>
      </w:r>
      <w:r w:rsidR="00C90CC3" w:rsidRPr="00560841">
        <w:t xml:space="preserve">osi </w:t>
      </w:r>
      <w:proofErr w:type="spellStart"/>
      <w:r w:rsidR="00C90CC3" w:rsidRPr="00560841">
        <w:t>podwzgórze-przysadka-nadnercza</w:t>
      </w:r>
      <w:proofErr w:type="spellEnd"/>
      <w:r>
        <w:t xml:space="preserve"> z potencjalnym niedoborem </w:t>
      </w:r>
      <w:proofErr w:type="spellStart"/>
      <w:r>
        <w:t>glikokortykosteroidu</w:t>
      </w:r>
      <w:proofErr w:type="spellEnd"/>
      <w:r w:rsidR="00C90CC3" w:rsidRPr="00560841">
        <w:t xml:space="preserve"> po odstawieniu </w:t>
      </w:r>
      <w:r>
        <w:t xml:space="preserve">produktu </w:t>
      </w:r>
      <w:r w:rsidR="00C90CC3" w:rsidRPr="00560841">
        <w:t>lecz</w:t>
      </w:r>
      <w:r>
        <w:t>niczego</w:t>
      </w:r>
      <w:r w:rsidR="00560841" w:rsidRPr="00560841">
        <w:t xml:space="preserve">. </w:t>
      </w:r>
      <w:r w:rsidR="00C90CC3" w:rsidRPr="00560841">
        <w:t>U niektórych pacjentów</w:t>
      </w:r>
      <w:r>
        <w:t xml:space="preserve"> ogólnoustrojowe</w:t>
      </w:r>
      <w:r w:rsidR="00C90CC3" w:rsidRPr="00560841">
        <w:t xml:space="preserve"> </w:t>
      </w:r>
      <w:r w:rsidR="00F76DC0" w:rsidRPr="00FC33B8">
        <w:t>wchłanianie</w:t>
      </w:r>
      <w:r w:rsidR="00F76DC0">
        <w:t xml:space="preserve"> </w:t>
      </w:r>
      <w:r w:rsidRPr="00FC33B8">
        <w:t xml:space="preserve">kortykosteroidów </w:t>
      </w:r>
      <w:r w:rsidR="00F76DC0" w:rsidRPr="00FC33B8">
        <w:t xml:space="preserve">podawanych miejscowo </w:t>
      </w:r>
      <w:r w:rsidR="00C90CC3" w:rsidRPr="00560841">
        <w:t xml:space="preserve">może </w:t>
      </w:r>
      <w:r w:rsidR="00F76DC0">
        <w:t xml:space="preserve">również </w:t>
      </w:r>
      <w:r w:rsidR="00C90CC3" w:rsidRPr="00560841">
        <w:t xml:space="preserve">wywołać objawy zespołu Cushinga, hiperglikemię i cukromocz. Pacjenci stosujący </w:t>
      </w:r>
      <w:r>
        <w:t>kortyko</w:t>
      </w:r>
      <w:r w:rsidRPr="00560841">
        <w:t xml:space="preserve">steroid </w:t>
      </w:r>
      <w:r w:rsidR="00C90CC3" w:rsidRPr="00560841">
        <w:t>miejscow</w:t>
      </w:r>
      <w:r>
        <w:t>y</w:t>
      </w:r>
      <w:r w:rsidR="00C90CC3" w:rsidRPr="00560841">
        <w:t xml:space="preserve"> na duż</w:t>
      </w:r>
      <w:r>
        <w:t>ą</w:t>
      </w:r>
      <w:r w:rsidR="00C90CC3" w:rsidRPr="00560841">
        <w:t xml:space="preserve"> powierzchni</w:t>
      </w:r>
      <w:r>
        <w:t>ę</w:t>
      </w:r>
      <w:r w:rsidR="00C90CC3" w:rsidRPr="00560841">
        <w:t xml:space="preserve"> </w:t>
      </w:r>
      <w:r>
        <w:t>skóry</w:t>
      </w:r>
      <w:r w:rsidRPr="00560841">
        <w:t xml:space="preserve"> </w:t>
      </w:r>
      <w:r w:rsidR="00C90CC3" w:rsidRPr="00560841">
        <w:t>lub pod opatrun</w:t>
      </w:r>
      <w:r>
        <w:t>e</w:t>
      </w:r>
      <w:r w:rsidR="00C90CC3" w:rsidRPr="00560841">
        <w:t xml:space="preserve">k </w:t>
      </w:r>
      <w:proofErr w:type="spellStart"/>
      <w:r w:rsidR="00C90CC3" w:rsidRPr="00560841">
        <w:t>okluzyjny</w:t>
      </w:r>
      <w:proofErr w:type="spellEnd"/>
      <w:r w:rsidR="00770579">
        <w:t>, powinni być poddani o</w:t>
      </w:r>
      <w:r w:rsidR="00C90CC3" w:rsidRPr="00560841">
        <w:t xml:space="preserve">kresowej </w:t>
      </w:r>
      <w:r>
        <w:t>kontroli w kier</w:t>
      </w:r>
      <w:r w:rsidR="00FA78A1">
        <w:t>u</w:t>
      </w:r>
      <w:r>
        <w:t>nku</w:t>
      </w:r>
      <w:r w:rsidR="00C90CC3" w:rsidRPr="00560841">
        <w:t xml:space="preserve"> objawów zahamowania </w:t>
      </w:r>
      <w:r>
        <w:t xml:space="preserve">czynności </w:t>
      </w:r>
      <w:r w:rsidR="00C90CC3" w:rsidRPr="00560841">
        <w:t xml:space="preserve">osi </w:t>
      </w:r>
      <w:proofErr w:type="spellStart"/>
      <w:r w:rsidR="00C90CC3" w:rsidRPr="00560841">
        <w:t>podwzgórze-przysadka-nadnercza</w:t>
      </w:r>
      <w:proofErr w:type="spellEnd"/>
      <w:r w:rsidR="00C90CC3" w:rsidRPr="00560841">
        <w:t>.</w:t>
      </w:r>
    </w:p>
    <w:p w:rsidR="00C90CC3" w:rsidRPr="00560841" w:rsidRDefault="00C90CC3" w:rsidP="0041762C">
      <w:pPr>
        <w:kinsoku w:val="0"/>
        <w:overflowPunct w:val="0"/>
        <w:spacing w:line="240" w:lineRule="exact"/>
        <w:rPr>
          <w:sz w:val="22"/>
          <w:szCs w:val="22"/>
        </w:rPr>
      </w:pPr>
    </w:p>
    <w:p w:rsidR="00D9245C" w:rsidRDefault="00D9245C" w:rsidP="0041762C">
      <w:pPr>
        <w:pStyle w:val="Tekstpodstawowy"/>
        <w:kinsoku w:val="0"/>
        <w:overflowPunct w:val="0"/>
        <w:spacing w:line="239" w:lineRule="auto"/>
        <w:ind w:right="228"/>
      </w:pPr>
      <w:r>
        <w:t xml:space="preserve">Wszelkie działania niepożądane zgłaszane po stosowaniu kortykosteroidów o działaniu ogólnym, w tym zahamowanie czynności kory nadnerczy, mogą również występować w przypadku miejscowego stosowania kortykosteroidów, szczególnie u niemowląt i dzieci. </w:t>
      </w:r>
    </w:p>
    <w:p w:rsidR="00C90CC3" w:rsidRPr="00560841" w:rsidRDefault="00C90CC3" w:rsidP="0041762C">
      <w:pPr>
        <w:kinsoku w:val="0"/>
        <w:overflowPunct w:val="0"/>
        <w:spacing w:line="240" w:lineRule="exact"/>
        <w:rPr>
          <w:sz w:val="22"/>
          <w:szCs w:val="22"/>
        </w:rPr>
      </w:pPr>
    </w:p>
    <w:p w:rsidR="00C90CC3" w:rsidRPr="00560841" w:rsidRDefault="00D9245C" w:rsidP="0041762C">
      <w:pPr>
        <w:pStyle w:val="Tekstpodstawowy"/>
        <w:kinsoku w:val="0"/>
        <w:overflowPunct w:val="0"/>
        <w:spacing w:line="241" w:lineRule="auto"/>
        <w:ind w:right="304"/>
      </w:pPr>
      <w:r>
        <w:t>P</w:t>
      </w:r>
      <w:r w:rsidR="00C90CC3" w:rsidRPr="00560841">
        <w:t xml:space="preserve">o długotrwałym </w:t>
      </w:r>
      <w:r>
        <w:t xml:space="preserve">i stałym </w:t>
      </w:r>
      <w:r w:rsidR="00C90CC3" w:rsidRPr="00560841">
        <w:t>stosowaniu na dużej powierzchni uszkodzonej skóry</w:t>
      </w:r>
      <w:r>
        <w:t xml:space="preserve">, fałdach skórnych i pod opatrunkiem </w:t>
      </w:r>
      <w:proofErr w:type="spellStart"/>
      <w:r>
        <w:t>okluzynym</w:t>
      </w:r>
      <w:proofErr w:type="spellEnd"/>
      <w:r>
        <w:t>, stwierdzono częste występo</w:t>
      </w:r>
      <w:r w:rsidR="00906541">
        <w:t>wanie toksyczności miejscowej i </w:t>
      </w:r>
      <w:r>
        <w:t>ogólnoustrojowej</w:t>
      </w:r>
      <w:r w:rsidR="00C90CC3" w:rsidRPr="00560841">
        <w:t xml:space="preserve">. </w:t>
      </w:r>
      <w:r w:rsidR="00750407">
        <w:t>O</w:t>
      </w:r>
      <w:r w:rsidR="00C90CC3" w:rsidRPr="00560841">
        <w:t xml:space="preserve">patrunków </w:t>
      </w:r>
      <w:proofErr w:type="spellStart"/>
      <w:r w:rsidR="00C90CC3" w:rsidRPr="00560841">
        <w:t>okluzyjnych</w:t>
      </w:r>
      <w:proofErr w:type="spellEnd"/>
      <w:r w:rsidR="00750407">
        <w:t xml:space="preserve"> nie należy stosować u dzieci lub na skórę twarzy. Jeśli konieczne jest nałożenie produktu leczniczego na twarz</w:t>
      </w:r>
      <w:r w:rsidR="00C90CC3" w:rsidRPr="00560841">
        <w:t>, leczeni</w:t>
      </w:r>
      <w:r w:rsidR="00750407">
        <w:t>e</w:t>
      </w:r>
      <w:r w:rsidR="00C90CC3" w:rsidRPr="00560841">
        <w:t xml:space="preserve"> powin</w:t>
      </w:r>
      <w:r w:rsidR="00750407">
        <w:t>no</w:t>
      </w:r>
      <w:r w:rsidR="00C90CC3" w:rsidRPr="00560841">
        <w:t xml:space="preserve"> </w:t>
      </w:r>
      <w:r w:rsidR="00750407">
        <w:t>trwać maksymalnie</w:t>
      </w:r>
      <w:r w:rsidR="00C90CC3" w:rsidRPr="00560841">
        <w:t xml:space="preserve"> 5 dni. U</w:t>
      </w:r>
      <w:r w:rsidR="004F5374">
        <w:t> </w:t>
      </w:r>
      <w:r w:rsidR="00C90CC3" w:rsidRPr="00560841">
        <w:t>wszystkich pacjentów</w:t>
      </w:r>
      <w:r w:rsidR="00DC3617">
        <w:t>,</w:t>
      </w:r>
      <w:r w:rsidR="00893A76">
        <w:t xml:space="preserve"> </w:t>
      </w:r>
      <w:r w:rsidR="00C90CC3" w:rsidRPr="00560841">
        <w:t>niezależnie od wieku</w:t>
      </w:r>
      <w:r w:rsidR="00DC3617">
        <w:t>,</w:t>
      </w:r>
      <w:r w:rsidR="00C90CC3" w:rsidRPr="00560841">
        <w:t xml:space="preserve"> należy unikać długotrwałe</w:t>
      </w:r>
      <w:r w:rsidR="00750407">
        <w:t>j stałej terapii</w:t>
      </w:r>
      <w:r w:rsidR="00C90CC3" w:rsidRPr="00560841">
        <w:t>.</w:t>
      </w:r>
    </w:p>
    <w:p w:rsidR="00C90CC3" w:rsidRPr="00560841" w:rsidRDefault="00C90CC3" w:rsidP="0041762C">
      <w:pPr>
        <w:kinsoku w:val="0"/>
        <w:overflowPunct w:val="0"/>
        <w:spacing w:line="240" w:lineRule="exact"/>
        <w:rPr>
          <w:sz w:val="22"/>
          <w:szCs w:val="22"/>
        </w:rPr>
      </w:pPr>
    </w:p>
    <w:p w:rsidR="00750407" w:rsidRDefault="00750407" w:rsidP="0041762C">
      <w:pPr>
        <w:pStyle w:val="Tekstpodstawowy"/>
        <w:kinsoku w:val="0"/>
        <w:overflowPunct w:val="0"/>
        <w:spacing w:line="239" w:lineRule="auto"/>
        <w:ind w:right="94"/>
      </w:pPr>
      <w:r>
        <w:t>Należy stosować najmniejszą skuteczną dawkę produktu zawierającego kortykosteroidy, pozwalającą na złagodzenie objawów choroby, zwłaszcza u dzieci.</w:t>
      </w:r>
    </w:p>
    <w:p w:rsidR="00750407" w:rsidRDefault="00750407" w:rsidP="0041762C">
      <w:pPr>
        <w:pStyle w:val="Tekstpodstawowy"/>
        <w:kinsoku w:val="0"/>
        <w:overflowPunct w:val="0"/>
        <w:spacing w:line="239" w:lineRule="auto"/>
        <w:ind w:right="94"/>
      </w:pPr>
    </w:p>
    <w:p w:rsidR="00750407" w:rsidRDefault="00750407" w:rsidP="0041762C">
      <w:pPr>
        <w:pStyle w:val="Tekstpodstawowy"/>
        <w:kinsoku w:val="0"/>
        <w:overflowPunct w:val="0"/>
        <w:spacing w:line="239" w:lineRule="auto"/>
        <w:ind w:right="189"/>
      </w:pPr>
      <w:proofErr w:type="spellStart"/>
      <w:r>
        <w:t>Elo</w:t>
      </w:r>
      <w:r w:rsidR="00D46F9D">
        <w:t>sone</w:t>
      </w:r>
      <w:proofErr w:type="spellEnd"/>
      <w:r>
        <w:t xml:space="preserve"> podawany</w:t>
      </w:r>
      <w:r w:rsidRPr="003E0596">
        <w:t xml:space="preserve"> miejscow</w:t>
      </w:r>
      <w:r>
        <w:t>o</w:t>
      </w:r>
      <w:r w:rsidRPr="003E0596">
        <w:t xml:space="preserve"> nie </w:t>
      </w:r>
      <w:r>
        <w:t>jest przeznaczony do leczenia okulistycznego</w:t>
      </w:r>
      <w:r w:rsidRPr="003E0596">
        <w:t xml:space="preserve"> </w:t>
      </w:r>
      <w:r>
        <w:t>(</w:t>
      </w:r>
      <w:r w:rsidRPr="003E0596">
        <w:t>w tym</w:t>
      </w:r>
      <w:r w:rsidRPr="00560841">
        <w:t xml:space="preserve"> </w:t>
      </w:r>
      <w:r w:rsidR="004F5374">
        <w:t>również w </w:t>
      </w:r>
      <w:r>
        <w:t>obrębie</w:t>
      </w:r>
      <w:r w:rsidRPr="00560841">
        <w:t xml:space="preserve"> powiek</w:t>
      </w:r>
      <w:r>
        <w:t>)</w:t>
      </w:r>
      <w:r w:rsidR="00CB7F92">
        <w:t>,</w:t>
      </w:r>
      <w:r w:rsidRPr="00560841">
        <w:t xml:space="preserve"> z</w:t>
      </w:r>
      <w:r>
        <w:t>e względu</w:t>
      </w:r>
      <w:r w:rsidRPr="00560841">
        <w:t xml:space="preserve"> na bardzo rzadkie ryzyko </w:t>
      </w:r>
      <w:r>
        <w:t xml:space="preserve">wystąpienia </w:t>
      </w:r>
      <w:r w:rsidRPr="00560841">
        <w:t xml:space="preserve">jaskry prostej lub zaćmy </w:t>
      </w:r>
      <w:proofErr w:type="spellStart"/>
      <w:r w:rsidRPr="00560841">
        <w:t>podtorebkowej</w:t>
      </w:r>
      <w:proofErr w:type="spellEnd"/>
      <w:r>
        <w:t>.</w:t>
      </w:r>
    </w:p>
    <w:p w:rsidR="00A02B45" w:rsidRPr="00560841" w:rsidRDefault="00A02B45" w:rsidP="0041762C">
      <w:pPr>
        <w:pStyle w:val="Tekstpodstawowy"/>
        <w:kinsoku w:val="0"/>
        <w:overflowPunct w:val="0"/>
        <w:spacing w:line="239" w:lineRule="auto"/>
        <w:ind w:right="189"/>
      </w:pPr>
    </w:p>
    <w:p w:rsidR="00C90CC3" w:rsidRPr="00560841" w:rsidRDefault="00750407" w:rsidP="0041762C">
      <w:pPr>
        <w:pStyle w:val="Tekstpodstawowy"/>
        <w:kinsoku w:val="0"/>
        <w:overflowPunct w:val="0"/>
        <w:spacing w:line="239" w:lineRule="auto"/>
        <w:ind w:right="94"/>
      </w:pPr>
      <w:r>
        <w:t>Szczególnie ostrożnie stosować u pacjentów z łuszczycą, gdyż m</w:t>
      </w:r>
      <w:r w:rsidR="00C90CC3" w:rsidRPr="00560841">
        <w:t xml:space="preserve">iejscowe stosowanie </w:t>
      </w:r>
      <w:r>
        <w:t>kortyko</w:t>
      </w:r>
      <w:r w:rsidR="00C90CC3" w:rsidRPr="00560841">
        <w:t>steroidów w</w:t>
      </w:r>
      <w:r w:rsidR="004F5374">
        <w:t> </w:t>
      </w:r>
      <w:r w:rsidR="00C90CC3" w:rsidRPr="00560841">
        <w:t xml:space="preserve">łuszczycy może być niebezpieczne, </w:t>
      </w:r>
      <w:r>
        <w:t>m.in. ze względu na</w:t>
      </w:r>
      <w:r w:rsidR="008F5D9D">
        <w:t xml:space="preserve"> </w:t>
      </w:r>
      <w:r w:rsidR="00C90CC3" w:rsidRPr="00560841">
        <w:t>nawr</w:t>
      </w:r>
      <w:r>
        <w:t>ó</w:t>
      </w:r>
      <w:r w:rsidR="00C90CC3" w:rsidRPr="00560841">
        <w:t xml:space="preserve">t </w:t>
      </w:r>
      <w:r w:rsidR="00B27920">
        <w:t>choroby</w:t>
      </w:r>
      <w:r w:rsidR="00B27920" w:rsidRPr="00560841">
        <w:t xml:space="preserve"> </w:t>
      </w:r>
      <w:r>
        <w:t>spowodowany</w:t>
      </w:r>
      <w:r w:rsidR="001043B8">
        <w:t xml:space="preserve"> </w:t>
      </w:r>
      <w:r w:rsidR="00C90CC3" w:rsidRPr="00560841">
        <w:t>rozwoj</w:t>
      </w:r>
      <w:r>
        <w:t>em</w:t>
      </w:r>
      <w:r w:rsidR="00C90CC3" w:rsidRPr="00560841">
        <w:t xml:space="preserve"> tolerancji, ryzyk</w:t>
      </w:r>
      <w:r>
        <w:t>o</w:t>
      </w:r>
      <w:r w:rsidR="00C90CC3" w:rsidRPr="00560841">
        <w:t xml:space="preserve"> </w:t>
      </w:r>
      <w:r>
        <w:t>wystąpienia</w:t>
      </w:r>
      <w:r w:rsidR="00C90CC3" w:rsidRPr="00560841">
        <w:t xml:space="preserve"> uogólnionej łuszczycy krostkowej i ogólne działania toksyczne spowodowane zaburzeniem </w:t>
      </w:r>
      <w:r w:rsidR="00276149">
        <w:t xml:space="preserve">ciągłości </w:t>
      </w:r>
      <w:r w:rsidR="00C90CC3" w:rsidRPr="00560841">
        <w:t xml:space="preserve">skóry. </w:t>
      </w:r>
    </w:p>
    <w:p w:rsidR="009C3A26" w:rsidRPr="00560841" w:rsidRDefault="009C3A26" w:rsidP="0041762C">
      <w:pPr>
        <w:kinsoku w:val="0"/>
        <w:overflowPunct w:val="0"/>
        <w:spacing w:line="240" w:lineRule="exact"/>
        <w:rPr>
          <w:sz w:val="22"/>
          <w:szCs w:val="22"/>
        </w:rPr>
      </w:pPr>
    </w:p>
    <w:p w:rsidR="00C90CC3" w:rsidRPr="00560841" w:rsidRDefault="00075A67" w:rsidP="0041762C">
      <w:pPr>
        <w:pStyle w:val="Tekstpodstawowy"/>
        <w:kinsoku w:val="0"/>
        <w:overflowPunct w:val="0"/>
        <w:spacing w:line="239" w:lineRule="auto"/>
        <w:ind w:right="203"/>
      </w:pPr>
      <w:r>
        <w:t xml:space="preserve">Tak </w:t>
      </w:r>
      <w:r w:rsidR="00C90CC3" w:rsidRPr="00560841">
        <w:t xml:space="preserve">jak w przypadku innych </w:t>
      </w:r>
      <w:r w:rsidR="009220D2">
        <w:t xml:space="preserve">silnie działających </w:t>
      </w:r>
      <w:proofErr w:type="spellStart"/>
      <w:r w:rsidR="00C90CC3" w:rsidRPr="00560841">
        <w:t>gl</w:t>
      </w:r>
      <w:r w:rsidR="000F0302">
        <w:t>i</w:t>
      </w:r>
      <w:r w:rsidR="00C90CC3" w:rsidRPr="00560841">
        <w:t>kokortykosteroidów</w:t>
      </w:r>
      <w:proofErr w:type="spellEnd"/>
      <w:r w:rsidR="009220D2">
        <w:t xml:space="preserve"> stosowanych miejscowo</w:t>
      </w:r>
      <w:r w:rsidR="00C90CC3" w:rsidRPr="00560841">
        <w:t xml:space="preserve">, </w:t>
      </w:r>
      <w:r w:rsidR="000F0302">
        <w:t xml:space="preserve">należy </w:t>
      </w:r>
      <w:r w:rsidR="00C90CC3" w:rsidRPr="00560841">
        <w:t>unikać nagłego</w:t>
      </w:r>
      <w:r w:rsidR="009220D2">
        <w:t xml:space="preserve"> zaprzestania leczenia</w:t>
      </w:r>
      <w:r w:rsidR="00C90CC3" w:rsidRPr="00560841">
        <w:t xml:space="preserve">. </w:t>
      </w:r>
      <w:r w:rsidR="004A2004">
        <w:t>Po</w:t>
      </w:r>
      <w:r w:rsidR="00C90CC3" w:rsidRPr="00560841">
        <w:t xml:space="preserve"> </w:t>
      </w:r>
      <w:r w:rsidR="00B47B53">
        <w:t>nagł</w:t>
      </w:r>
      <w:r w:rsidR="004A2004">
        <w:t>ym</w:t>
      </w:r>
      <w:r w:rsidR="00B47B53">
        <w:t xml:space="preserve"> </w:t>
      </w:r>
      <w:r w:rsidR="004A2004">
        <w:t>odstawieniu produktu</w:t>
      </w:r>
      <w:r w:rsidR="004F5374">
        <w:t xml:space="preserve"> </w:t>
      </w:r>
      <w:r w:rsidR="004A2004">
        <w:t>zawierającego</w:t>
      </w:r>
      <w:r w:rsidR="00C90CC3" w:rsidRPr="00560841">
        <w:t xml:space="preserve"> siln</w:t>
      </w:r>
      <w:r w:rsidR="004A2004">
        <w:t>ie</w:t>
      </w:r>
      <w:r w:rsidR="00C90CC3" w:rsidRPr="00560841">
        <w:t xml:space="preserve"> </w:t>
      </w:r>
      <w:r w:rsidR="004A2004">
        <w:t xml:space="preserve">działające </w:t>
      </w:r>
      <w:proofErr w:type="spellStart"/>
      <w:r w:rsidR="00B47B53">
        <w:t>glikokortykosteroid</w:t>
      </w:r>
      <w:r w:rsidR="004A2004">
        <w:t>y</w:t>
      </w:r>
      <w:proofErr w:type="spellEnd"/>
      <w:r w:rsidR="00B47B53">
        <w:t xml:space="preserve"> </w:t>
      </w:r>
      <w:r w:rsidR="00C90CC3" w:rsidRPr="00560841">
        <w:t xml:space="preserve">może wystąpić </w:t>
      </w:r>
      <w:r w:rsidR="004A2004">
        <w:t>efekt</w:t>
      </w:r>
      <w:r w:rsidR="00C90CC3" w:rsidRPr="00560841">
        <w:t xml:space="preserve"> "z odbicia", </w:t>
      </w:r>
      <w:r w:rsidR="00225538">
        <w:t>objawia</w:t>
      </w:r>
      <w:r w:rsidR="004A2004">
        <w:t>jący się</w:t>
      </w:r>
      <w:r w:rsidR="00225538">
        <w:t xml:space="preserve"> </w:t>
      </w:r>
      <w:r w:rsidR="004A2004">
        <w:t xml:space="preserve">stanem </w:t>
      </w:r>
      <w:r w:rsidR="00C90CC3" w:rsidRPr="00560841">
        <w:t>zapal</w:t>
      </w:r>
      <w:r w:rsidR="004A2004">
        <w:t>nym</w:t>
      </w:r>
      <w:r w:rsidR="00C90CC3" w:rsidRPr="00560841">
        <w:t xml:space="preserve"> skóry</w:t>
      </w:r>
      <w:r w:rsidR="00D46F9D">
        <w:t>, nasilonym</w:t>
      </w:r>
      <w:r w:rsidR="00C90CC3" w:rsidRPr="00560841">
        <w:t xml:space="preserve"> zaczerwienieniem, pieczeniem</w:t>
      </w:r>
      <w:r w:rsidR="004A2004">
        <w:t xml:space="preserve"> i kłującym bólem</w:t>
      </w:r>
      <w:r w:rsidR="00C90CC3" w:rsidRPr="00560841">
        <w:t xml:space="preserve">. Można temu zapobiec </w:t>
      </w:r>
      <w:r w:rsidR="004A2004">
        <w:t xml:space="preserve">poprzez stopniowe </w:t>
      </w:r>
      <w:r w:rsidR="00C90CC3" w:rsidRPr="00560841">
        <w:t>zmniejsza</w:t>
      </w:r>
      <w:r w:rsidR="004A2004">
        <w:t>nie dawki produktu,</w:t>
      </w:r>
      <w:r w:rsidR="004F5374">
        <w:t xml:space="preserve"> </w:t>
      </w:r>
      <w:r w:rsidR="004A2004">
        <w:t>np. przed odstawieniem</w:t>
      </w:r>
      <w:r w:rsidR="00C90CC3" w:rsidRPr="00560841">
        <w:t xml:space="preserve"> </w:t>
      </w:r>
      <w:r w:rsidR="00C10485">
        <w:t>produkt</w:t>
      </w:r>
      <w:r w:rsidR="004A2004">
        <w:t>u</w:t>
      </w:r>
      <w:r w:rsidR="00C10485">
        <w:t xml:space="preserve"> </w:t>
      </w:r>
      <w:r w:rsidR="004A2004">
        <w:t xml:space="preserve">należy prowadzić leczenie </w:t>
      </w:r>
      <w:r w:rsidR="00C90CC3" w:rsidRPr="00560841">
        <w:t xml:space="preserve">w sposób przerywany. </w:t>
      </w:r>
    </w:p>
    <w:p w:rsidR="00C90CC3" w:rsidRPr="00560841" w:rsidRDefault="00C90CC3" w:rsidP="0041762C">
      <w:pPr>
        <w:kinsoku w:val="0"/>
        <w:overflowPunct w:val="0"/>
        <w:spacing w:line="240" w:lineRule="exact"/>
        <w:rPr>
          <w:sz w:val="22"/>
          <w:szCs w:val="22"/>
        </w:rPr>
      </w:pPr>
    </w:p>
    <w:p w:rsidR="006F47E9" w:rsidRPr="00560841" w:rsidRDefault="006F47E9" w:rsidP="0041762C">
      <w:pPr>
        <w:pStyle w:val="Tekstpodstawowy"/>
        <w:kinsoku w:val="0"/>
        <w:overflowPunct w:val="0"/>
        <w:spacing w:line="241" w:lineRule="auto"/>
        <w:ind w:right="797"/>
      </w:pPr>
      <w:proofErr w:type="spellStart"/>
      <w:r>
        <w:t>Glikokortykosteroidy</w:t>
      </w:r>
      <w:proofErr w:type="spellEnd"/>
      <w:r>
        <w:t xml:space="preserve"> </w:t>
      </w:r>
      <w:r w:rsidRPr="00560841">
        <w:t xml:space="preserve">mogą zmieniać wygląd niektórych zmian chorobowych, </w:t>
      </w:r>
      <w:r>
        <w:t xml:space="preserve">co może </w:t>
      </w:r>
      <w:r w:rsidRPr="00560841">
        <w:t>utrudni</w:t>
      </w:r>
      <w:r>
        <w:t>a</w:t>
      </w:r>
      <w:r w:rsidRPr="00560841">
        <w:t xml:space="preserve">ć </w:t>
      </w:r>
      <w:r>
        <w:t>postawienie</w:t>
      </w:r>
      <w:r w:rsidRPr="00560841">
        <w:t xml:space="preserve"> właściwe</w:t>
      </w:r>
      <w:r>
        <w:t>j</w:t>
      </w:r>
      <w:r w:rsidRPr="00560841">
        <w:t xml:space="preserve"> </w:t>
      </w:r>
      <w:r>
        <w:t>diagnozy,</w:t>
      </w:r>
      <w:r w:rsidRPr="00560841">
        <w:t xml:space="preserve"> mogą </w:t>
      </w:r>
      <w:r>
        <w:t xml:space="preserve">również </w:t>
      </w:r>
      <w:r w:rsidRPr="00560841">
        <w:t>opóźni</w:t>
      </w:r>
      <w:r>
        <w:t>a</w:t>
      </w:r>
      <w:r w:rsidRPr="00560841">
        <w:t xml:space="preserve">ć gojenie. </w:t>
      </w:r>
    </w:p>
    <w:p w:rsidR="006F47E9" w:rsidRDefault="006F47E9" w:rsidP="0041762C">
      <w:pPr>
        <w:pStyle w:val="Tekstpodstawowy"/>
        <w:kinsoku w:val="0"/>
        <w:overflowPunct w:val="0"/>
        <w:spacing w:line="241" w:lineRule="auto"/>
        <w:ind w:right="797"/>
      </w:pPr>
    </w:p>
    <w:p w:rsidR="00D927EB" w:rsidRDefault="00D927EB" w:rsidP="0041762C">
      <w:pPr>
        <w:pStyle w:val="Tekstpodstawowy"/>
        <w:kinsoku w:val="0"/>
        <w:overflowPunct w:val="0"/>
        <w:spacing w:line="241" w:lineRule="auto"/>
        <w:ind w:right="797"/>
      </w:pPr>
      <w:r>
        <w:t xml:space="preserve">Zaburzenia widzenia mogą wystąpić w wyniku ogólnoustrojowego i miejscowego stosowania </w:t>
      </w:r>
      <w:r>
        <w:lastRenderedPageBreak/>
        <w:t>kortykosteroidów. Jeżeli u pacjenta wystąpią takie objawy, jak nieostre widzenie lub inne zaburzenia widzenia, należy rozważyć skierowanie go do okulisty w celu ustalenia możliwych przyczyn</w:t>
      </w:r>
      <w:r w:rsidR="00A02B45">
        <w:t xml:space="preserve"> zaburzeń widzenia</w:t>
      </w:r>
      <w:r>
        <w:t xml:space="preserve">, do których może należeć zaćma, jaskra lub rzadkie choroby, takie jak centralna </w:t>
      </w:r>
      <w:proofErr w:type="spellStart"/>
      <w:r>
        <w:t>chorioretinopatia</w:t>
      </w:r>
      <w:proofErr w:type="spellEnd"/>
      <w:r>
        <w:t xml:space="preserve"> surowicza (</w:t>
      </w:r>
      <w:r w:rsidR="00A02B45">
        <w:rPr>
          <w:i/>
          <w:iCs/>
        </w:rPr>
        <w:t xml:space="preserve">ang. Central </w:t>
      </w:r>
      <w:proofErr w:type="spellStart"/>
      <w:r w:rsidR="00A02B45">
        <w:rPr>
          <w:i/>
          <w:iCs/>
        </w:rPr>
        <w:t>Serous</w:t>
      </w:r>
      <w:proofErr w:type="spellEnd"/>
      <w:r w:rsidR="00A02B45">
        <w:rPr>
          <w:i/>
          <w:iCs/>
        </w:rPr>
        <w:t xml:space="preserve"> </w:t>
      </w:r>
      <w:proofErr w:type="spellStart"/>
      <w:r w:rsidR="00A02B45">
        <w:rPr>
          <w:i/>
          <w:iCs/>
        </w:rPr>
        <w:t>Chorioretinopathy</w:t>
      </w:r>
      <w:proofErr w:type="spellEnd"/>
      <w:r w:rsidR="00A02B45">
        <w:rPr>
          <w:i/>
          <w:iCs/>
        </w:rPr>
        <w:t xml:space="preserve"> - </w:t>
      </w:r>
      <w:r>
        <w:t>CSCR), którą notowano po ogólnoustrojowym i miejscowym stosowaniu kortykosteroidów.</w:t>
      </w:r>
    </w:p>
    <w:p w:rsidR="00D927EB" w:rsidRDefault="00D927EB" w:rsidP="0041762C">
      <w:pPr>
        <w:pStyle w:val="Tekstpodstawowy"/>
        <w:kinsoku w:val="0"/>
        <w:overflowPunct w:val="0"/>
        <w:spacing w:line="241" w:lineRule="auto"/>
        <w:ind w:right="797"/>
      </w:pPr>
    </w:p>
    <w:p w:rsidR="00C90CC3" w:rsidRPr="00560841" w:rsidRDefault="00C90CC3" w:rsidP="0041762C">
      <w:pPr>
        <w:kinsoku w:val="0"/>
        <w:overflowPunct w:val="0"/>
        <w:spacing w:line="170" w:lineRule="exact"/>
        <w:rPr>
          <w:sz w:val="22"/>
          <w:szCs w:val="22"/>
        </w:rPr>
      </w:pPr>
    </w:p>
    <w:p w:rsidR="0041762C" w:rsidRPr="00EA3932" w:rsidRDefault="0041762C" w:rsidP="0041762C">
      <w:pPr>
        <w:pStyle w:val="Tekstpodstawowy"/>
        <w:kinsoku w:val="0"/>
        <w:overflowPunct w:val="0"/>
        <w:spacing w:line="239" w:lineRule="auto"/>
        <w:ind w:right="228"/>
        <w:rPr>
          <w:u w:val="single"/>
        </w:rPr>
      </w:pPr>
      <w:r w:rsidRPr="00EA3932">
        <w:rPr>
          <w:u w:val="single"/>
        </w:rPr>
        <w:t>Dzieci i młodzież</w:t>
      </w:r>
    </w:p>
    <w:p w:rsidR="00884435" w:rsidRDefault="00884435" w:rsidP="0041762C">
      <w:pPr>
        <w:pStyle w:val="Tekstpodstawowy"/>
        <w:kinsoku w:val="0"/>
        <w:overflowPunct w:val="0"/>
        <w:spacing w:line="239" w:lineRule="auto"/>
        <w:ind w:right="228"/>
      </w:pPr>
      <w:r>
        <w:t>U d</w:t>
      </w:r>
      <w:r w:rsidR="00D9245C">
        <w:t xml:space="preserve">zieci, ze względu na większy niż u dorosłych stosunek </w:t>
      </w:r>
      <w:r w:rsidR="00D9245C" w:rsidRPr="00560841">
        <w:t xml:space="preserve">powierzchni </w:t>
      </w:r>
      <w:r w:rsidR="00D9245C">
        <w:t xml:space="preserve">ciała </w:t>
      </w:r>
      <w:r w:rsidR="00D9245C" w:rsidRPr="00560841">
        <w:t>do masy</w:t>
      </w:r>
      <w:r w:rsidR="006F47E9">
        <w:t xml:space="preserve">, </w:t>
      </w:r>
      <w:r w:rsidRPr="00884435">
        <w:t>istnieje większe prawdopodobieństwo podatności na toksyczność ogólnoustrojową podczas stosowania równoważnych dawek produktu leczniczego</w:t>
      </w:r>
      <w:r w:rsidR="00D9245C" w:rsidRPr="00560841">
        <w:t xml:space="preserve">. </w:t>
      </w:r>
    </w:p>
    <w:p w:rsidR="00884435" w:rsidRDefault="00884435" w:rsidP="0041762C">
      <w:pPr>
        <w:pStyle w:val="Tekstpodstawowy"/>
        <w:kinsoku w:val="0"/>
        <w:overflowPunct w:val="0"/>
        <w:spacing w:line="239" w:lineRule="auto"/>
        <w:ind w:right="228"/>
      </w:pPr>
    </w:p>
    <w:p w:rsidR="00D9245C" w:rsidRPr="00560841" w:rsidRDefault="00D9245C" w:rsidP="0041762C">
      <w:pPr>
        <w:pStyle w:val="Tekstpodstawowy"/>
        <w:kinsoku w:val="0"/>
        <w:overflowPunct w:val="0"/>
        <w:spacing w:line="239" w:lineRule="auto"/>
        <w:ind w:right="228"/>
      </w:pPr>
      <w:proofErr w:type="spellStart"/>
      <w:r>
        <w:t>Elosone</w:t>
      </w:r>
      <w:proofErr w:type="spellEnd"/>
      <w:r w:rsidRPr="003E0596">
        <w:t xml:space="preserve"> </w:t>
      </w:r>
      <w:r w:rsidR="00884435">
        <w:t xml:space="preserve">należy stosować ostrożnie </w:t>
      </w:r>
      <w:r w:rsidRPr="00560841">
        <w:t xml:space="preserve">u </w:t>
      </w:r>
      <w:r>
        <w:t>dzieci w wieku 2 lat</w:t>
      </w:r>
      <w:r w:rsidR="00884435">
        <w:t xml:space="preserve"> </w:t>
      </w:r>
      <w:r w:rsidR="00402854">
        <w:t>lub</w:t>
      </w:r>
      <w:r w:rsidR="00884435">
        <w:t xml:space="preserve"> starszych</w:t>
      </w:r>
      <w:r w:rsidRPr="00560841">
        <w:t xml:space="preserve">, </w:t>
      </w:r>
      <w:r w:rsidR="00884435">
        <w:t xml:space="preserve">choć nie zbadano bezpieczeństwa stosowania ani skuteczności produktu leczniczego </w:t>
      </w:r>
      <w:proofErr w:type="spellStart"/>
      <w:r w:rsidR="00884435">
        <w:t>Elosone</w:t>
      </w:r>
      <w:proofErr w:type="spellEnd"/>
      <w:r w:rsidR="00884435">
        <w:t xml:space="preserve"> przez okres dłuższy niż 3 tygodnie. N</w:t>
      </w:r>
      <w:r w:rsidRPr="00560841">
        <w:t xml:space="preserve">ie zaleca się stosowania </w:t>
      </w:r>
      <w:r w:rsidR="00884435">
        <w:t xml:space="preserve">produktu leczniczego </w:t>
      </w:r>
      <w:proofErr w:type="spellStart"/>
      <w:r w:rsidR="00884435">
        <w:t>Elosone</w:t>
      </w:r>
      <w:proofErr w:type="spellEnd"/>
      <w:r w:rsidR="00884435">
        <w:t xml:space="preserve"> u dzieci w wieku poniżej 2 lat, gdyż nie określono bezpieczeństwa stosowania ani skuteczności produktu leczniczego </w:t>
      </w:r>
      <w:r w:rsidRPr="00560841">
        <w:t>w tej grupie wiekowej.</w:t>
      </w:r>
    </w:p>
    <w:p w:rsidR="00884435" w:rsidRDefault="00BB16C4" w:rsidP="0041762C">
      <w:pPr>
        <w:pStyle w:val="Tekstpodstawowy"/>
        <w:kinsoku w:val="0"/>
        <w:overflowPunct w:val="0"/>
        <w:spacing w:line="239" w:lineRule="auto"/>
        <w:ind w:right="189"/>
      </w:pPr>
      <w:r>
        <w:t>Przewlekłe leczenie kortykosteroidami może zaburzać wzrost i rozwój dzieci.</w:t>
      </w:r>
    </w:p>
    <w:p w:rsidR="00402854" w:rsidRDefault="00402854" w:rsidP="0041762C">
      <w:pPr>
        <w:pStyle w:val="Tekstpodstawowy"/>
        <w:kinsoku w:val="0"/>
        <w:overflowPunct w:val="0"/>
        <w:spacing w:line="239" w:lineRule="auto"/>
        <w:ind w:right="189"/>
      </w:pPr>
    </w:p>
    <w:p w:rsidR="000C26C3" w:rsidRDefault="000C26C3" w:rsidP="000C26C3">
      <w:pPr>
        <w:tabs>
          <w:tab w:val="left" w:pos="1134"/>
        </w:tabs>
        <w:kinsoku w:val="0"/>
        <w:overflowPunct w:val="0"/>
        <w:spacing w:before="76"/>
        <w:ind w:left="142"/>
        <w:rPr>
          <w:sz w:val="22"/>
          <w:szCs w:val="22"/>
        </w:rPr>
      </w:pPr>
      <w:r w:rsidRPr="00AE51C2">
        <w:rPr>
          <w:sz w:val="22"/>
          <w:szCs w:val="22"/>
        </w:rPr>
        <w:t xml:space="preserve">1 g </w:t>
      </w:r>
      <w:proofErr w:type="spellStart"/>
      <w:r w:rsidR="00CB3A9B" w:rsidRPr="00AE51C2">
        <w:rPr>
          <w:sz w:val="22"/>
          <w:szCs w:val="22"/>
        </w:rPr>
        <w:t>Elosone</w:t>
      </w:r>
      <w:proofErr w:type="spellEnd"/>
      <w:r w:rsidR="00CB3A9B" w:rsidRPr="00AE51C2">
        <w:rPr>
          <w:sz w:val="22"/>
          <w:szCs w:val="22"/>
        </w:rPr>
        <w:t xml:space="preserve"> </w:t>
      </w:r>
      <w:r w:rsidR="003E0596" w:rsidRPr="00AE51C2">
        <w:rPr>
          <w:sz w:val="22"/>
          <w:szCs w:val="22"/>
        </w:rPr>
        <w:t>zawiera</w:t>
      </w:r>
      <w:r w:rsidR="00A304D2" w:rsidRPr="000C26C3">
        <w:rPr>
          <w:sz w:val="22"/>
          <w:szCs w:val="22"/>
        </w:rPr>
        <w:t xml:space="preserve"> </w:t>
      </w:r>
      <w:r>
        <w:rPr>
          <w:sz w:val="22"/>
          <w:szCs w:val="22"/>
        </w:rPr>
        <w:t>300</w:t>
      </w:r>
      <w:r w:rsidR="00A304D2">
        <w:rPr>
          <w:sz w:val="22"/>
          <w:szCs w:val="22"/>
        </w:rPr>
        <w:t xml:space="preserve"> mg glikolu propylenowego</w:t>
      </w:r>
      <w:r>
        <w:rPr>
          <w:sz w:val="22"/>
          <w:szCs w:val="22"/>
        </w:rPr>
        <w:t>.</w:t>
      </w:r>
      <w:r w:rsidR="00A304D2">
        <w:rPr>
          <w:sz w:val="22"/>
          <w:szCs w:val="22"/>
        </w:rPr>
        <w:t xml:space="preserve"> </w:t>
      </w:r>
    </w:p>
    <w:p w:rsidR="00A304D2" w:rsidRPr="00296098" w:rsidRDefault="000C26C3" w:rsidP="00AE51C2">
      <w:pPr>
        <w:tabs>
          <w:tab w:val="left" w:pos="1134"/>
        </w:tabs>
        <w:kinsoku w:val="0"/>
        <w:overflowPunct w:val="0"/>
        <w:spacing w:before="76"/>
        <w:ind w:left="142"/>
        <w:rPr>
          <w:sz w:val="22"/>
          <w:szCs w:val="22"/>
        </w:rPr>
      </w:pPr>
      <w:r>
        <w:rPr>
          <w:sz w:val="22"/>
          <w:szCs w:val="22"/>
        </w:rPr>
        <w:t xml:space="preserve">1 kropla </w:t>
      </w:r>
      <w:proofErr w:type="spellStart"/>
      <w:r>
        <w:rPr>
          <w:sz w:val="22"/>
          <w:szCs w:val="22"/>
        </w:rPr>
        <w:t>Elosone</w:t>
      </w:r>
      <w:proofErr w:type="spellEnd"/>
      <w:r>
        <w:rPr>
          <w:sz w:val="22"/>
          <w:szCs w:val="22"/>
        </w:rPr>
        <w:t xml:space="preserve"> zawiera 6,45 mg glikolu propylenowego.</w:t>
      </w:r>
    </w:p>
    <w:p w:rsidR="003B3C7C" w:rsidRDefault="003B3C7C" w:rsidP="0041762C">
      <w:pPr>
        <w:pStyle w:val="Tekstpodstawowy"/>
        <w:kinsoku w:val="0"/>
        <w:overflowPunct w:val="0"/>
        <w:spacing w:line="239" w:lineRule="auto"/>
        <w:ind w:right="189"/>
      </w:pPr>
    </w:p>
    <w:p w:rsidR="00C90CC3" w:rsidRPr="00560841" w:rsidRDefault="00C90CC3" w:rsidP="0041762C">
      <w:pPr>
        <w:kinsoku w:val="0"/>
        <w:overflowPunct w:val="0"/>
        <w:spacing w:line="240" w:lineRule="exact"/>
        <w:rPr>
          <w:sz w:val="22"/>
          <w:szCs w:val="22"/>
        </w:rPr>
      </w:pPr>
    </w:p>
    <w:p w:rsidR="00C90CC3" w:rsidRPr="00560841" w:rsidRDefault="00C90CC3" w:rsidP="0041762C">
      <w:pPr>
        <w:pStyle w:val="Nagwek1"/>
        <w:numPr>
          <w:ilvl w:val="1"/>
          <w:numId w:val="2"/>
        </w:numPr>
        <w:tabs>
          <w:tab w:val="left" w:pos="445"/>
        </w:tabs>
        <w:kinsoku w:val="0"/>
        <w:overflowPunct w:val="0"/>
        <w:ind w:hanging="330"/>
      </w:pPr>
      <w:r w:rsidRPr="00560841">
        <w:t>Interakcje z innymi produktami leczniczymi i inne rodzaje interakcji</w:t>
      </w:r>
    </w:p>
    <w:p w:rsidR="00C90CC3" w:rsidRPr="00560841" w:rsidRDefault="00C90CC3" w:rsidP="0041762C">
      <w:pPr>
        <w:kinsoku w:val="0"/>
        <w:overflowPunct w:val="0"/>
        <w:spacing w:line="240" w:lineRule="exact"/>
        <w:rPr>
          <w:sz w:val="22"/>
          <w:szCs w:val="22"/>
        </w:rPr>
      </w:pPr>
    </w:p>
    <w:p w:rsidR="0041762C" w:rsidRDefault="00BB16C4" w:rsidP="00610450">
      <w:pPr>
        <w:pStyle w:val="Tekstpodstawowy"/>
        <w:kinsoku w:val="0"/>
        <w:overflowPunct w:val="0"/>
        <w:spacing w:line="239" w:lineRule="auto"/>
        <w:ind w:right="189"/>
      </w:pPr>
      <w:r>
        <w:t xml:space="preserve">Brak dostępnych danych. </w:t>
      </w:r>
    </w:p>
    <w:p w:rsidR="00C90CC3" w:rsidRPr="00560841" w:rsidRDefault="00C90CC3" w:rsidP="00610450">
      <w:pPr>
        <w:pStyle w:val="Tekstpodstawowy"/>
        <w:kinsoku w:val="0"/>
        <w:overflowPunct w:val="0"/>
        <w:spacing w:line="239" w:lineRule="auto"/>
        <w:ind w:right="189"/>
      </w:pPr>
    </w:p>
    <w:p w:rsidR="00C90CC3" w:rsidRPr="00560841" w:rsidRDefault="00C90CC3" w:rsidP="0041762C">
      <w:pPr>
        <w:pStyle w:val="Nagwek1"/>
        <w:numPr>
          <w:ilvl w:val="1"/>
          <w:numId w:val="2"/>
        </w:numPr>
        <w:tabs>
          <w:tab w:val="left" w:pos="452"/>
        </w:tabs>
        <w:kinsoku w:val="0"/>
        <w:overflowPunct w:val="0"/>
        <w:ind w:left="452" w:hanging="336"/>
      </w:pPr>
      <w:r w:rsidRPr="00560841">
        <w:t>Wpływ na płodność, ciążę i laktację</w:t>
      </w:r>
    </w:p>
    <w:p w:rsidR="00C90CC3" w:rsidRPr="00560841" w:rsidRDefault="00C90CC3" w:rsidP="0041762C">
      <w:pPr>
        <w:kinsoku w:val="0"/>
        <w:overflowPunct w:val="0"/>
        <w:spacing w:line="240" w:lineRule="exact"/>
        <w:rPr>
          <w:sz w:val="22"/>
          <w:szCs w:val="22"/>
        </w:rPr>
      </w:pPr>
    </w:p>
    <w:p w:rsidR="00BB16C4" w:rsidRDefault="00BB16C4" w:rsidP="0041762C">
      <w:pPr>
        <w:kinsoku w:val="0"/>
        <w:overflowPunct w:val="0"/>
        <w:ind w:left="116"/>
        <w:rPr>
          <w:sz w:val="22"/>
          <w:szCs w:val="22"/>
        </w:rPr>
      </w:pPr>
      <w:r>
        <w:rPr>
          <w:sz w:val="22"/>
          <w:szCs w:val="22"/>
        </w:rPr>
        <w:t xml:space="preserve">W czasie ciąży i karmienia piersią leczenie produktem leczniczym </w:t>
      </w:r>
      <w:proofErr w:type="spellStart"/>
      <w:r>
        <w:rPr>
          <w:sz w:val="22"/>
          <w:szCs w:val="22"/>
        </w:rPr>
        <w:t>Elo</w:t>
      </w:r>
      <w:r w:rsidR="00D46F9D">
        <w:rPr>
          <w:sz w:val="22"/>
          <w:szCs w:val="22"/>
        </w:rPr>
        <w:t>sone</w:t>
      </w:r>
      <w:proofErr w:type="spellEnd"/>
      <w:r>
        <w:rPr>
          <w:sz w:val="22"/>
          <w:szCs w:val="22"/>
        </w:rPr>
        <w:t xml:space="preserve"> powinno być prow</w:t>
      </w:r>
      <w:r w:rsidR="004F5374">
        <w:rPr>
          <w:sz w:val="22"/>
          <w:szCs w:val="22"/>
        </w:rPr>
        <w:t>a</w:t>
      </w:r>
      <w:r>
        <w:rPr>
          <w:sz w:val="22"/>
          <w:szCs w:val="22"/>
        </w:rPr>
        <w:t xml:space="preserve">dzone wyłącznie na polecenie lekarza. Należy unikać nakładania produktu leczniczego na dużą powierzchnię ciała lub przez dłuższy czas. </w:t>
      </w:r>
    </w:p>
    <w:p w:rsidR="00BB16C4" w:rsidRDefault="00BB16C4" w:rsidP="0041762C">
      <w:pPr>
        <w:kinsoku w:val="0"/>
        <w:overflowPunct w:val="0"/>
        <w:ind w:left="116"/>
        <w:rPr>
          <w:sz w:val="22"/>
          <w:szCs w:val="22"/>
        </w:rPr>
      </w:pPr>
    </w:p>
    <w:p w:rsidR="00C90CC3" w:rsidRPr="00560841" w:rsidRDefault="00C90CC3" w:rsidP="0041762C">
      <w:pPr>
        <w:kinsoku w:val="0"/>
        <w:overflowPunct w:val="0"/>
        <w:ind w:left="116"/>
        <w:rPr>
          <w:i/>
          <w:iCs/>
          <w:sz w:val="22"/>
          <w:szCs w:val="22"/>
          <w:u w:val="single"/>
        </w:rPr>
      </w:pPr>
      <w:r w:rsidRPr="00560841">
        <w:rPr>
          <w:i/>
          <w:iCs/>
          <w:sz w:val="22"/>
          <w:szCs w:val="22"/>
          <w:u w:val="single"/>
        </w:rPr>
        <w:t>Ciąża</w:t>
      </w:r>
    </w:p>
    <w:p w:rsidR="00C90CC3" w:rsidRPr="00560841" w:rsidRDefault="00BB16C4" w:rsidP="0041762C">
      <w:pPr>
        <w:pStyle w:val="Tekstpodstawowy"/>
        <w:kinsoku w:val="0"/>
        <w:overflowPunct w:val="0"/>
        <w:ind w:right="150"/>
      </w:pPr>
      <w:r>
        <w:t>Nie ma</w:t>
      </w:r>
      <w:r w:rsidR="00C90CC3" w:rsidRPr="00560841">
        <w:t xml:space="preserve"> wystarczających danych dotyczących bezpieczeństwa stosowania </w:t>
      </w:r>
      <w:r>
        <w:t xml:space="preserve">produktu leczniczego podczas ciąży </w:t>
      </w:r>
      <w:r w:rsidR="00C90CC3" w:rsidRPr="00560841">
        <w:t xml:space="preserve">u ludzi. Miejscowe </w:t>
      </w:r>
      <w:r>
        <w:t>podawanie</w:t>
      </w:r>
      <w:r w:rsidRPr="00560841">
        <w:t xml:space="preserve"> </w:t>
      </w:r>
      <w:r w:rsidR="00C90CC3" w:rsidRPr="00560841">
        <w:t>kortykosteroidów ciężarny</w:t>
      </w:r>
      <w:r>
        <w:t>m</w:t>
      </w:r>
      <w:r w:rsidR="00C90CC3" w:rsidRPr="00560841">
        <w:t xml:space="preserve"> zwierz</w:t>
      </w:r>
      <w:r>
        <w:t>ętom</w:t>
      </w:r>
      <w:r w:rsidR="00C90CC3" w:rsidRPr="00560841">
        <w:t xml:space="preserve"> może </w:t>
      </w:r>
      <w:r>
        <w:t>być przyczyną</w:t>
      </w:r>
      <w:r w:rsidR="004F5374">
        <w:t xml:space="preserve"> </w:t>
      </w:r>
      <w:r>
        <w:t>nieprawidłow</w:t>
      </w:r>
      <w:r w:rsidR="00733C00">
        <w:t>ości</w:t>
      </w:r>
      <w:r w:rsidR="00C90CC3" w:rsidRPr="00560841">
        <w:t xml:space="preserve"> rozwoj</w:t>
      </w:r>
      <w:r>
        <w:t>u</w:t>
      </w:r>
      <w:r w:rsidR="00C90CC3" w:rsidRPr="00560841">
        <w:t xml:space="preserve"> płod</w:t>
      </w:r>
      <w:r>
        <w:t>owego</w:t>
      </w:r>
      <w:r w:rsidR="00C90CC3" w:rsidRPr="00560841">
        <w:t>, w tym rozszczep</w:t>
      </w:r>
      <w:r>
        <w:t>u</w:t>
      </w:r>
      <w:r w:rsidR="00C90CC3" w:rsidRPr="00560841">
        <w:t xml:space="preserve"> podniebienia i wewnątrzmaciczne</w:t>
      </w:r>
      <w:r>
        <w:t>go</w:t>
      </w:r>
      <w:r w:rsidR="00C90CC3" w:rsidRPr="00560841">
        <w:t xml:space="preserve"> opóźnieni</w:t>
      </w:r>
      <w:r>
        <w:t>a</w:t>
      </w:r>
      <w:r w:rsidR="00C90CC3" w:rsidRPr="00560841">
        <w:t xml:space="preserve"> wzrastania</w:t>
      </w:r>
      <w:r>
        <w:t xml:space="preserve"> płodu</w:t>
      </w:r>
      <w:r w:rsidR="00C90CC3" w:rsidRPr="00560841">
        <w:t>.</w:t>
      </w:r>
    </w:p>
    <w:p w:rsidR="00C90CC3" w:rsidRPr="00560841" w:rsidRDefault="00C90CC3" w:rsidP="0041762C">
      <w:pPr>
        <w:kinsoku w:val="0"/>
        <w:overflowPunct w:val="0"/>
        <w:spacing w:line="170" w:lineRule="exact"/>
        <w:rPr>
          <w:sz w:val="22"/>
          <w:szCs w:val="22"/>
        </w:rPr>
      </w:pPr>
    </w:p>
    <w:p w:rsidR="00733C00" w:rsidRDefault="00C90CC3" w:rsidP="0041762C">
      <w:pPr>
        <w:pStyle w:val="Tekstpodstawowy"/>
        <w:kinsoku w:val="0"/>
        <w:overflowPunct w:val="0"/>
        <w:ind w:right="212"/>
      </w:pPr>
      <w:r w:rsidRPr="00560841">
        <w:t xml:space="preserve">Nie przeprowadzono odpowiednich i dobrze </w:t>
      </w:r>
      <w:r w:rsidR="00BB16C4">
        <w:t>kontrolowanych</w:t>
      </w:r>
      <w:r w:rsidR="00BB16C4" w:rsidRPr="00560841">
        <w:t xml:space="preserve"> </w:t>
      </w:r>
      <w:r w:rsidRPr="00560841">
        <w:t>badań</w:t>
      </w:r>
      <w:r w:rsidR="004F5374">
        <w:t xml:space="preserve"> </w:t>
      </w:r>
      <w:r w:rsidR="00BB16C4">
        <w:t>dotyczących</w:t>
      </w:r>
      <w:r w:rsidRPr="00560841">
        <w:t xml:space="preserve"> stosowani</w:t>
      </w:r>
      <w:r w:rsidR="00BB16C4">
        <w:t>a</w:t>
      </w:r>
      <w:r w:rsidR="004B5723">
        <w:t xml:space="preserve"> produktu leczniczego</w:t>
      </w:r>
      <w:r w:rsidRPr="00560841">
        <w:t xml:space="preserve"> </w:t>
      </w:r>
      <w:proofErr w:type="spellStart"/>
      <w:r w:rsidR="00CB3A9B">
        <w:t>Elosone</w:t>
      </w:r>
      <w:proofErr w:type="spellEnd"/>
      <w:r w:rsidR="00CB3A9B" w:rsidRPr="00740444">
        <w:t xml:space="preserve"> </w:t>
      </w:r>
      <w:r w:rsidRPr="00560841">
        <w:t xml:space="preserve">u kobiet w ciąży, </w:t>
      </w:r>
      <w:r w:rsidR="00BB16C4">
        <w:t>zatem</w:t>
      </w:r>
      <w:r w:rsidRPr="00560841">
        <w:t xml:space="preserve"> ryzyko </w:t>
      </w:r>
      <w:r w:rsidR="00BB16C4">
        <w:t xml:space="preserve">wystąpienia </w:t>
      </w:r>
      <w:r w:rsidRPr="00560841">
        <w:t xml:space="preserve">takiego </w:t>
      </w:r>
      <w:r w:rsidR="00BB16C4">
        <w:t xml:space="preserve">wpływu </w:t>
      </w:r>
      <w:r w:rsidRPr="00560841">
        <w:t xml:space="preserve">na ludzki płód jest nieznane. </w:t>
      </w:r>
      <w:r w:rsidR="00FB1826">
        <w:t>P</w:t>
      </w:r>
      <w:r w:rsidRPr="00560841">
        <w:t xml:space="preserve">odobnie jak w przypadku wszystkich </w:t>
      </w:r>
      <w:r w:rsidR="00FB1826">
        <w:t xml:space="preserve">stosowanych </w:t>
      </w:r>
      <w:r w:rsidRPr="00560841">
        <w:t>miejscow</w:t>
      </w:r>
      <w:r w:rsidR="00FB1826">
        <w:t>o</w:t>
      </w:r>
      <w:r w:rsidR="00F43E1A" w:rsidRPr="00F43E1A">
        <w:t xml:space="preserve"> </w:t>
      </w:r>
      <w:proofErr w:type="spellStart"/>
      <w:r w:rsidR="00F43E1A">
        <w:t>glikokortykosteroidów</w:t>
      </w:r>
      <w:proofErr w:type="spellEnd"/>
      <w:r w:rsidRPr="00560841">
        <w:t xml:space="preserve"> należy </w:t>
      </w:r>
      <w:r w:rsidR="00BB16C4">
        <w:t xml:space="preserve">wziąć pod uwagę prawdopodobieństwo </w:t>
      </w:r>
      <w:r w:rsidR="005D2634">
        <w:t xml:space="preserve">zaburzenia </w:t>
      </w:r>
      <w:r w:rsidRPr="00560841">
        <w:t>wzr</w:t>
      </w:r>
      <w:r w:rsidR="00BB16C4">
        <w:t>o</w:t>
      </w:r>
      <w:r w:rsidRPr="00560841">
        <w:t>st</w:t>
      </w:r>
      <w:r w:rsidR="00BB16C4">
        <w:t>u</w:t>
      </w:r>
      <w:r w:rsidRPr="00560841">
        <w:t xml:space="preserve"> płod</w:t>
      </w:r>
      <w:r w:rsidR="00BB16C4">
        <w:t>owego</w:t>
      </w:r>
      <w:r w:rsidRPr="00560841">
        <w:t xml:space="preserve"> </w:t>
      </w:r>
      <w:r w:rsidR="00CE7806">
        <w:t xml:space="preserve">w wyniku przenikania </w:t>
      </w:r>
      <w:proofErr w:type="spellStart"/>
      <w:r w:rsidR="004776B1">
        <w:t>glikokortykosteroidu</w:t>
      </w:r>
      <w:proofErr w:type="spellEnd"/>
      <w:r w:rsidR="004776B1">
        <w:t xml:space="preserve"> </w:t>
      </w:r>
      <w:r w:rsidRPr="00560841">
        <w:t>przez barierę łożysk</w:t>
      </w:r>
      <w:r w:rsidR="00BB16C4">
        <w:t>a</w:t>
      </w:r>
      <w:r w:rsidRPr="00560841">
        <w:t xml:space="preserve">. </w:t>
      </w:r>
    </w:p>
    <w:p w:rsidR="00C90CC3" w:rsidRPr="00560841" w:rsidRDefault="00267A63" w:rsidP="0041762C">
      <w:pPr>
        <w:pStyle w:val="Tekstpodstawowy"/>
        <w:kinsoku w:val="0"/>
        <w:overflowPunct w:val="0"/>
        <w:ind w:right="212"/>
      </w:pPr>
      <w:r>
        <w:t xml:space="preserve">Produkt leczniczy </w:t>
      </w:r>
      <w:proofErr w:type="spellStart"/>
      <w:r>
        <w:t>Elosone</w:t>
      </w:r>
      <w:proofErr w:type="spellEnd"/>
      <w:r>
        <w:t xml:space="preserve"> i wszystkie</w:t>
      </w:r>
      <w:r w:rsidR="00C90CC3" w:rsidRPr="00560841">
        <w:t xml:space="preserve"> inne</w:t>
      </w:r>
      <w:r w:rsidR="00E14EF4">
        <w:t xml:space="preserve"> </w:t>
      </w:r>
      <w:proofErr w:type="spellStart"/>
      <w:r w:rsidR="004776B1">
        <w:t>glikokortykosteroidy</w:t>
      </w:r>
      <w:proofErr w:type="spellEnd"/>
      <w:r>
        <w:t xml:space="preserve"> podawane miejscowo należy</w:t>
      </w:r>
      <w:r w:rsidR="00C90CC3" w:rsidRPr="00560841">
        <w:t xml:space="preserve"> stosować u kobiet w ciąży </w:t>
      </w:r>
      <w:r>
        <w:t>tylko</w:t>
      </w:r>
      <w:r w:rsidRPr="00560841">
        <w:t xml:space="preserve"> </w:t>
      </w:r>
      <w:r w:rsidR="00C90CC3" w:rsidRPr="00560841">
        <w:t>wtedy, gdy potencjaln</w:t>
      </w:r>
      <w:r>
        <w:t>e</w:t>
      </w:r>
      <w:r w:rsidR="00C90CC3" w:rsidRPr="00560841">
        <w:t xml:space="preserve"> korzyś</w:t>
      </w:r>
      <w:r>
        <w:t>ci</w:t>
      </w:r>
      <w:r w:rsidR="00C90CC3" w:rsidRPr="00560841">
        <w:t xml:space="preserve"> </w:t>
      </w:r>
      <w:r>
        <w:t xml:space="preserve">z leczenia </w:t>
      </w:r>
      <w:r w:rsidR="009767D1">
        <w:t>uzasadnia</w:t>
      </w:r>
      <w:r>
        <w:t>ją</w:t>
      </w:r>
      <w:r w:rsidR="009767D1">
        <w:t xml:space="preserve"> </w:t>
      </w:r>
      <w:r w:rsidR="00C90CC3" w:rsidRPr="00560841">
        <w:t>potencjalne ryzyko dla matki lub płodu.</w:t>
      </w:r>
    </w:p>
    <w:p w:rsidR="00C90CC3" w:rsidRPr="00560841" w:rsidRDefault="00C90CC3" w:rsidP="0041762C">
      <w:pPr>
        <w:kinsoku w:val="0"/>
        <w:overflowPunct w:val="0"/>
        <w:spacing w:line="180" w:lineRule="exact"/>
        <w:rPr>
          <w:sz w:val="22"/>
          <w:szCs w:val="22"/>
        </w:rPr>
      </w:pPr>
    </w:p>
    <w:p w:rsidR="00C90CC3" w:rsidRPr="00560841" w:rsidRDefault="00C90CC3" w:rsidP="0041762C">
      <w:pPr>
        <w:kinsoku w:val="0"/>
        <w:overflowPunct w:val="0"/>
        <w:ind w:left="116"/>
        <w:rPr>
          <w:i/>
          <w:iCs/>
          <w:sz w:val="22"/>
          <w:szCs w:val="22"/>
          <w:u w:val="single"/>
        </w:rPr>
      </w:pPr>
      <w:r w:rsidRPr="00560841">
        <w:rPr>
          <w:i/>
          <w:iCs/>
          <w:sz w:val="22"/>
          <w:szCs w:val="22"/>
          <w:u w:val="single"/>
        </w:rPr>
        <w:t>Karmienie piersią</w:t>
      </w:r>
    </w:p>
    <w:p w:rsidR="00C90CC3" w:rsidRPr="00560841" w:rsidRDefault="00C90CC3" w:rsidP="0041762C">
      <w:pPr>
        <w:pStyle w:val="Tekstpodstawowy"/>
        <w:kinsoku w:val="0"/>
        <w:overflowPunct w:val="0"/>
        <w:ind w:right="513"/>
      </w:pPr>
      <w:r w:rsidRPr="00560841">
        <w:t xml:space="preserve">Nie wiadomo, czy miejscowo </w:t>
      </w:r>
      <w:r w:rsidR="00812B58">
        <w:t>podawane</w:t>
      </w:r>
      <w:r w:rsidR="00812B58" w:rsidRPr="00560841">
        <w:t xml:space="preserve"> </w:t>
      </w:r>
      <w:r w:rsidRPr="00560841">
        <w:t xml:space="preserve">kortykosteroidy wchłaniają się </w:t>
      </w:r>
      <w:r w:rsidR="00812B58">
        <w:t xml:space="preserve">przez skórę </w:t>
      </w:r>
      <w:r w:rsidRPr="00560841">
        <w:t>do organizmu w</w:t>
      </w:r>
      <w:r w:rsidR="004F5374">
        <w:t> </w:t>
      </w:r>
      <w:r w:rsidR="00812B58">
        <w:t>takim</w:t>
      </w:r>
      <w:r w:rsidR="00812B58" w:rsidRPr="00560841">
        <w:t xml:space="preserve"> </w:t>
      </w:r>
      <w:r w:rsidRPr="00560841">
        <w:t xml:space="preserve">stopniu, </w:t>
      </w:r>
      <w:r w:rsidR="00812B58">
        <w:t>że mogą</w:t>
      </w:r>
      <w:r w:rsidR="00812B58" w:rsidRPr="00560841">
        <w:t xml:space="preserve"> </w:t>
      </w:r>
      <w:r w:rsidR="00D45A1E">
        <w:t xml:space="preserve">przeniknąć </w:t>
      </w:r>
      <w:r w:rsidRPr="00560841">
        <w:t>do mleka kobie</w:t>
      </w:r>
      <w:r w:rsidR="00812B58">
        <w:t>t karmiących piersią</w:t>
      </w:r>
      <w:r w:rsidRPr="00560841">
        <w:t xml:space="preserve">. </w:t>
      </w:r>
      <w:proofErr w:type="spellStart"/>
      <w:r w:rsidR="00CB3A9B">
        <w:t>Elosone</w:t>
      </w:r>
      <w:proofErr w:type="spellEnd"/>
      <w:r w:rsidR="00CB3A9B" w:rsidRPr="00740444">
        <w:t xml:space="preserve"> </w:t>
      </w:r>
      <w:r w:rsidR="00812B58">
        <w:t>należy</w:t>
      </w:r>
      <w:r w:rsidR="00812B58" w:rsidRPr="00560841">
        <w:t xml:space="preserve"> </w:t>
      </w:r>
      <w:r w:rsidRPr="00560841">
        <w:t xml:space="preserve">podawać matkom karmiącym piersią </w:t>
      </w:r>
      <w:r w:rsidR="00812B58">
        <w:t xml:space="preserve">tylko </w:t>
      </w:r>
      <w:r w:rsidRPr="00560841">
        <w:t xml:space="preserve">po starannym rozważeniu </w:t>
      </w:r>
      <w:r w:rsidR="00E92DC8">
        <w:t xml:space="preserve">stosunku </w:t>
      </w:r>
      <w:r w:rsidRPr="00560841">
        <w:t>ryzyka</w:t>
      </w:r>
      <w:r w:rsidR="00812B58">
        <w:t xml:space="preserve"> i </w:t>
      </w:r>
      <w:r w:rsidR="00812B58" w:rsidRPr="00560841">
        <w:t>korzyści</w:t>
      </w:r>
      <w:r w:rsidR="00812B58">
        <w:t xml:space="preserve"> z</w:t>
      </w:r>
      <w:r w:rsidR="008A464A">
        <w:t xml:space="preserve"> leczenia</w:t>
      </w:r>
      <w:r w:rsidRPr="00560841">
        <w:t>. Je</w:t>
      </w:r>
      <w:r w:rsidR="00812B58">
        <w:t>śli</w:t>
      </w:r>
      <w:r w:rsidRPr="00560841">
        <w:t xml:space="preserve"> wskazane jest </w:t>
      </w:r>
      <w:r w:rsidR="00812B58">
        <w:t>stosowanie</w:t>
      </w:r>
      <w:r w:rsidR="00812B58" w:rsidRPr="00560841">
        <w:t xml:space="preserve"> </w:t>
      </w:r>
      <w:r w:rsidRPr="00560841">
        <w:t>większy</w:t>
      </w:r>
      <w:r w:rsidR="00812B58">
        <w:t>ch</w:t>
      </w:r>
      <w:r w:rsidRPr="00560841">
        <w:t xml:space="preserve"> daw</w:t>
      </w:r>
      <w:r w:rsidR="00812B58">
        <w:t>e</w:t>
      </w:r>
      <w:r w:rsidRPr="00560841">
        <w:t xml:space="preserve">k lub </w:t>
      </w:r>
      <w:r w:rsidR="00133CD2">
        <w:t>dłu</w:t>
      </w:r>
      <w:r w:rsidR="00700F77">
        <w:t>gotrwał</w:t>
      </w:r>
      <w:r w:rsidR="00812B58">
        <w:t>a terapia</w:t>
      </w:r>
      <w:r w:rsidRPr="00560841">
        <w:t xml:space="preserve">, należy </w:t>
      </w:r>
      <w:r w:rsidR="00812B58">
        <w:t>przerwać</w:t>
      </w:r>
      <w:r w:rsidR="00812B58" w:rsidRPr="00560841">
        <w:t xml:space="preserve"> </w:t>
      </w:r>
      <w:r w:rsidRPr="00560841">
        <w:t>karmieni</w:t>
      </w:r>
      <w:r w:rsidR="00812B58">
        <w:t>e</w:t>
      </w:r>
      <w:r w:rsidRPr="00560841">
        <w:t xml:space="preserve"> piersią. </w:t>
      </w:r>
    </w:p>
    <w:p w:rsidR="00C90CC3" w:rsidRPr="00560841" w:rsidRDefault="00C90CC3" w:rsidP="0041762C">
      <w:pPr>
        <w:kinsoku w:val="0"/>
        <w:overflowPunct w:val="0"/>
        <w:spacing w:line="240" w:lineRule="exact"/>
        <w:rPr>
          <w:sz w:val="22"/>
          <w:szCs w:val="22"/>
        </w:rPr>
      </w:pPr>
    </w:p>
    <w:p w:rsidR="00C90CC3" w:rsidRPr="00560841" w:rsidRDefault="00C90CC3" w:rsidP="0041762C">
      <w:pPr>
        <w:pStyle w:val="Nagwek1"/>
        <w:numPr>
          <w:ilvl w:val="1"/>
          <w:numId w:val="2"/>
        </w:numPr>
        <w:tabs>
          <w:tab w:val="left" w:pos="585"/>
        </w:tabs>
        <w:kinsoku w:val="0"/>
        <w:overflowPunct w:val="0"/>
        <w:ind w:left="585" w:hanging="443"/>
      </w:pPr>
      <w:r w:rsidRPr="00560841">
        <w:t>Wpływ na zdolność prowadzenia pojazdów i obsługiwania maszyn</w:t>
      </w:r>
    </w:p>
    <w:p w:rsidR="00C90CC3" w:rsidRPr="00560841" w:rsidRDefault="00C90CC3" w:rsidP="0041762C">
      <w:pPr>
        <w:kinsoku w:val="0"/>
        <w:overflowPunct w:val="0"/>
        <w:spacing w:line="240" w:lineRule="exact"/>
        <w:rPr>
          <w:sz w:val="22"/>
          <w:szCs w:val="22"/>
        </w:rPr>
      </w:pPr>
    </w:p>
    <w:p w:rsidR="0041762C" w:rsidRDefault="002A5634" w:rsidP="00610450">
      <w:pPr>
        <w:pStyle w:val="Tekstpodstawowy"/>
        <w:kinsoku w:val="0"/>
        <w:overflowPunct w:val="0"/>
        <w:ind w:right="513"/>
      </w:pPr>
      <w:proofErr w:type="spellStart"/>
      <w:r>
        <w:t>Elosone</w:t>
      </w:r>
      <w:proofErr w:type="spellEnd"/>
      <w:r>
        <w:t xml:space="preserve"> nie ma wpływu na zdolność prowadzenia pojazdów i obsługiwania maszyn. </w:t>
      </w:r>
    </w:p>
    <w:p w:rsidR="00C90CC3" w:rsidRPr="00560841" w:rsidRDefault="00C90CC3" w:rsidP="00610450">
      <w:pPr>
        <w:pStyle w:val="Tekstpodstawowy"/>
        <w:kinsoku w:val="0"/>
        <w:overflowPunct w:val="0"/>
        <w:ind w:right="513"/>
      </w:pPr>
    </w:p>
    <w:p w:rsidR="00C90CC3" w:rsidRPr="00560841" w:rsidRDefault="00C90CC3" w:rsidP="0041762C">
      <w:pPr>
        <w:pStyle w:val="Nagwek1"/>
        <w:numPr>
          <w:ilvl w:val="1"/>
          <w:numId w:val="2"/>
        </w:numPr>
        <w:tabs>
          <w:tab w:val="left" w:pos="567"/>
        </w:tabs>
        <w:kinsoku w:val="0"/>
        <w:overflowPunct w:val="0"/>
        <w:ind w:left="426" w:hanging="330"/>
      </w:pPr>
      <w:r w:rsidRPr="00560841">
        <w:t>Działania niepożądane</w:t>
      </w:r>
    </w:p>
    <w:p w:rsidR="00C90CC3" w:rsidRPr="00560841" w:rsidRDefault="00C90CC3" w:rsidP="0041762C">
      <w:pPr>
        <w:kinsoku w:val="0"/>
        <w:overflowPunct w:val="0"/>
        <w:spacing w:line="240" w:lineRule="exact"/>
        <w:rPr>
          <w:sz w:val="22"/>
          <w:szCs w:val="22"/>
        </w:rPr>
      </w:pPr>
    </w:p>
    <w:p w:rsidR="00C90CC3" w:rsidRPr="00560841" w:rsidRDefault="00C90CC3" w:rsidP="0041762C">
      <w:pPr>
        <w:pStyle w:val="Tekstpodstawowy"/>
        <w:kinsoku w:val="0"/>
        <w:overflowPunct w:val="0"/>
        <w:ind w:left="142"/>
      </w:pPr>
      <w:r w:rsidRPr="00560841">
        <w:t xml:space="preserve">Działania niepożądane </w:t>
      </w:r>
      <w:r w:rsidR="002A5634" w:rsidRPr="002A5634">
        <w:t xml:space="preserve">występujące w czasie leczenia produktem </w:t>
      </w:r>
      <w:proofErr w:type="spellStart"/>
      <w:r w:rsidR="002A5634" w:rsidRPr="002A5634">
        <w:t>Elo</w:t>
      </w:r>
      <w:r w:rsidR="002A5634">
        <w:t>sone</w:t>
      </w:r>
      <w:proofErr w:type="spellEnd"/>
      <w:r w:rsidR="002A5634" w:rsidRPr="002A5634">
        <w:t xml:space="preserve"> przedstawiono według </w:t>
      </w:r>
      <w:r w:rsidR="004F5374">
        <w:t>k</w:t>
      </w:r>
      <w:r w:rsidR="002A5634" w:rsidRPr="002A5634">
        <w:t>lasyfikacji układów i narządów oraz częstości występowania</w:t>
      </w:r>
      <w:r w:rsidRPr="00560841">
        <w:t>:</w:t>
      </w:r>
    </w:p>
    <w:p w:rsidR="00C90CC3" w:rsidRPr="00560841" w:rsidRDefault="00626D0E" w:rsidP="0041762C">
      <w:pPr>
        <w:pStyle w:val="Tekstpodstawowy"/>
        <w:kinsoku w:val="0"/>
        <w:overflowPunct w:val="0"/>
        <w:spacing w:line="250" w:lineRule="exact"/>
        <w:ind w:left="142" w:right="237"/>
      </w:pPr>
      <w:r>
        <w:t>b</w:t>
      </w:r>
      <w:r w:rsidR="00C90CC3" w:rsidRPr="00560841">
        <w:t>ardzo często (</w:t>
      </w:r>
      <w:r w:rsidR="00560841" w:rsidRPr="00560841">
        <w:t>≥</w:t>
      </w:r>
      <w:r w:rsidR="00C90CC3" w:rsidRPr="00560841">
        <w:t>/10), często (</w:t>
      </w:r>
      <w:r w:rsidR="00560841" w:rsidRPr="00560841">
        <w:t>≥</w:t>
      </w:r>
      <w:r w:rsidR="00C90CC3" w:rsidRPr="00560841">
        <w:t>1/100 do &lt;1/10), niezbyt często (</w:t>
      </w:r>
      <w:r w:rsidR="00560841" w:rsidRPr="00560841">
        <w:t>≥</w:t>
      </w:r>
      <w:r w:rsidR="00C90CC3" w:rsidRPr="00560841">
        <w:t>1/1 000 do &lt;1/100), rzadko (</w:t>
      </w:r>
      <w:r w:rsidR="00560841" w:rsidRPr="00560841">
        <w:t>≥</w:t>
      </w:r>
      <w:r w:rsidR="00C90CC3" w:rsidRPr="00560841">
        <w:t>1/10 000 do &lt;1/1 000), bardzo rzadko (&lt;1/10 000), nieznana (</w:t>
      </w:r>
      <w:r w:rsidR="004F5374">
        <w:t xml:space="preserve">częstość </w:t>
      </w:r>
      <w:r w:rsidR="00C90CC3" w:rsidRPr="00560841">
        <w:t>nie moż</w:t>
      </w:r>
      <w:r w:rsidR="004F5374">
        <w:t>e być określona</w:t>
      </w:r>
      <w:r w:rsidR="00C90CC3" w:rsidRPr="00560841">
        <w:t xml:space="preserve"> na podstawie dostępnych danych).</w:t>
      </w:r>
    </w:p>
    <w:p w:rsidR="00C90CC3" w:rsidRPr="00560841" w:rsidRDefault="00C90CC3" w:rsidP="0041762C">
      <w:pPr>
        <w:kinsoku w:val="0"/>
        <w:overflowPunct w:val="0"/>
        <w:spacing w:line="260" w:lineRule="exact"/>
        <w:rPr>
          <w:sz w:val="22"/>
          <w:szCs w:val="22"/>
        </w:rPr>
      </w:pPr>
    </w:p>
    <w:tbl>
      <w:tblPr>
        <w:tblW w:w="9392" w:type="dxa"/>
        <w:tblInd w:w="111" w:type="dxa"/>
        <w:tblLayout w:type="fixed"/>
        <w:tblCellMar>
          <w:left w:w="0" w:type="dxa"/>
          <w:right w:w="0" w:type="dxa"/>
        </w:tblCellMar>
        <w:tblLook w:val="0000" w:firstRow="0" w:lastRow="0" w:firstColumn="0" w:lastColumn="0" w:noHBand="0" w:noVBand="0"/>
      </w:tblPr>
      <w:tblGrid>
        <w:gridCol w:w="2446"/>
        <w:gridCol w:w="2126"/>
        <w:gridCol w:w="4820"/>
      </w:tblGrid>
      <w:tr w:rsidR="00BF1430" w:rsidRPr="00560841" w:rsidTr="00610450">
        <w:trPr>
          <w:trHeight w:val="537"/>
          <w:tblHeader/>
        </w:trPr>
        <w:tc>
          <w:tcPr>
            <w:tcW w:w="2446" w:type="dxa"/>
            <w:tcBorders>
              <w:top w:val="single" w:sz="4" w:space="0" w:color="000000"/>
              <w:left w:val="single" w:sz="4" w:space="0" w:color="000000"/>
              <w:bottom w:val="single" w:sz="4" w:space="0" w:color="000000"/>
              <w:right w:val="single" w:sz="4" w:space="0" w:color="000000"/>
            </w:tcBorders>
          </w:tcPr>
          <w:p w:rsidR="00BF1430" w:rsidRPr="00F91BE2" w:rsidRDefault="00BF1430" w:rsidP="0041762C">
            <w:pPr>
              <w:pStyle w:val="TableParagraph"/>
              <w:kinsoku w:val="0"/>
              <w:overflowPunct w:val="0"/>
              <w:spacing w:line="248" w:lineRule="exact"/>
              <w:ind w:left="104"/>
              <w:rPr>
                <w:b/>
                <w:bCs/>
                <w:sz w:val="22"/>
                <w:szCs w:val="22"/>
              </w:rPr>
            </w:pPr>
            <w:r w:rsidRPr="0041762C">
              <w:rPr>
                <w:b/>
              </w:rPr>
              <w:t>Klasyfikacja układów i</w:t>
            </w:r>
            <w:r w:rsidR="00280A98" w:rsidRPr="0041762C">
              <w:rPr>
                <w:b/>
              </w:rPr>
              <w:t> </w:t>
            </w:r>
            <w:r w:rsidRPr="0041762C">
              <w:rPr>
                <w:b/>
              </w:rPr>
              <w:t>narządów</w:t>
            </w:r>
          </w:p>
        </w:tc>
        <w:tc>
          <w:tcPr>
            <w:tcW w:w="2126" w:type="dxa"/>
            <w:tcBorders>
              <w:top w:val="single" w:sz="4" w:space="0" w:color="000000"/>
              <w:left w:val="single" w:sz="4" w:space="0" w:color="000000"/>
              <w:bottom w:val="single" w:sz="4" w:space="0" w:color="000000"/>
              <w:right w:val="single" w:sz="4" w:space="0" w:color="000000"/>
            </w:tcBorders>
          </w:tcPr>
          <w:p w:rsidR="00BF1430" w:rsidRPr="0041762C" w:rsidRDefault="00BF1430" w:rsidP="0041762C">
            <w:pPr>
              <w:pStyle w:val="TableParagraph"/>
              <w:kinsoku w:val="0"/>
              <w:overflowPunct w:val="0"/>
              <w:spacing w:line="240" w:lineRule="exact"/>
              <w:ind w:left="144"/>
              <w:rPr>
                <w:b/>
              </w:rPr>
            </w:pPr>
            <w:r w:rsidRPr="0041762C">
              <w:rPr>
                <w:b/>
              </w:rPr>
              <w:t>Częstość</w:t>
            </w:r>
          </w:p>
        </w:tc>
        <w:tc>
          <w:tcPr>
            <w:tcW w:w="4820" w:type="dxa"/>
            <w:tcBorders>
              <w:top w:val="single" w:sz="4" w:space="0" w:color="000000"/>
              <w:left w:val="single" w:sz="4" w:space="0" w:color="000000"/>
              <w:bottom w:val="single" w:sz="4" w:space="0" w:color="000000"/>
              <w:right w:val="single" w:sz="4" w:space="0" w:color="000000"/>
            </w:tcBorders>
          </w:tcPr>
          <w:p w:rsidR="00BF1430" w:rsidRPr="0041762C" w:rsidRDefault="00BF1430" w:rsidP="0041762C">
            <w:pPr>
              <w:pStyle w:val="TableParagraph"/>
              <w:kinsoku w:val="0"/>
              <w:overflowPunct w:val="0"/>
              <w:spacing w:line="240" w:lineRule="exact"/>
              <w:ind w:left="140"/>
              <w:rPr>
                <w:b/>
              </w:rPr>
            </w:pPr>
            <w:r w:rsidRPr="0041762C">
              <w:rPr>
                <w:b/>
              </w:rPr>
              <w:t>Działanie niepożądane</w:t>
            </w:r>
          </w:p>
        </w:tc>
      </w:tr>
      <w:tr w:rsidR="00BF1430" w:rsidRPr="00560841" w:rsidTr="0041762C">
        <w:trPr>
          <w:trHeight w:val="572"/>
        </w:trPr>
        <w:tc>
          <w:tcPr>
            <w:tcW w:w="2446" w:type="dxa"/>
            <w:tcBorders>
              <w:top w:val="single" w:sz="4" w:space="0" w:color="000000"/>
              <w:left w:val="single" w:sz="4" w:space="0" w:color="000000"/>
              <w:bottom w:val="single" w:sz="4" w:space="0" w:color="000000"/>
              <w:right w:val="single" w:sz="4" w:space="0" w:color="000000"/>
            </w:tcBorders>
          </w:tcPr>
          <w:p w:rsidR="00BF1430" w:rsidRPr="00560841" w:rsidRDefault="00BF1430" w:rsidP="0041762C">
            <w:pPr>
              <w:pStyle w:val="TableParagraph"/>
              <w:kinsoku w:val="0"/>
              <w:overflowPunct w:val="0"/>
              <w:ind w:left="104"/>
            </w:pPr>
            <w:r w:rsidRPr="00560841">
              <w:rPr>
                <w:b/>
                <w:bCs/>
                <w:sz w:val="22"/>
                <w:szCs w:val="22"/>
              </w:rPr>
              <w:t xml:space="preserve">Zakażenia i </w:t>
            </w:r>
            <w:r w:rsidRPr="00BF1430">
              <w:rPr>
                <w:b/>
                <w:bCs/>
                <w:sz w:val="22"/>
                <w:szCs w:val="22"/>
              </w:rPr>
              <w:t>zarażenia pasożytnicze</w:t>
            </w:r>
          </w:p>
        </w:tc>
        <w:tc>
          <w:tcPr>
            <w:tcW w:w="2126" w:type="dxa"/>
            <w:tcBorders>
              <w:top w:val="single" w:sz="4" w:space="0" w:color="000000"/>
              <w:left w:val="single" w:sz="4" w:space="0" w:color="000000"/>
              <w:bottom w:val="single" w:sz="4" w:space="0" w:color="000000"/>
              <w:right w:val="single" w:sz="4" w:space="0" w:color="000000"/>
            </w:tcBorders>
          </w:tcPr>
          <w:p w:rsidR="00BF1430" w:rsidRPr="00610450" w:rsidRDefault="00280A98" w:rsidP="00610450">
            <w:pPr>
              <w:pStyle w:val="Default"/>
              <w:ind w:left="144"/>
              <w:rPr>
                <w:sz w:val="22"/>
                <w:szCs w:val="22"/>
              </w:rPr>
            </w:pPr>
            <w:r>
              <w:rPr>
                <w:sz w:val="22"/>
                <w:szCs w:val="22"/>
              </w:rPr>
              <w:t>b</w:t>
            </w:r>
            <w:r w:rsidR="00BF1430" w:rsidRPr="00560841">
              <w:rPr>
                <w:sz w:val="22"/>
                <w:szCs w:val="22"/>
              </w:rPr>
              <w:t>ardzo rzadko</w:t>
            </w:r>
          </w:p>
          <w:p w:rsidR="00BF1430" w:rsidRPr="00610450" w:rsidRDefault="00280A98" w:rsidP="00610450">
            <w:pPr>
              <w:pStyle w:val="Default"/>
              <w:ind w:left="144"/>
              <w:rPr>
                <w:sz w:val="22"/>
                <w:szCs w:val="22"/>
              </w:rPr>
            </w:pPr>
            <w:r>
              <w:rPr>
                <w:sz w:val="22"/>
                <w:szCs w:val="22"/>
              </w:rPr>
              <w:t xml:space="preserve">częstość </w:t>
            </w:r>
            <w:r w:rsidR="00BF1430" w:rsidRPr="00560841">
              <w:rPr>
                <w:sz w:val="22"/>
                <w:szCs w:val="22"/>
              </w:rPr>
              <w:t>nieznana</w:t>
            </w:r>
          </w:p>
        </w:tc>
        <w:tc>
          <w:tcPr>
            <w:tcW w:w="4820" w:type="dxa"/>
            <w:tcBorders>
              <w:top w:val="single" w:sz="4" w:space="0" w:color="000000"/>
              <w:left w:val="single" w:sz="4" w:space="0" w:color="000000"/>
              <w:bottom w:val="single" w:sz="4" w:space="0" w:color="000000"/>
              <w:right w:val="single" w:sz="4" w:space="0" w:color="000000"/>
            </w:tcBorders>
          </w:tcPr>
          <w:p w:rsidR="00172A7F" w:rsidRDefault="00BF1430" w:rsidP="00172A7F">
            <w:pPr>
              <w:pStyle w:val="Default"/>
              <w:ind w:left="144"/>
              <w:rPr>
                <w:sz w:val="22"/>
                <w:szCs w:val="22"/>
              </w:rPr>
            </w:pPr>
            <w:r w:rsidRPr="00560841">
              <w:rPr>
                <w:sz w:val="22"/>
                <w:szCs w:val="22"/>
              </w:rPr>
              <w:t>zapalenie mieszków włosowych</w:t>
            </w:r>
          </w:p>
          <w:p w:rsidR="00BF1430" w:rsidRPr="00610450" w:rsidRDefault="00BF1430" w:rsidP="00477C58">
            <w:pPr>
              <w:pStyle w:val="Default"/>
              <w:ind w:left="144"/>
              <w:rPr>
                <w:sz w:val="22"/>
                <w:szCs w:val="22"/>
              </w:rPr>
            </w:pPr>
            <w:r>
              <w:rPr>
                <w:sz w:val="22"/>
                <w:szCs w:val="22"/>
              </w:rPr>
              <w:t>zakażenie, czyrak</w:t>
            </w:r>
          </w:p>
        </w:tc>
      </w:tr>
      <w:tr w:rsidR="00BF1430" w:rsidRPr="00560841" w:rsidTr="0041762C">
        <w:trPr>
          <w:trHeight w:val="554"/>
        </w:trPr>
        <w:tc>
          <w:tcPr>
            <w:tcW w:w="2446" w:type="dxa"/>
            <w:tcBorders>
              <w:top w:val="single" w:sz="4" w:space="0" w:color="000000"/>
              <w:left w:val="single" w:sz="4" w:space="0" w:color="000000"/>
              <w:bottom w:val="single" w:sz="4" w:space="0" w:color="000000"/>
              <w:right w:val="single" w:sz="4" w:space="0" w:color="000000"/>
            </w:tcBorders>
          </w:tcPr>
          <w:p w:rsidR="00BF1430" w:rsidRPr="00560841" w:rsidRDefault="00BF1430" w:rsidP="0041762C">
            <w:pPr>
              <w:pStyle w:val="TableParagraph"/>
              <w:kinsoku w:val="0"/>
              <w:overflowPunct w:val="0"/>
              <w:ind w:left="104"/>
            </w:pPr>
            <w:r w:rsidRPr="00560841">
              <w:rPr>
                <w:b/>
                <w:bCs/>
                <w:sz w:val="22"/>
                <w:szCs w:val="22"/>
              </w:rPr>
              <w:t>Zaburzenia układu nerwowego</w:t>
            </w:r>
          </w:p>
        </w:tc>
        <w:tc>
          <w:tcPr>
            <w:tcW w:w="2126" w:type="dxa"/>
            <w:tcBorders>
              <w:top w:val="single" w:sz="4" w:space="0" w:color="000000"/>
              <w:left w:val="single" w:sz="4" w:space="0" w:color="000000"/>
              <w:bottom w:val="single" w:sz="4" w:space="0" w:color="000000"/>
              <w:right w:val="single" w:sz="4" w:space="0" w:color="000000"/>
            </w:tcBorders>
          </w:tcPr>
          <w:p w:rsidR="00BF1430" w:rsidRPr="00610450" w:rsidRDefault="00280A98" w:rsidP="00610450">
            <w:pPr>
              <w:pStyle w:val="Default"/>
              <w:ind w:left="144"/>
              <w:rPr>
                <w:sz w:val="22"/>
                <w:szCs w:val="22"/>
              </w:rPr>
            </w:pPr>
            <w:r>
              <w:rPr>
                <w:sz w:val="22"/>
                <w:szCs w:val="22"/>
              </w:rPr>
              <w:t>b</w:t>
            </w:r>
            <w:r w:rsidR="00BF1430" w:rsidRPr="00560841">
              <w:rPr>
                <w:sz w:val="22"/>
                <w:szCs w:val="22"/>
              </w:rPr>
              <w:t>ardzo rzadko</w:t>
            </w:r>
          </w:p>
          <w:p w:rsidR="00BF1430" w:rsidRPr="00610450" w:rsidRDefault="00280A98" w:rsidP="00610450">
            <w:pPr>
              <w:pStyle w:val="Default"/>
              <w:ind w:left="144"/>
              <w:rPr>
                <w:sz w:val="22"/>
                <w:szCs w:val="22"/>
              </w:rPr>
            </w:pPr>
            <w:r>
              <w:rPr>
                <w:sz w:val="22"/>
                <w:szCs w:val="22"/>
              </w:rPr>
              <w:t xml:space="preserve">częstość </w:t>
            </w:r>
            <w:r w:rsidR="00BF1430" w:rsidRPr="00560841">
              <w:rPr>
                <w:sz w:val="22"/>
                <w:szCs w:val="22"/>
              </w:rPr>
              <w:t>nieznana</w:t>
            </w:r>
          </w:p>
        </w:tc>
        <w:tc>
          <w:tcPr>
            <w:tcW w:w="4820" w:type="dxa"/>
            <w:tcBorders>
              <w:top w:val="single" w:sz="4" w:space="0" w:color="000000"/>
              <w:left w:val="single" w:sz="4" w:space="0" w:color="000000"/>
              <w:bottom w:val="single" w:sz="4" w:space="0" w:color="000000"/>
              <w:right w:val="single" w:sz="4" w:space="0" w:color="000000"/>
            </w:tcBorders>
          </w:tcPr>
          <w:p w:rsidR="00BF1430" w:rsidRPr="00610450" w:rsidRDefault="00BF1430" w:rsidP="00610450">
            <w:pPr>
              <w:pStyle w:val="Default"/>
              <w:ind w:left="144"/>
              <w:rPr>
                <w:sz w:val="22"/>
                <w:szCs w:val="22"/>
              </w:rPr>
            </w:pPr>
            <w:r w:rsidRPr="00560841">
              <w:rPr>
                <w:sz w:val="22"/>
                <w:szCs w:val="22"/>
              </w:rPr>
              <w:t>uczucie pieczenia</w:t>
            </w:r>
          </w:p>
          <w:p w:rsidR="00BF1430" w:rsidRPr="00610450" w:rsidRDefault="00BF1430" w:rsidP="00610450">
            <w:pPr>
              <w:pStyle w:val="Default"/>
              <w:ind w:left="144"/>
              <w:rPr>
                <w:sz w:val="22"/>
                <w:szCs w:val="22"/>
              </w:rPr>
            </w:pPr>
            <w:r w:rsidRPr="00560841">
              <w:rPr>
                <w:sz w:val="22"/>
                <w:szCs w:val="22"/>
              </w:rPr>
              <w:t>parestezje</w:t>
            </w:r>
          </w:p>
        </w:tc>
      </w:tr>
      <w:tr w:rsidR="00BF1430" w:rsidRPr="00560841" w:rsidTr="0041762C">
        <w:trPr>
          <w:trHeight w:val="406"/>
        </w:trPr>
        <w:tc>
          <w:tcPr>
            <w:tcW w:w="2446" w:type="dxa"/>
            <w:tcBorders>
              <w:top w:val="single" w:sz="4" w:space="0" w:color="000000"/>
              <w:left w:val="single" w:sz="4" w:space="0" w:color="000000"/>
              <w:bottom w:val="single" w:sz="4" w:space="0" w:color="000000"/>
              <w:right w:val="single" w:sz="4" w:space="0" w:color="000000"/>
            </w:tcBorders>
          </w:tcPr>
          <w:p w:rsidR="00BF1430" w:rsidRPr="00560841" w:rsidRDefault="00BF1430" w:rsidP="0041762C">
            <w:pPr>
              <w:pStyle w:val="TableParagraph"/>
              <w:tabs>
                <w:tab w:val="left" w:pos="1506"/>
                <w:tab w:val="left" w:pos="3037"/>
              </w:tabs>
              <w:kinsoku w:val="0"/>
              <w:overflowPunct w:val="0"/>
              <w:spacing w:line="248" w:lineRule="exact"/>
              <w:ind w:left="104"/>
              <w:rPr>
                <w:b/>
                <w:bCs/>
                <w:sz w:val="22"/>
                <w:szCs w:val="22"/>
              </w:rPr>
            </w:pPr>
            <w:r>
              <w:rPr>
                <w:b/>
                <w:bCs/>
                <w:sz w:val="22"/>
                <w:szCs w:val="22"/>
              </w:rPr>
              <w:t>Z</w:t>
            </w:r>
            <w:r w:rsidRPr="00D927EB">
              <w:rPr>
                <w:b/>
                <w:bCs/>
                <w:sz w:val="22"/>
                <w:szCs w:val="22"/>
              </w:rPr>
              <w:t>aburzenia oka</w:t>
            </w:r>
          </w:p>
        </w:tc>
        <w:tc>
          <w:tcPr>
            <w:tcW w:w="2126" w:type="dxa"/>
            <w:tcBorders>
              <w:top w:val="single" w:sz="4" w:space="0" w:color="000000"/>
              <w:left w:val="single" w:sz="4" w:space="0" w:color="000000"/>
              <w:bottom w:val="single" w:sz="4" w:space="0" w:color="000000"/>
              <w:right w:val="single" w:sz="4" w:space="0" w:color="000000"/>
            </w:tcBorders>
          </w:tcPr>
          <w:p w:rsidR="00BF1430" w:rsidRPr="0041762C" w:rsidRDefault="00280A98" w:rsidP="0041762C">
            <w:pPr>
              <w:pStyle w:val="Default"/>
              <w:ind w:left="144"/>
              <w:rPr>
                <w:sz w:val="22"/>
                <w:szCs w:val="22"/>
              </w:rPr>
            </w:pPr>
            <w:r>
              <w:rPr>
                <w:sz w:val="22"/>
                <w:szCs w:val="22"/>
              </w:rPr>
              <w:t>c</w:t>
            </w:r>
            <w:r w:rsidR="00BF1430">
              <w:rPr>
                <w:sz w:val="22"/>
                <w:szCs w:val="22"/>
              </w:rPr>
              <w:t xml:space="preserve">zęstość </w:t>
            </w:r>
            <w:r w:rsidR="00BF1430" w:rsidRPr="00560841">
              <w:rPr>
                <w:sz w:val="22"/>
                <w:szCs w:val="22"/>
              </w:rPr>
              <w:t>nieznana</w:t>
            </w:r>
          </w:p>
        </w:tc>
        <w:tc>
          <w:tcPr>
            <w:tcW w:w="4820" w:type="dxa"/>
            <w:tcBorders>
              <w:top w:val="single" w:sz="4" w:space="0" w:color="000000"/>
              <w:left w:val="single" w:sz="4" w:space="0" w:color="000000"/>
              <w:bottom w:val="single" w:sz="4" w:space="0" w:color="000000"/>
              <w:right w:val="single" w:sz="4" w:space="0" w:color="000000"/>
            </w:tcBorders>
          </w:tcPr>
          <w:p w:rsidR="00BF1430" w:rsidRPr="00610450" w:rsidRDefault="00BF1430" w:rsidP="0041762C">
            <w:pPr>
              <w:pStyle w:val="TableParagraph"/>
              <w:kinsoku w:val="0"/>
              <w:overflowPunct w:val="0"/>
              <w:spacing w:line="200" w:lineRule="exact"/>
              <w:ind w:left="140"/>
              <w:rPr>
                <w:color w:val="000000"/>
                <w:sz w:val="22"/>
                <w:szCs w:val="22"/>
              </w:rPr>
            </w:pPr>
            <w:r w:rsidRPr="00610450">
              <w:rPr>
                <w:color w:val="000000"/>
                <w:sz w:val="22"/>
                <w:szCs w:val="22"/>
              </w:rPr>
              <w:t>nieostre widzenie (patrz także punkt 4.4.)</w:t>
            </w:r>
          </w:p>
        </w:tc>
      </w:tr>
      <w:tr w:rsidR="00BF1430" w:rsidRPr="00560841" w:rsidTr="0041762C">
        <w:trPr>
          <w:trHeight w:val="1027"/>
        </w:trPr>
        <w:tc>
          <w:tcPr>
            <w:tcW w:w="2446" w:type="dxa"/>
            <w:tcBorders>
              <w:top w:val="single" w:sz="4" w:space="0" w:color="000000"/>
              <w:left w:val="single" w:sz="4" w:space="0" w:color="000000"/>
              <w:bottom w:val="single" w:sz="4" w:space="0" w:color="000000"/>
              <w:right w:val="single" w:sz="4" w:space="0" w:color="000000"/>
            </w:tcBorders>
          </w:tcPr>
          <w:p w:rsidR="00BF1430" w:rsidRPr="00560841" w:rsidRDefault="00BF1430" w:rsidP="0041762C">
            <w:pPr>
              <w:pStyle w:val="TableParagraph"/>
              <w:kinsoku w:val="0"/>
              <w:overflowPunct w:val="0"/>
              <w:ind w:left="104"/>
            </w:pPr>
            <w:r w:rsidRPr="00560841">
              <w:rPr>
                <w:b/>
                <w:bCs/>
                <w:sz w:val="22"/>
                <w:szCs w:val="22"/>
              </w:rPr>
              <w:t>Zaburzenia skóry i</w:t>
            </w:r>
            <w:r>
              <w:rPr>
                <w:b/>
                <w:bCs/>
                <w:sz w:val="22"/>
                <w:szCs w:val="22"/>
              </w:rPr>
              <w:t> </w:t>
            </w:r>
            <w:r w:rsidRPr="00560841">
              <w:rPr>
                <w:b/>
                <w:bCs/>
                <w:sz w:val="22"/>
                <w:szCs w:val="22"/>
              </w:rPr>
              <w:t>tkanki podskórnej</w:t>
            </w:r>
          </w:p>
        </w:tc>
        <w:tc>
          <w:tcPr>
            <w:tcW w:w="2126" w:type="dxa"/>
            <w:tcBorders>
              <w:top w:val="single" w:sz="4" w:space="0" w:color="000000"/>
              <w:left w:val="single" w:sz="4" w:space="0" w:color="000000"/>
              <w:bottom w:val="single" w:sz="4" w:space="0" w:color="000000"/>
              <w:right w:val="single" w:sz="4" w:space="0" w:color="000000"/>
            </w:tcBorders>
          </w:tcPr>
          <w:p w:rsidR="00BF1430" w:rsidRDefault="00280A98" w:rsidP="00610450">
            <w:pPr>
              <w:pStyle w:val="Default"/>
              <w:ind w:left="144"/>
              <w:rPr>
                <w:sz w:val="22"/>
                <w:szCs w:val="22"/>
              </w:rPr>
            </w:pPr>
            <w:r>
              <w:rPr>
                <w:sz w:val="22"/>
                <w:szCs w:val="22"/>
              </w:rPr>
              <w:t>b</w:t>
            </w:r>
            <w:r w:rsidR="00BF1430" w:rsidRPr="00560841">
              <w:rPr>
                <w:sz w:val="22"/>
                <w:szCs w:val="22"/>
              </w:rPr>
              <w:t>ardzo rzadko</w:t>
            </w:r>
          </w:p>
          <w:p w:rsidR="00BF1430" w:rsidRPr="00610450" w:rsidRDefault="00280A98" w:rsidP="00610450">
            <w:pPr>
              <w:pStyle w:val="Default"/>
              <w:ind w:left="144"/>
              <w:rPr>
                <w:sz w:val="22"/>
                <w:szCs w:val="22"/>
              </w:rPr>
            </w:pPr>
            <w:r>
              <w:rPr>
                <w:sz w:val="22"/>
                <w:szCs w:val="22"/>
              </w:rPr>
              <w:t>c</w:t>
            </w:r>
            <w:r w:rsidR="00BF1430">
              <w:rPr>
                <w:sz w:val="22"/>
                <w:szCs w:val="22"/>
              </w:rPr>
              <w:t xml:space="preserve">zęstość </w:t>
            </w:r>
            <w:r w:rsidR="00BF1430" w:rsidRPr="00560841">
              <w:rPr>
                <w:sz w:val="22"/>
                <w:szCs w:val="22"/>
              </w:rPr>
              <w:t>nieznana</w:t>
            </w:r>
          </w:p>
        </w:tc>
        <w:tc>
          <w:tcPr>
            <w:tcW w:w="4820" w:type="dxa"/>
            <w:tcBorders>
              <w:top w:val="single" w:sz="4" w:space="0" w:color="000000"/>
              <w:left w:val="single" w:sz="4" w:space="0" w:color="000000"/>
              <w:bottom w:val="single" w:sz="4" w:space="0" w:color="000000"/>
              <w:right w:val="single" w:sz="4" w:space="0" w:color="000000"/>
            </w:tcBorders>
          </w:tcPr>
          <w:p w:rsidR="00BF1430" w:rsidRPr="00610450" w:rsidRDefault="00BF1430" w:rsidP="00610450">
            <w:pPr>
              <w:pStyle w:val="Default"/>
              <w:ind w:left="144"/>
              <w:rPr>
                <w:sz w:val="22"/>
                <w:szCs w:val="22"/>
              </w:rPr>
            </w:pPr>
            <w:r w:rsidRPr="00560841">
              <w:rPr>
                <w:sz w:val="22"/>
                <w:szCs w:val="22"/>
              </w:rPr>
              <w:t>świąd</w:t>
            </w:r>
          </w:p>
          <w:p w:rsidR="00BF1430" w:rsidRPr="00610450" w:rsidRDefault="00BF1430" w:rsidP="00610450">
            <w:pPr>
              <w:pStyle w:val="Default"/>
              <w:ind w:left="144"/>
              <w:rPr>
                <w:sz w:val="22"/>
                <w:szCs w:val="22"/>
              </w:rPr>
            </w:pPr>
            <w:r w:rsidRPr="00560841">
              <w:rPr>
                <w:sz w:val="22"/>
                <w:szCs w:val="22"/>
              </w:rPr>
              <w:t xml:space="preserve">kontaktowe zapalenie skóry, </w:t>
            </w:r>
            <w:r>
              <w:rPr>
                <w:sz w:val="22"/>
                <w:szCs w:val="22"/>
              </w:rPr>
              <w:t>niedobór barwnika</w:t>
            </w:r>
            <w:r w:rsidRPr="00560841">
              <w:rPr>
                <w:sz w:val="22"/>
                <w:szCs w:val="22"/>
              </w:rPr>
              <w:t xml:space="preserve">, nadmierne owłosienie, rozstępy, </w:t>
            </w:r>
            <w:r w:rsidR="00B23F2C">
              <w:rPr>
                <w:sz w:val="22"/>
                <w:szCs w:val="22"/>
              </w:rPr>
              <w:t xml:space="preserve">zmiany </w:t>
            </w:r>
            <w:proofErr w:type="spellStart"/>
            <w:r w:rsidRPr="00560841">
              <w:rPr>
                <w:sz w:val="22"/>
                <w:szCs w:val="22"/>
              </w:rPr>
              <w:t>trądzikopodobne</w:t>
            </w:r>
            <w:proofErr w:type="spellEnd"/>
            <w:r w:rsidRPr="00560841">
              <w:rPr>
                <w:sz w:val="22"/>
                <w:szCs w:val="22"/>
              </w:rPr>
              <w:t>, zanik skóry</w:t>
            </w:r>
          </w:p>
        </w:tc>
      </w:tr>
      <w:tr w:rsidR="00BF1430" w:rsidRPr="00560841" w:rsidTr="0041762C">
        <w:trPr>
          <w:trHeight w:val="795"/>
        </w:trPr>
        <w:tc>
          <w:tcPr>
            <w:tcW w:w="2446" w:type="dxa"/>
            <w:tcBorders>
              <w:top w:val="single" w:sz="4" w:space="0" w:color="000000"/>
              <w:left w:val="single" w:sz="4" w:space="0" w:color="000000"/>
              <w:bottom w:val="single" w:sz="4" w:space="0" w:color="000000"/>
              <w:right w:val="single" w:sz="4" w:space="0" w:color="000000"/>
            </w:tcBorders>
          </w:tcPr>
          <w:p w:rsidR="00BF1430" w:rsidRPr="00560841" w:rsidRDefault="00BF1430" w:rsidP="0041762C">
            <w:pPr>
              <w:pStyle w:val="TableParagraph"/>
              <w:tabs>
                <w:tab w:val="left" w:pos="1506"/>
                <w:tab w:val="left" w:pos="3037"/>
              </w:tabs>
              <w:kinsoku w:val="0"/>
              <w:overflowPunct w:val="0"/>
              <w:spacing w:line="248" w:lineRule="exact"/>
              <w:ind w:left="104"/>
            </w:pPr>
            <w:r w:rsidRPr="00560841">
              <w:rPr>
                <w:b/>
                <w:bCs/>
                <w:sz w:val="22"/>
                <w:szCs w:val="22"/>
              </w:rPr>
              <w:t>Zaburzenia ogólne i</w:t>
            </w:r>
            <w:r>
              <w:rPr>
                <w:b/>
                <w:bCs/>
                <w:sz w:val="22"/>
                <w:szCs w:val="22"/>
              </w:rPr>
              <w:t> </w:t>
            </w:r>
            <w:r w:rsidRPr="00560841">
              <w:rPr>
                <w:b/>
                <w:bCs/>
                <w:sz w:val="22"/>
                <w:szCs w:val="22"/>
              </w:rPr>
              <w:t>stany w miejscu podania</w:t>
            </w:r>
          </w:p>
        </w:tc>
        <w:tc>
          <w:tcPr>
            <w:tcW w:w="2126" w:type="dxa"/>
            <w:tcBorders>
              <w:top w:val="single" w:sz="4" w:space="0" w:color="000000"/>
              <w:left w:val="single" w:sz="4" w:space="0" w:color="000000"/>
              <w:bottom w:val="single" w:sz="4" w:space="0" w:color="000000"/>
              <w:right w:val="single" w:sz="4" w:space="0" w:color="000000"/>
            </w:tcBorders>
          </w:tcPr>
          <w:p w:rsidR="00BF1430" w:rsidRPr="00610450" w:rsidRDefault="00280A98" w:rsidP="0041762C">
            <w:pPr>
              <w:pStyle w:val="Default"/>
              <w:ind w:left="144"/>
              <w:rPr>
                <w:sz w:val="22"/>
                <w:szCs w:val="22"/>
              </w:rPr>
            </w:pPr>
            <w:r>
              <w:rPr>
                <w:sz w:val="22"/>
                <w:szCs w:val="22"/>
              </w:rPr>
              <w:t>c</w:t>
            </w:r>
            <w:r w:rsidR="00BF1430">
              <w:rPr>
                <w:sz w:val="22"/>
                <w:szCs w:val="22"/>
              </w:rPr>
              <w:t xml:space="preserve">zęstość </w:t>
            </w:r>
            <w:r w:rsidR="00BF1430" w:rsidRPr="00560841">
              <w:rPr>
                <w:sz w:val="22"/>
                <w:szCs w:val="22"/>
              </w:rPr>
              <w:t>nieznana</w:t>
            </w:r>
          </w:p>
        </w:tc>
        <w:tc>
          <w:tcPr>
            <w:tcW w:w="4820" w:type="dxa"/>
            <w:tcBorders>
              <w:top w:val="single" w:sz="4" w:space="0" w:color="000000"/>
              <w:left w:val="single" w:sz="4" w:space="0" w:color="000000"/>
              <w:bottom w:val="single" w:sz="4" w:space="0" w:color="000000"/>
              <w:right w:val="single" w:sz="4" w:space="0" w:color="000000"/>
            </w:tcBorders>
          </w:tcPr>
          <w:p w:rsidR="00BF1430" w:rsidRPr="00610450" w:rsidRDefault="00BF1430" w:rsidP="0041762C">
            <w:pPr>
              <w:pStyle w:val="TableParagraph"/>
              <w:kinsoku w:val="0"/>
              <w:overflowPunct w:val="0"/>
              <w:ind w:left="140"/>
              <w:rPr>
                <w:color w:val="000000"/>
                <w:sz w:val="22"/>
                <w:szCs w:val="22"/>
              </w:rPr>
            </w:pPr>
            <w:r w:rsidRPr="00610450">
              <w:rPr>
                <w:color w:val="000000"/>
                <w:sz w:val="22"/>
                <w:szCs w:val="22"/>
              </w:rPr>
              <w:t>ból w miejscu stosowania, reakcje w miejscu stosowania</w:t>
            </w:r>
          </w:p>
        </w:tc>
      </w:tr>
    </w:tbl>
    <w:p w:rsidR="00C90CC3" w:rsidRPr="00560841" w:rsidRDefault="00C90CC3" w:rsidP="0041762C">
      <w:pPr>
        <w:kinsoku w:val="0"/>
        <w:overflowPunct w:val="0"/>
        <w:spacing w:line="160" w:lineRule="exact"/>
        <w:rPr>
          <w:sz w:val="22"/>
          <w:szCs w:val="22"/>
        </w:rPr>
      </w:pPr>
    </w:p>
    <w:p w:rsidR="00C90CC3" w:rsidRPr="00560841" w:rsidRDefault="00F91BE2" w:rsidP="0041762C">
      <w:pPr>
        <w:pStyle w:val="Tekstpodstawowy"/>
        <w:kinsoku w:val="0"/>
        <w:overflowPunct w:val="0"/>
        <w:spacing w:line="241" w:lineRule="auto"/>
        <w:ind w:left="142" w:right="283"/>
      </w:pPr>
      <w:r>
        <w:t>Podczas</w:t>
      </w:r>
      <w:r w:rsidR="00C90CC3" w:rsidRPr="00560841">
        <w:t xml:space="preserve"> miejscow</w:t>
      </w:r>
      <w:r>
        <w:t>ego</w:t>
      </w:r>
      <w:r w:rsidR="00C90CC3" w:rsidRPr="00560841">
        <w:t xml:space="preserve"> stosowani</w:t>
      </w:r>
      <w:r>
        <w:t>a</w:t>
      </w:r>
      <w:r w:rsidR="00C90CC3" w:rsidRPr="00560841">
        <w:t xml:space="preserve"> kortykosteroidów </w:t>
      </w:r>
      <w:r>
        <w:t xml:space="preserve">obserwowano następujące działania niepożądane: </w:t>
      </w:r>
      <w:r w:rsidR="00C90CC3" w:rsidRPr="00560841">
        <w:t>such</w:t>
      </w:r>
      <w:r>
        <w:t>ą</w:t>
      </w:r>
      <w:r w:rsidR="00C90CC3" w:rsidRPr="00560841">
        <w:t xml:space="preserve"> skór</w:t>
      </w:r>
      <w:r>
        <w:t>ę</w:t>
      </w:r>
      <w:r w:rsidR="00C90CC3" w:rsidRPr="00560841">
        <w:t>, podrażnienie</w:t>
      </w:r>
      <w:r>
        <w:t xml:space="preserve"> skóry</w:t>
      </w:r>
      <w:r w:rsidR="00C90CC3" w:rsidRPr="00560841">
        <w:t>, zapalenie skóry, zapalenie skóry wokół ust, maceracj</w:t>
      </w:r>
      <w:r w:rsidR="004F5374">
        <w:t>ę</w:t>
      </w:r>
      <w:r w:rsidR="00C90CC3" w:rsidRPr="00560841">
        <w:t xml:space="preserve"> skóry, potówki i</w:t>
      </w:r>
      <w:r w:rsidR="004F5374">
        <w:t> </w:t>
      </w:r>
      <w:r w:rsidR="00C90CC3" w:rsidRPr="00560841">
        <w:t>teleangiektazje.</w:t>
      </w:r>
    </w:p>
    <w:p w:rsidR="00C90CC3" w:rsidRDefault="00C90CC3" w:rsidP="00610450">
      <w:pPr>
        <w:pStyle w:val="Tekstpodstawowy"/>
        <w:kinsoku w:val="0"/>
        <w:overflowPunct w:val="0"/>
        <w:spacing w:line="241" w:lineRule="auto"/>
        <w:ind w:left="142" w:right="283"/>
      </w:pPr>
    </w:p>
    <w:p w:rsidR="00F91BE2" w:rsidRDefault="00F91BE2" w:rsidP="00610450">
      <w:pPr>
        <w:pStyle w:val="Tekstpodstawowy"/>
        <w:kinsoku w:val="0"/>
        <w:overflowPunct w:val="0"/>
        <w:spacing w:line="241" w:lineRule="auto"/>
        <w:ind w:left="142" w:right="283"/>
      </w:pPr>
      <w:r>
        <w:t>Po stosowaniu produktu leczniczego na dużą powierzchnię skóry czy przez dłuższy czas, szczegó</w:t>
      </w:r>
      <w:r w:rsidR="004F5374">
        <w:t>lnie w </w:t>
      </w:r>
      <w:r>
        <w:t xml:space="preserve">przypadku użycia opatrunków </w:t>
      </w:r>
      <w:proofErr w:type="spellStart"/>
      <w:r>
        <w:t>okluzyjnych</w:t>
      </w:r>
      <w:proofErr w:type="spellEnd"/>
      <w:r>
        <w:t xml:space="preserve">, </w:t>
      </w:r>
      <w:proofErr w:type="spellStart"/>
      <w:r>
        <w:t>mometazonu</w:t>
      </w:r>
      <w:proofErr w:type="spellEnd"/>
      <w:r>
        <w:t xml:space="preserve"> </w:t>
      </w:r>
      <w:proofErr w:type="spellStart"/>
      <w:r>
        <w:t>furoinian</w:t>
      </w:r>
      <w:proofErr w:type="spellEnd"/>
      <w:r>
        <w:t xml:space="preserve"> wchłaniał się do krążenia ogólnego.</w:t>
      </w:r>
    </w:p>
    <w:p w:rsidR="00F91BE2" w:rsidRDefault="00F91BE2" w:rsidP="00610450">
      <w:pPr>
        <w:pStyle w:val="Tekstpodstawowy"/>
        <w:kinsoku w:val="0"/>
        <w:overflowPunct w:val="0"/>
        <w:spacing w:line="241" w:lineRule="auto"/>
        <w:ind w:left="142" w:right="283"/>
      </w:pPr>
    </w:p>
    <w:p w:rsidR="00F91BE2" w:rsidRDefault="00F91BE2" w:rsidP="00610450">
      <w:pPr>
        <w:pStyle w:val="Tekstpodstawowy"/>
        <w:kinsoku w:val="0"/>
        <w:overflowPunct w:val="0"/>
        <w:spacing w:line="241" w:lineRule="auto"/>
        <w:ind w:left="142" w:right="283"/>
      </w:pPr>
      <w:r>
        <w:t>Wszystkie działania niepożądane, jakie występują po podaniu kortykosteroidów o działaniu ogó</w:t>
      </w:r>
      <w:r w:rsidR="004F5374">
        <w:t>lnym, w </w:t>
      </w:r>
      <w:r>
        <w:t>tym zahamowanie czynności kory nadnerczy, mogą również wystąpić po miejscowym zastosowaniu kortykosteroidów. Dotyczy to szczególnie dzieci i niemowląt, u których mogą wystąpić dodatkowo zaburzenia wzrostu i rozwoju (patrz punkt 4.4).</w:t>
      </w:r>
    </w:p>
    <w:p w:rsidR="00F91BE2" w:rsidRPr="00560841" w:rsidRDefault="00F91BE2" w:rsidP="00610450">
      <w:pPr>
        <w:pStyle w:val="Tekstpodstawowy"/>
        <w:kinsoku w:val="0"/>
        <w:overflowPunct w:val="0"/>
        <w:spacing w:line="241" w:lineRule="auto"/>
        <w:ind w:left="142" w:right="283"/>
      </w:pPr>
    </w:p>
    <w:p w:rsidR="00C90CC3" w:rsidRPr="00560841" w:rsidRDefault="00C90CC3" w:rsidP="0041762C">
      <w:pPr>
        <w:kinsoku w:val="0"/>
        <w:overflowPunct w:val="0"/>
        <w:ind w:left="142"/>
        <w:rPr>
          <w:i/>
          <w:iCs/>
          <w:sz w:val="22"/>
          <w:szCs w:val="22"/>
          <w:u w:val="single"/>
        </w:rPr>
      </w:pPr>
      <w:r w:rsidRPr="00560841">
        <w:rPr>
          <w:i/>
          <w:iCs/>
          <w:sz w:val="22"/>
          <w:szCs w:val="22"/>
          <w:u w:val="single"/>
        </w:rPr>
        <w:t>Dzieci</w:t>
      </w:r>
      <w:r w:rsidR="008A48B2">
        <w:rPr>
          <w:i/>
          <w:iCs/>
          <w:sz w:val="22"/>
          <w:szCs w:val="22"/>
          <w:u w:val="single"/>
        </w:rPr>
        <w:t xml:space="preserve"> i młodzież</w:t>
      </w:r>
    </w:p>
    <w:p w:rsidR="00C90CC3" w:rsidRDefault="00F91BE2" w:rsidP="0041762C">
      <w:pPr>
        <w:pStyle w:val="Tekstpodstawowy"/>
        <w:kinsoku w:val="0"/>
        <w:overflowPunct w:val="0"/>
        <w:spacing w:line="250" w:lineRule="exact"/>
        <w:ind w:left="142"/>
      </w:pPr>
      <w:r>
        <w:t>U d</w:t>
      </w:r>
      <w:r w:rsidR="00162A29">
        <w:t>zieci</w:t>
      </w:r>
      <w:r>
        <w:t xml:space="preserve">, ze względu na większy niż u dorosłych stosunek powierzchni ciała do masy ciała, istnieje większe prawdopodobieństwo wystąpienia wywołanych ogólnoustrojowym działaniem kortykosteroidów zaburzeń </w:t>
      </w:r>
      <w:r w:rsidR="00162A29">
        <w:t xml:space="preserve">czynności </w:t>
      </w:r>
      <w:r w:rsidR="00C90CC3" w:rsidRPr="00560841">
        <w:t xml:space="preserve">osi </w:t>
      </w:r>
      <w:proofErr w:type="spellStart"/>
      <w:r w:rsidR="00C90CC3" w:rsidRPr="00560841">
        <w:t>podwzgórze-przysadka-nadnercza</w:t>
      </w:r>
      <w:proofErr w:type="spellEnd"/>
      <w:r w:rsidR="00C90CC3" w:rsidRPr="00560841">
        <w:t xml:space="preserve"> i zesp</w:t>
      </w:r>
      <w:r w:rsidR="004F5374">
        <w:t>o</w:t>
      </w:r>
      <w:r w:rsidR="00C90CC3" w:rsidRPr="00560841">
        <w:t>ł</w:t>
      </w:r>
      <w:r w:rsidR="004F5374">
        <w:t>u</w:t>
      </w:r>
      <w:r w:rsidR="00C90CC3" w:rsidRPr="00560841">
        <w:t xml:space="preserve"> Cushinga</w:t>
      </w:r>
      <w:r>
        <w:t>.</w:t>
      </w:r>
    </w:p>
    <w:p w:rsidR="00522BCB" w:rsidRDefault="00522BCB" w:rsidP="0041762C">
      <w:pPr>
        <w:pStyle w:val="Tekstpodstawowy"/>
        <w:kinsoku w:val="0"/>
        <w:overflowPunct w:val="0"/>
        <w:spacing w:line="239" w:lineRule="auto"/>
        <w:ind w:left="142" w:right="155"/>
      </w:pPr>
    </w:p>
    <w:p w:rsidR="00522BCB" w:rsidRPr="00522BCB" w:rsidRDefault="00522BCB" w:rsidP="00610450">
      <w:pPr>
        <w:widowControl/>
        <w:autoSpaceDE/>
        <w:autoSpaceDN/>
        <w:adjustRightInd/>
        <w:ind w:left="142"/>
        <w:rPr>
          <w:sz w:val="22"/>
          <w:szCs w:val="28"/>
          <w:u w:val="single"/>
        </w:rPr>
      </w:pPr>
      <w:r w:rsidRPr="00522BCB">
        <w:rPr>
          <w:sz w:val="22"/>
          <w:szCs w:val="28"/>
          <w:u w:val="single"/>
        </w:rPr>
        <w:t>Zgłaszanie podejrzewanych działań niepożądanych</w:t>
      </w:r>
    </w:p>
    <w:p w:rsidR="0022139F" w:rsidRPr="009E009E" w:rsidRDefault="00522BCB" w:rsidP="00610450">
      <w:pPr>
        <w:pStyle w:val="Default"/>
        <w:ind w:left="142"/>
        <w:rPr>
          <w:sz w:val="22"/>
          <w:szCs w:val="28"/>
        </w:rPr>
      </w:pPr>
      <w:r w:rsidRPr="00522BCB">
        <w:rPr>
          <w:sz w:val="22"/>
          <w:szCs w:val="28"/>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0022139F" w:rsidRPr="0022139F">
        <w:rPr>
          <w:sz w:val="22"/>
          <w:szCs w:val="28"/>
        </w:rPr>
        <w:t>Departamentu Monitorowania Niepożą</w:t>
      </w:r>
      <w:r w:rsidR="0022139F" w:rsidRPr="00152AAC">
        <w:rPr>
          <w:sz w:val="22"/>
          <w:szCs w:val="28"/>
        </w:rPr>
        <w:t>danych Działań Produktów Leczniczych Urzędu Rejestracji Produktów Leczniczych, Wyrobów Medycznych i</w:t>
      </w:r>
      <w:r w:rsidR="00BF1856">
        <w:rPr>
          <w:sz w:val="22"/>
          <w:szCs w:val="28"/>
        </w:rPr>
        <w:t> </w:t>
      </w:r>
      <w:r w:rsidR="0022139F" w:rsidRPr="00152AAC">
        <w:rPr>
          <w:sz w:val="22"/>
          <w:szCs w:val="28"/>
        </w:rPr>
        <w:t>Produktów Biobó</w:t>
      </w:r>
      <w:r w:rsidR="0022139F" w:rsidRPr="009E009E">
        <w:rPr>
          <w:sz w:val="22"/>
          <w:szCs w:val="28"/>
        </w:rPr>
        <w:t xml:space="preserve">jczych: </w:t>
      </w:r>
    </w:p>
    <w:p w:rsidR="0022139F" w:rsidRPr="009E009E" w:rsidRDefault="0022139F" w:rsidP="00610450">
      <w:pPr>
        <w:pStyle w:val="Default"/>
        <w:ind w:left="142"/>
        <w:rPr>
          <w:sz w:val="22"/>
          <w:szCs w:val="28"/>
        </w:rPr>
      </w:pPr>
      <w:r w:rsidRPr="009E009E">
        <w:rPr>
          <w:sz w:val="22"/>
          <w:szCs w:val="28"/>
        </w:rPr>
        <w:t xml:space="preserve">Al. Jerozolimskie 181C, 02-222 Warszawa, tel.: + 48 22 49-21-301, fax: + 48 22 49-21-309, </w:t>
      </w:r>
    </w:p>
    <w:p w:rsidR="00DD3FF9" w:rsidRPr="00261E8D" w:rsidRDefault="00DD3FF9" w:rsidP="00DD3FF9">
      <w:pPr>
        <w:rPr>
          <w:sz w:val="22"/>
          <w:szCs w:val="22"/>
        </w:rPr>
      </w:pPr>
      <w:r w:rsidRPr="00261E8D">
        <w:rPr>
          <w:iCs/>
          <w:sz w:val="22"/>
          <w:szCs w:val="22"/>
        </w:rPr>
        <w:t>strona internetowa: </w:t>
      </w:r>
      <w:hyperlink r:id="rId8" w:history="1">
        <w:r w:rsidRPr="00261E8D">
          <w:rPr>
            <w:rStyle w:val="Hipercze"/>
            <w:iCs/>
            <w:sz w:val="22"/>
            <w:szCs w:val="22"/>
          </w:rPr>
          <w:t>https://smz.ezdrowie.gov.pl</w:t>
        </w:r>
      </w:hyperlink>
      <w:r w:rsidRPr="00261E8D">
        <w:rPr>
          <w:rFonts w:ascii="ubuntu" w:hAnsi="ubuntu"/>
          <w:color w:val="333333"/>
          <w:sz w:val="22"/>
          <w:szCs w:val="22"/>
          <w:shd w:val="clear" w:color="auto" w:fill="FFFFFF"/>
        </w:rPr>
        <w:t>   </w:t>
      </w:r>
    </w:p>
    <w:p w:rsidR="00522BCB" w:rsidRPr="00522BCB" w:rsidRDefault="0022139F" w:rsidP="00610450">
      <w:pPr>
        <w:widowControl/>
        <w:autoSpaceDE/>
        <w:autoSpaceDN/>
        <w:adjustRightInd/>
        <w:ind w:left="142"/>
        <w:rPr>
          <w:sz w:val="22"/>
          <w:szCs w:val="28"/>
        </w:rPr>
      </w:pPr>
      <w:r w:rsidRPr="00AB78C8">
        <w:rPr>
          <w:color w:val="000000"/>
          <w:sz w:val="22"/>
          <w:szCs w:val="28"/>
        </w:rPr>
        <w:lastRenderedPageBreak/>
        <w:t>Działania niepożądane można zgłaszać również podmiotowi odpowiedzialnemu</w:t>
      </w:r>
      <w:r>
        <w:rPr>
          <w:sz w:val="22"/>
          <w:szCs w:val="22"/>
        </w:rPr>
        <w:t>.</w:t>
      </w:r>
    </w:p>
    <w:p w:rsidR="00C90CC3" w:rsidRPr="00560841" w:rsidRDefault="00C90CC3" w:rsidP="0041762C">
      <w:pPr>
        <w:kinsoku w:val="0"/>
        <w:overflowPunct w:val="0"/>
        <w:spacing w:line="260" w:lineRule="exact"/>
        <w:rPr>
          <w:sz w:val="22"/>
          <w:szCs w:val="22"/>
        </w:rPr>
      </w:pPr>
    </w:p>
    <w:p w:rsidR="00C90CC3" w:rsidRPr="00560841" w:rsidRDefault="00C90CC3" w:rsidP="00610450">
      <w:pPr>
        <w:pStyle w:val="Nagwek1"/>
        <w:numPr>
          <w:ilvl w:val="1"/>
          <w:numId w:val="2"/>
        </w:numPr>
        <w:tabs>
          <w:tab w:val="left" w:pos="851"/>
        </w:tabs>
        <w:kinsoku w:val="0"/>
        <w:overflowPunct w:val="0"/>
        <w:ind w:left="567" w:hanging="425"/>
      </w:pPr>
      <w:r w:rsidRPr="00560841">
        <w:t>Przedawkowanie</w:t>
      </w:r>
    </w:p>
    <w:p w:rsidR="00C90CC3" w:rsidRPr="00560841" w:rsidRDefault="00C90CC3" w:rsidP="0041762C">
      <w:pPr>
        <w:kinsoku w:val="0"/>
        <w:overflowPunct w:val="0"/>
        <w:spacing w:line="240" w:lineRule="exact"/>
        <w:rPr>
          <w:sz w:val="22"/>
          <w:szCs w:val="22"/>
        </w:rPr>
      </w:pPr>
    </w:p>
    <w:p w:rsidR="000408F4" w:rsidRPr="00610450" w:rsidRDefault="000408F4" w:rsidP="00610450">
      <w:pPr>
        <w:pStyle w:val="Default"/>
        <w:ind w:left="142"/>
        <w:rPr>
          <w:sz w:val="22"/>
          <w:szCs w:val="28"/>
        </w:rPr>
      </w:pPr>
      <w:r w:rsidRPr="00610450">
        <w:rPr>
          <w:sz w:val="22"/>
          <w:szCs w:val="28"/>
        </w:rPr>
        <w:t xml:space="preserve">Dotychczas nie opisano przypadku przedawkowania produktu. </w:t>
      </w:r>
    </w:p>
    <w:p w:rsidR="000408F4" w:rsidRPr="00610450" w:rsidRDefault="000408F4" w:rsidP="00610450">
      <w:pPr>
        <w:pStyle w:val="Default"/>
        <w:ind w:left="142"/>
        <w:rPr>
          <w:sz w:val="22"/>
          <w:szCs w:val="28"/>
        </w:rPr>
      </w:pPr>
    </w:p>
    <w:p w:rsidR="00C90CC3" w:rsidRPr="00610450" w:rsidRDefault="00A87F7A" w:rsidP="00610450">
      <w:pPr>
        <w:pStyle w:val="Default"/>
        <w:ind w:left="142"/>
        <w:rPr>
          <w:sz w:val="22"/>
          <w:szCs w:val="28"/>
        </w:rPr>
      </w:pPr>
      <w:r w:rsidRPr="00610450">
        <w:rPr>
          <w:sz w:val="22"/>
          <w:szCs w:val="28"/>
        </w:rPr>
        <w:t xml:space="preserve">Długotrwałe </w:t>
      </w:r>
      <w:r w:rsidR="00C90CC3" w:rsidRPr="00610450">
        <w:rPr>
          <w:sz w:val="22"/>
          <w:szCs w:val="28"/>
        </w:rPr>
        <w:t xml:space="preserve">miejscowe stosowanie kortykosteroidów może </w:t>
      </w:r>
      <w:r w:rsidR="000408F4" w:rsidRPr="00610450">
        <w:rPr>
          <w:sz w:val="22"/>
          <w:szCs w:val="28"/>
        </w:rPr>
        <w:t>doprowadzić do za</w:t>
      </w:r>
      <w:r w:rsidR="00C90CC3" w:rsidRPr="00610450">
        <w:rPr>
          <w:sz w:val="22"/>
          <w:szCs w:val="28"/>
        </w:rPr>
        <w:t>hamowa</w:t>
      </w:r>
      <w:r w:rsidR="000408F4" w:rsidRPr="00610450">
        <w:rPr>
          <w:sz w:val="22"/>
          <w:szCs w:val="28"/>
        </w:rPr>
        <w:t>nia</w:t>
      </w:r>
      <w:r w:rsidR="00C90CC3" w:rsidRPr="00610450">
        <w:rPr>
          <w:sz w:val="22"/>
          <w:szCs w:val="28"/>
        </w:rPr>
        <w:t xml:space="preserve"> czynnoś</w:t>
      </w:r>
      <w:r w:rsidR="000408F4" w:rsidRPr="00610450">
        <w:rPr>
          <w:sz w:val="22"/>
          <w:szCs w:val="28"/>
        </w:rPr>
        <w:t xml:space="preserve">ci osi </w:t>
      </w:r>
      <w:proofErr w:type="spellStart"/>
      <w:r w:rsidR="000408F4" w:rsidRPr="00610450">
        <w:rPr>
          <w:sz w:val="22"/>
          <w:szCs w:val="28"/>
        </w:rPr>
        <w:t>podwzgórze-przysadka-nadnercza</w:t>
      </w:r>
      <w:proofErr w:type="spellEnd"/>
      <w:r w:rsidR="000408F4" w:rsidRPr="00610450">
        <w:rPr>
          <w:sz w:val="22"/>
          <w:szCs w:val="28"/>
        </w:rPr>
        <w:t>,</w:t>
      </w:r>
      <w:r w:rsidR="00C90CC3" w:rsidRPr="00610450">
        <w:rPr>
          <w:sz w:val="22"/>
          <w:szCs w:val="28"/>
        </w:rPr>
        <w:t xml:space="preserve"> powodując wtórną niewydolność nadnerczy</w:t>
      </w:r>
      <w:r w:rsidR="000408F4" w:rsidRPr="00610450">
        <w:rPr>
          <w:sz w:val="22"/>
          <w:szCs w:val="28"/>
        </w:rPr>
        <w:t>, która zwykle jest odwracalna</w:t>
      </w:r>
      <w:r w:rsidR="00C90CC3" w:rsidRPr="00610450">
        <w:rPr>
          <w:sz w:val="22"/>
          <w:szCs w:val="28"/>
        </w:rPr>
        <w:t xml:space="preserve">. </w:t>
      </w:r>
    </w:p>
    <w:p w:rsidR="00C90CC3" w:rsidRPr="00906541" w:rsidRDefault="00C90CC3" w:rsidP="00610450">
      <w:pPr>
        <w:pStyle w:val="Default"/>
        <w:ind w:left="142"/>
        <w:rPr>
          <w:sz w:val="22"/>
          <w:szCs w:val="28"/>
        </w:rPr>
      </w:pPr>
    </w:p>
    <w:p w:rsidR="00C90CC3" w:rsidRPr="00610450" w:rsidRDefault="000408F4" w:rsidP="00610450">
      <w:pPr>
        <w:pStyle w:val="Default"/>
        <w:ind w:left="142"/>
        <w:rPr>
          <w:sz w:val="22"/>
          <w:szCs w:val="28"/>
        </w:rPr>
      </w:pPr>
      <w:r w:rsidRPr="00610450">
        <w:rPr>
          <w:sz w:val="22"/>
          <w:szCs w:val="28"/>
        </w:rPr>
        <w:t xml:space="preserve">Jeżeli stwierdzi się </w:t>
      </w:r>
      <w:r w:rsidR="00C90CC3" w:rsidRPr="00610450">
        <w:rPr>
          <w:sz w:val="22"/>
          <w:szCs w:val="28"/>
        </w:rPr>
        <w:t xml:space="preserve">zahamowanie </w:t>
      </w:r>
      <w:r w:rsidR="00A87F7A" w:rsidRPr="00610450">
        <w:rPr>
          <w:sz w:val="22"/>
          <w:szCs w:val="28"/>
        </w:rPr>
        <w:t xml:space="preserve">czynność </w:t>
      </w:r>
      <w:r w:rsidR="00C90CC3" w:rsidRPr="00610450">
        <w:rPr>
          <w:sz w:val="22"/>
          <w:szCs w:val="28"/>
        </w:rPr>
        <w:t xml:space="preserve">osi </w:t>
      </w:r>
      <w:proofErr w:type="spellStart"/>
      <w:r w:rsidRPr="00610450">
        <w:rPr>
          <w:sz w:val="22"/>
          <w:szCs w:val="28"/>
        </w:rPr>
        <w:t>podwzgórze-przysadka-nadnercza</w:t>
      </w:r>
      <w:proofErr w:type="spellEnd"/>
      <w:r w:rsidR="00C90CC3" w:rsidRPr="00610450">
        <w:rPr>
          <w:sz w:val="22"/>
          <w:szCs w:val="28"/>
        </w:rPr>
        <w:t xml:space="preserve">, należy </w:t>
      </w:r>
      <w:r w:rsidRPr="00610450">
        <w:rPr>
          <w:sz w:val="22"/>
          <w:szCs w:val="28"/>
        </w:rPr>
        <w:t>stopniowo zaprzestać jego stosowania</w:t>
      </w:r>
      <w:r w:rsidR="00C90CC3" w:rsidRPr="00610450">
        <w:rPr>
          <w:sz w:val="22"/>
          <w:szCs w:val="28"/>
        </w:rPr>
        <w:t xml:space="preserve">, zmniejszyć częstość </w:t>
      </w:r>
      <w:r w:rsidRPr="00610450">
        <w:rPr>
          <w:sz w:val="22"/>
          <w:szCs w:val="28"/>
        </w:rPr>
        <w:t>podawania produktu</w:t>
      </w:r>
      <w:r w:rsidR="00C90CC3" w:rsidRPr="00610450">
        <w:rPr>
          <w:sz w:val="22"/>
          <w:szCs w:val="28"/>
        </w:rPr>
        <w:t xml:space="preserve"> lub </w:t>
      </w:r>
      <w:r w:rsidRPr="00610450">
        <w:rPr>
          <w:sz w:val="22"/>
          <w:szCs w:val="28"/>
        </w:rPr>
        <w:t>zastąpić kortyko</w:t>
      </w:r>
      <w:r w:rsidR="00C90CC3" w:rsidRPr="00610450">
        <w:rPr>
          <w:sz w:val="22"/>
          <w:szCs w:val="28"/>
        </w:rPr>
        <w:t>steroid</w:t>
      </w:r>
      <w:r w:rsidRPr="00610450">
        <w:rPr>
          <w:sz w:val="22"/>
          <w:szCs w:val="28"/>
        </w:rPr>
        <w:t>em</w:t>
      </w:r>
      <w:r w:rsidR="00591772" w:rsidRPr="00610450">
        <w:rPr>
          <w:sz w:val="22"/>
          <w:szCs w:val="28"/>
        </w:rPr>
        <w:t xml:space="preserve"> o</w:t>
      </w:r>
      <w:r w:rsidR="00BF1856">
        <w:rPr>
          <w:sz w:val="22"/>
          <w:szCs w:val="28"/>
        </w:rPr>
        <w:t> </w:t>
      </w:r>
      <w:r w:rsidR="00591772" w:rsidRPr="00610450">
        <w:rPr>
          <w:sz w:val="22"/>
          <w:szCs w:val="28"/>
        </w:rPr>
        <w:t>słabszym działaniu</w:t>
      </w:r>
      <w:r w:rsidR="00C90CC3" w:rsidRPr="00610450">
        <w:rPr>
          <w:sz w:val="22"/>
          <w:szCs w:val="28"/>
        </w:rPr>
        <w:t xml:space="preserve">. </w:t>
      </w:r>
    </w:p>
    <w:p w:rsidR="00C90CC3" w:rsidRPr="00906541" w:rsidRDefault="00C90CC3" w:rsidP="00610450">
      <w:pPr>
        <w:pStyle w:val="Default"/>
        <w:ind w:left="142"/>
        <w:rPr>
          <w:sz w:val="22"/>
          <w:szCs w:val="28"/>
        </w:rPr>
      </w:pPr>
    </w:p>
    <w:p w:rsidR="00C90CC3" w:rsidRPr="00610450" w:rsidRDefault="00C90CC3" w:rsidP="00610450">
      <w:pPr>
        <w:pStyle w:val="Default"/>
        <w:ind w:left="142"/>
        <w:rPr>
          <w:sz w:val="22"/>
          <w:szCs w:val="28"/>
        </w:rPr>
      </w:pPr>
      <w:r w:rsidRPr="00610450">
        <w:rPr>
          <w:sz w:val="22"/>
          <w:szCs w:val="28"/>
        </w:rPr>
        <w:t xml:space="preserve">Zawartość </w:t>
      </w:r>
      <w:r w:rsidR="000408F4" w:rsidRPr="00610450">
        <w:rPr>
          <w:sz w:val="22"/>
          <w:szCs w:val="28"/>
        </w:rPr>
        <w:t>kortyko</w:t>
      </w:r>
      <w:r w:rsidRPr="00610450">
        <w:rPr>
          <w:sz w:val="22"/>
          <w:szCs w:val="28"/>
        </w:rPr>
        <w:t xml:space="preserve">steroidu w każdym </w:t>
      </w:r>
      <w:r w:rsidR="00CB15C4" w:rsidRPr="00610450">
        <w:rPr>
          <w:sz w:val="22"/>
          <w:szCs w:val="28"/>
        </w:rPr>
        <w:t xml:space="preserve">opakowaniu </w:t>
      </w:r>
      <w:r w:rsidRPr="00610450">
        <w:rPr>
          <w:sz w:val="22"/>
          <w:szCs w:val="28"/>
        </w:rPr>
        <w:t xml:space="preserve">jest mała, </w:t>
      </w:r>
      <w:r w:rsidR="000408F4" w:rsidRPr="00610450">
        <w:rPr>
          <w:sz w:val="22"/>
          <w:szCs w:val="28"/>
        </w:rPr>
        <w:t>dzięki czemu w razie przypadkowego połknięcia produktu leczniczego nie wywoła on</w:t>
      </w:r>
      <w:r w:rsidRPr="00610450">
        <w:rPr>
          <w:sz w:val="22"/>
          <w:szCs w:val="28"/>
        </w:rPr>
        <w:t xml:space="preserve"> toksyczn</w:t>
      </w:r>
      <w:r w:rsidR="000408F4" w:rsidRPr="00610450">
        <w:rPr>
          <w:sz w:val="22"/>
          <w:szCs w:val="28"/>
        </w:rPr>
        <w:t>ości</w:t>
      </w:r>
      <w:r w:rsidRPr="00610450">
        <w:rPr>
          <w:sz w:val="22"/>
          <w:szCs w:val="28"/>
        </w:rPr>
        <w:t xml:space="preserve"> </w:t>
      </w:r>
      <w:r w:rsidR="000408F4" w:rsidRPr="00610450">
        <w:rPr>
          <w:sz w:val="22"/>
          <w:szCs w:val="28"/>
        </w:rPr>
        <w:t xml:space="preserve">lub </w:t>
      </w:r>
      <w:r w:rsidRPr="00610450">
        <w:rPr>
          <w:sz w:val="22"/>
          <w:szCs w:val="28"/>
        </w:rPr>
        <w:t xml:space="preserve">będzie </w:t>
      </w:r>
      <w:r w:rsidR="000408F4" w:rsidRPr="00610450">
        <w:rPr>
          <w:sz w:val="22"/>
          <w:szCs w:val="28"/>
        </w:rPr>
        <w:t>ona niewielka</w:t>
      </w:r>
      <w:r w:rsidRPr="00610450">
        <w:rPr>
          <w:sz w:val="22"/>
          <w:szCs w:val="28"/>
        </w:rPr>
        <w:t>.</w:t>
      </w:r>
    </w:p>
    <w:p w:rsidR="00C90CC3" w:rsidRPr="00906541" w:rsidRDefault="00C90CC3" w:rsidP="00610450">
      <w:pPr>
        <w:pStyle w:val="Default"/>
        <w:ind w:left="142"/>
        <w:rPr>
          <w:sz w:val="22"/>
          <w:szCs w:val="28"/>
        </w:rPr>
      </w:pPr>
    </w:p>
    <w:p w:rsidR="00C90CC3" w:rsidRPr="004F5374" w:rsidRDefault="00C90CC3" w:rsidP="00610450">
      <w:pPr>
        <w:pStyle w:val="Default"/>
        <w:ind w:left="142"/>
        <w:rPr>
          <w:sz w:val="22"/>
          <w:szCs w:val="28"/>
        </w:rPr>
      </w:pPr>
    </w:p>
    <w:p w:rsidR="006F2D09" w:rsidRDefault="000408F4" w:rsidP="00610450">
      <w:pPr>
        <w:pStyle w:val="Default"/>
        <w:ind w:left="142"/>
        <w:rPr>
          <w:sz w:val="22"/>
          <w:szCs w:val="28"/>
        </w:rPr>
      </w:pPr>
      <w:r w:rsidRPr="004F5374">
        <w:rPr>
          <w:sz w:val="22"/>
          <w:szCs w:val="28"/>
        </w:rPr>
        <w:t>W przypadku przedawkowania należy rozpocząć ogólne leczenie objawowe oraz leczenie ws</w:t>
      </w:r>
      <w:r w:rsidR="00BF1856">
        <w:rPr>
          <w:sz w:val="22"/>
          <w:szCs w:val="28"/>
        </w:rPr>
        <w:t>pomagające i </w:t>
      </w:r>
      <w:r w:rsidRPr="004F5374">
        <w:rPr>
          <w:sz w:val="22"/>
          <w:szCs w:val="28"/>
        </w:rPr>
        <w:t>kontynuować je tak długo, jak będzie to konieczne. Ostre objawy przedawkowania kortykosteroidów są zwykle odwracalne. Jeśli to konieczne, należy wyrównać stężenie elektrolitów. W przypadku przewlekłego zatrucia zaleca się stopniowe odstawianie</w:t>
      </w:r>
      <w:r w:rsidRPr="00BF1856">
        <w:rPr>
          <w:sz w:val="22"/>
          <w:szCs w:val="28"/>
        </w:rPr>
        <w:t xml:space="preserve"> kortykosteroidu.</w:t>
      </w:r>
    </w:p>
    <w:p w:rsidR="00AE557E" w:rsidRPr="00906541" w:rsidRDefault="00AE557E" w:rsidP="00610450">
      <w:pPr>
        <w:pStyle w:val="Default"/>
        <w:ind w:left="142"/>
        <w:rPr>
          <w:sz w:val="22"/>
          <w:szCs w:val="28"/>
        </w:rPr>
      </w:pPr>
    </w:p>
    <w:p w:rsidR="000408F4" w:rsidRPr="00560841" w:rsidRDefault="000408F4" w:rsidP="00610450">
      <w:pPr>
        <w:kinsoku w:val="0"/>
        <w:overflowPunct w:val="0"/>
        <w:spacing w:line="200" w:lineRule="exact"/>
        <w:ind w:left="142"/>
        <w:rPr>
          <w:sz w:val="22"/>
          <w:szCs w:val="22"/>
        </w:rPr>
      </w:pPr>
    </w:p>
    <w:p w:rsidR="00C90CC3" w:rsidRPr="00560841" w:rsidRDefault="00C90CC3" w:rsidP="0041762C">
      <w:pPr>
        <w:pStyle w:val="Nagwek1"/>
        <w:numPr>
          <w:ilvl w:val="0"/>
          <w:numId w:val="2"/>
        </w:numPr>
        <w:tabs>
          <w:tab w:val="left" w:pos="335"/>
        </w:tabs>
        <w:kinsoku w:val="0"/>
        <w:overflowPunct w:val="0"/>
        <w:ind w:left="335"/>
      </w:pPr>
      <w:r w:rsidRPr="00560841">
        <w:t>WŁAŚCIWOŚCI FARMAKOLOGICZNE</w:t>
      </w:r>
    </w:p>
    <w:p w:rsidR="00C90CC3" w:rsidRPr="00560841" w:rsidRDefault="00C90CC3" w:rsidP="0041762C">
      <w:pPr>
        <w:kinsoku w:val="0"/>
        <w:overflowPunct w:val="0"/>
        <w:spacing w:line="240" w:lineRule="exact"/>
        <w:rPr>
          <w:sz w:val="22"/>
          <w:szCs w:val="22"/>
        </w:rPr>
      </w:pPr>
    </w:p>
    <w:p w:rsidR="00C90CC3" w:rsidRPr="00560841" w:rsidRDefault="00C90CC3" w:rsidP="0041762C">
      <w:pPr>
        <w:numPr>
          <w:ilvl w:val="1"/>
          <w:numId w:val="2"/>
        </w:numPr>
        <w:tabs>
          <w:tab w:val="left" w:pos="445"/>
        </w:tabs>
        <w:kinsoku w:val="0"/>
        <w:overflowPunct w:val="0"/>
        <w:ind w:left="445" w:hanging="330"/>
        <w:rPr>
          <w:b/>
          <w:bCs/>
          <w:sz w:val="22"/>
          <w:szCs w:val="22"/>
        </w:rPr>
      </w:pPr>
      <w:r w:rsidRPr="00560841">
        <w:rPr>
          <w:b/>
          <w:bCs/>
          <w:sz w:val="22"/>
          <w:szCs w:val="22"/>
        </w:rPr>
        <w:t>Właściwości farmakodynamiczne</w:t>
      </w:r>
    </w:p>
    <w:p w:rsidR="00C90CC3" w:rsidRPr="00560841" w:rsidRDefault="00C90CC3" w:rsidP="0041762C">
      <w:pPr>
        <w:kinsoku w:val="0"/>
        <w:overflowPunct w:val="0"/>
        <w:spacing w:line="240" w:lineRule="exact"/>
        <w:rPr>
          <w:sz w:val="22"/>
          <w:szCs w:val="22"/>
        </w:rPr>
      </w:pPr>
    </w:p>
    <w:p w:rsidR="00470585" w:rsidRPr="00610450" w:rsidRDefault="00C90CC3" w:rsidP="00610450">
      <w:pPr>
        <w:pStyle w:val="Default"/>
        <w:ind w:left="142"/>
        <w:rPr>
          <w:sz w:val="22"/>
          <w:szCs w:val="28"/>
        </w:rPr>
      </w:pPr>
      <w:r w:rsidRPr="00610450">
        <w:rPr>
          <w:sz w:val="22"/>
          <w:szCs w:val="28"/>
        </w:rPr>
        <w:t xml:space="preserve">Grupa farmaceutyczna: </w:t>
      </w:r>
      <w:r w:rsidR="002C3CD0" w:rsidRPr="00610450">
        <w:rPr>
          <w:sz w:val="22"/>
          <w:szCs w:val="28"/>
        </w:rPr>
        <w:t>k</w:t>
      </w:r>
      <w:r w:rsidRPr="00610450">
        <w:rPr>
          <w:sz w:val="22"/>
          <w:szCs w:val="28"/>
        </w:rPr>
        <w:t xml:space="preserve">ortykosteroidy </w:t>
      </w:r>
      <w:r w:rsidR="002C3CD0" w:rsidRPr="00610450">
        <w:rPr>
          <w:sz w:val="22"/>
          <w:szCs w:val="28"/>
        </w:rPr>
        <w:t>d</w:t>
      </w:r>
      <w:r w:rsidRPr="00610450">
        <w:rPr>
          <w:sz w:val="22"/>
          <w:szCs w:val="28"/>
        </w:rPr>
        <w:t>o</w:t>
      </w:r>
      <w:r w:rsidR="002C3CD0" w:rsidRPr="00610450">
        <w:rPr>
          <w:sz w:val="22"/>
          <w:szCs w:val="28"/>
        </w:rPr>
        <w:t xml:space="preserve"> stosowania miejscowego</w:t>
      </w:r>
      <w:r w:rsidRPr="00610450">
        <w:rPr>
          <w:sz w:val="22"/>
          <w:szCs w:val="28"/>
        </w:rPr>
        <w:t xml:space="preserve"> </w:t>
      </w:r>
      <w:r w:rsidR="005032CD" w:rsidRPr="00610450">
        <w:rPr>
          <w:sz w:val="22"/>
          <w:szCs w:val="28"/>
        </w:rPr>
        <w:t xml:space="preserve">o </w:t>
      </w:r>
      <w:r w:rsidRPr="00610450">
        <w:rPr>
          <w:sz w:val="22"/>
          <w:szCs w:val="28"/>
        </w:rPr>
        <w:t xml:space="preserve">silnym działaniu (grupa III) </w:t>
      </w:r>
    </w:p>
    <w:p w:rsidR="00C90CC3" w:rsidRPr="00610450" w:rsidRDefault="00C90CC3" w:rsidP="00610450">
      <w:pPr>
        <w:pStyle w:val="Default"/>
        <w:ind w:left="142"/>
        <w:rPr>
          <w:sz w:val="22"/>
          <w:szCs w:val="28"/>
        </w:rPr>
      </w:pPr>
      <w:r w:rsidRPr="00610450">
        <w:rPr>
          <w:sz w:val="22"/>
          <w:szCs w:val="28"/>
        </w:rPr>
        <w:t>Kod ATC: D07AC13</w:t>
      </w:r>
    </w:p>
    <w:p w:rsidR="00C90CC3" w:rsidRPr="00BF1856" w:rsidRDefault="00C90CC3" w:rsidP="00610450">
      <w:pPr>
        <w:pStyle w:val="Default"/>
        <w:ind w:left="142"/>
        <w:rPr>
          <w:sz w:val="22"/>
          <w:szCs w:val="28"/>
        </w:rPr>
      </w:pPr>
    </w:p>
    <w:p w:rsidR="000408F4" w:rsidRPr="00EA3932" w:rsidRDefault="000408F4" w:rsidP="00610450">
      <w:pPr>
        <w:pStyle w:val="Default"/>
        <w:ind w:left="142"/>
        <w:rPr>
          <w:sz w:val="22"/>
          <w:szCs w:val="28"/>
          <w:u w:val="single"/>
        </w:rPr>
      </w:pPr>
      <w:r w:rsidRPr="00EA3932">
        <w:rPr>
          <w:sz w:val="22"/>
          <w:szCs w:val="28"/>
          <w:u w:val="single"/>
        </w:rPr>
        <w:t>Mechanizm działania i działanie farmakodynamiczne</w:t>
      </w:r>
    </w:p>
    <w:p w:rsidR="00C90CC3" w:rsidRPr="00610450" w:rsidRDefault="003C2056" w:rsidP="00610450">
      <w:pPr>
        <w:pStyle w:val="Default"/>
        <w:ind w:left="142"/>
        <w:rPr>
          <w:sz w:val="22"/>
          <w:szCs w:val="28"/>
        </w:rPr>
      </w:pPr>
      <w:proofErr w:type="spellStart"/>
      <w:r w:rsidRPr="00610450">
        <w:rPr>
          <w:sz w:val="22"/>
          <w:szCs w:val="28"/>
        </w:rPr>
        <w:t>M</w:t>
      </w:r>
      <w:r w:rsidR="00C90CC3" w:rsidRPr="00610450">
        <w:rPr>
          <w:sz w:val="22"/>
          <w:szCs w:val="28"/>
        </w:rPr>
        <w:t>ometazonu</w:t>
      </w:r>
      <w:proofErr w:type="spellEnd"/>
      <w:r w:rsidR="00C90CC3" w:rsidRPr="00610450">
        <w:rPr>
          <w:sz w:val="22"/>
          <w:szCs w:val="28"/>
        </w:rPr>
        <w:t xml:space="preserve"> </w:t>
      </w:r>
      <w:proofErr w:type="spellStart"/>
      <w:r w:rsidRPr="00610450">
        <w:rPr>
          <w:sz w:val="22"/>
          <w:szCs w:val="28"/>
        </w:rPr>
        <w:t>furoinian</w:t>
      </w:r>
      <w:proofErr w:type="spellEnd"/>
      <w:r w:rsidRPr="00610450">
        <w:rPr>
          <w:sz w:val="22"/>
          <w:szCs w:val="28"/>
        </w:rPr>
        <w:t xml:space="preserve"> </w:t>
      </w:r>
      <w:r w:rsidR="002C3CD0" w:rsidRPr="00610450">
        <w:rPr>
          <w:sz w:val="22"/>
          <w:szCs w:val="28"/>
        </w:rPr>
        <w:t xml:space="preserve">(dawna nazwa </w:t>
      </w:r>
      <w:proofErr w:type="spellStart"/>
      <w:r w:rsidR="00DA0970" w:rsidRPr="00610450">
        <w:rPr>
          <w:sz w:val="22"/>
          <w:szCs w:val="28"/>
        </w:rPr>
        <w:t>pirośluzan</w:t>
      </w:r>
      <w:proofErr w:type="spellEnd"/>
      <w:r w:rsidR="00DA0970" w:rsidRPr="00610450">
        <w:rPr>
          <w:sz w:val="22"/>
          <w:szCs w:val="28"/>
        </w:rPr>
        <w:t xml:space="preserve"> </w:t>
      </w:r>
      <w:proofErr w:type="spellStart"/>
      <w:r w:rsidR="00DA0970" w:rsidRPr="00610450">
        <w:rPr>
          <w:sz w:val="22"/>
          <w:szCs w:val="28"/>
        </w:rPr>
        <w:t>mometazonu</w:t>
      </w:r>
      <w:proofErr w:type="spellEnd"/>
      <w:r w:rsidR="00DA0970" w:rsidRPr="00610450">
        <w:rPr>
          <w:sz w:val="22"/>
          <w:szCs w:val="28"/>
        </w:rPr>
        <w:t xml:space="preserve">) jest silnie działającym kortykosteroidem. </w:t>
      </w:r>
    </w:p>
    <w:p w:rsidR="00C90CC3" w:rsidRDefault="00DA0970" w:rsidP="00610450">
      <w:pPr>
        <w:pStyle w:val="Default"/>
        <w:ind w:left="142"/>
        <w:rPr>
          <w:sz w:val="22"/>
          <w:szCs w:val="28"/>
        </w:rPr>
      </w:pPr>
      <w:proofErr w:type="spellStart"/>
      <w:r w:rsidRPr="00BF1856">
        <w:rPr>
          <w:sz w:val="22"/>
          <w:szCs w:val="28"/>
        </w:rPr>
        <w:t>Mometazonu</w:t>
      </w:r>
      <w:proofErr w:type="spellEnd"/>
      <w:r w:rsidRPr="00BF1856">
        <w:rPr>
          <w:sz w:val="22"/>
          <w:szCs w:val="28"/>
        </w:rPr>
        <w:t xml:space="preserve"> </w:t>
      </w:r>
      <w:proofErr w:type="spellStart"/>
      <w:r w:rsidRPr="00BF1856">
        <w:rPr>
          <w:sz w:val="22"/>
          <w:szCs w:val="28"/>
        </w:rPr>
        <w:t>furoinian</w:t>
      </w:r>
      <w:proofErr w:type="spellEnd"/>
      <w:r w:rsidRPr="00BF1856">
        <w:rPr>
          <w:sz w:val="22"/>
          <w:szCs w:val="28"/>
        </w:rPr>
        <w:t xml:space="preserve"> w płynie po zastosowaniu na skórę wykazuje miejscowe działanie przeciwzapalne, przeciwświądowe i obkurczające naczynia krwionośne.</w:t>
      </w:r>
    </w:p>
    <w:p w:rsidR="00EA3932" w:rsidRPr="00610450" w:rsidRDefault="00EA3932" w:rsidP="00610450">
      <w:pPr>
        <w:pStyle w:val="Default"/>
        <w:ind w:left="142"/>
        <w:rPr>
          <w:sz w:val="22"/>
          <w:szCs w:val="28"/>
        </w:rPr>
      </w:pPr>
    </w:p>
    <w:p w:rsidR="00DA0970" w:rsidRDefault="00DA0970" w:rsidP="0041762C">
      <w:pPr>
        <w:pStyle w:val="Default"/>
        <w:ind w:left="142"/>
        <w:rPr>
          <w:sz w:val="22"/>
          <w:szCs w:val="28"/>
        </w:rPr>
      </w:pPr>
      <w:r w:rsidRPr="00610450">
        <w:rPr>
          <w:sz w:val="22"/>
          <w:szCs w:val="28"/>
        </w:rPr>
        <w:t xml:space="preserve">Mechanizm działania przeciwzapalnego miejscowo stosowanych kortykosteroidów nie jest w pełni poznany. </w:t>
      </w:r>
    </w:p>
    <w:p w:rsidR="00EA3932" w:rsidRPr="00610450" w:rsidRDefault="00EA3932" w:rsidP="0041762C">
      <w:pPr>
        <w:pStyle w:val="Default"/>
        <w:ind w:left="142"/>
        <w:rPr>
          <w:sz w:val="22"/>
          <w:szCs w:val="28"/>
        </w:rPr>
      </w:pPr>
    </w:p>
    <w:p w:rsidR="00DA0970" w:rsidRPr="00BF1856" w:rsidRDefault="00DA0970" w:rsidP="0041762C">
      <w:pPr>
        <w:pStyle w:val="Default"/>
        <w:ind w:left="142"/>
        <w:rPr>
          <w:sz w:val="22"/>
          <w:szCs w:val="28"/>
        </w:rPr>
      </w:pPr>
      <w:r w:rsidRPr="00610450">
        <w:rPr>
          <w:sz w:val="22"/>
          <w:szCs w:val="28"/>
        </w:rPr>
        <w:t xml:space="preserve">Badania wykonane w celu oceny zdolności obkurczania naczyń przez </w:t>
      </w:r>
      <w:proofErr w:type="spellStart"/>
      <w:r w:rsidRPr="00610450">
        <w:rPr>
          <w:sz w:val="22"/>
          <w:szCs w:val="28"/>
        </w:rPr>
        <w:t>mometazonu</w:t>
      </w:r>
      <w:proofErr w:type="spellEnd"/>
      <w:r w:rsidRPr="00610450">
        <w:rPr>
          <w:sz w:val="22"/>
          <w:szCs w:val="28"/>
        </w:rPr>
        <w:t xml:space="preserve"> </w:t>
      </w:r>
      <w:proofErr w:type="spellStart"/>
      <w:r w:rsidRPr="00610450">
        <w:rPr>
          <w:sz w:val="22"/>
          <w:szCs w:val="28"/>
        </w:rPr>
        <w:t>furoinian</w:t>
      </w:r>
      <w:proofErr w:type="spellEnd"/>
      <w:r w:rsidRPr="00610450">
        <w:rPr>
          <w:sz w:val="22"/>
          <w:szCs w:val="28"/>
        </w:rPr>
        <w:t xml:space="preserve"> w płynie w</w:t>
      </w:r>
      <w:r w:rsidR="00BF1856">
        <w:rPr>
          <w:sz w:val="22"/>
          <w:szCs w:val="28"/>
        </w:rPr>
        <w:t> </w:t>
      </w:r>
      <w:r w:rsidRPr="00BF1856">
        <w:rPr>
          <w:sz w:val="22"/>
          <w:szCs w:val="28"/>
        </w:rPr>
        <w:t xml:space="preserve">porównaniu do innych kortykosteroidów wykazały, że </w:t>
      </w:r>
      <w:proofErr w:type="spellStart"/>
      <w:r w:rsidRPr="00BF1856">
        <w:rPr>
          <w:sz w:val="22"/>
          <w:szCs w:val="28"/>
        </w:rPr>
        <w:t>mometazonu</w:t>
      </w:r>
      <w:proofErr w:type="spellEnd"/>
      <w:r w:rsidRPr="00BF1856">
        <w:rPr>
          <w:sz w:val="22"/>
          <w:szCs w:val="28"/>
        </w:rPr>
        <w:t xml:space="preserve"> </w:t>
      </w:r>
      <w:proofErr w:type="spellStart"/>
      <w:r w:rsidRPr="00BF1856">
        <w:rPr>
          <w:sz w:val="22"/>
          <w:szCs w:val="28"/>
        </w:rPr>
        <w:t>furoinian</w:t>
      </w:r>
      <w:proofErr w:type="spellEnd"/>
      <w:r w:rsidRPr="00BF1856">
        <w:rPr>
          <w:sz w:val="22"/>
          <w:szCs w:val="28"/>
        </w:rPr>
        <w:t xml:space="preserve"> ma równie silne, lub silniejsze, działanie jak </w:t>
      </w:r>
      <w:proofErr w:type="spellStart"/>
      <w:r w:rsidRPr="00BF1856">
        <w:rPr>
          <w:sz w:val="22"/>
          <w:szCs w:val="28"/>
        </w:rPr>
        <w:t>betametazonu</w:t>
      </w:r>
      <w:proofErr w:type="spellEnd"/>
      <w:r w:rsidRPr="00BF1856">
        <w:rPr>
          <w:sz w:val="22"/>
          <w:szCs w:val="28"/>
        </w:rPr>
        <w:t xml:space="preserve"> </w:t>
      </w:r>
      <w:proofErr w:type="spellStart"/>
      <w:r w:rsidRPr="00BF1856">
        <w:rPr>
          <w:sz w:val="22"/>
          <w:szCs w:val="28"/>
        </w:rPr>
        <w:t>walerianian</w:t>
      </w:r>
      <w:proofErr w:type="spellEnd"/>
      <w:r w:rsidRPr="00BF1856">
        <w:rPr>
          <w:sz w:val="22"/>
          <w:szCs w:val="28"/>
        </w:rPr>
        <w:t xml:space="preserve">, </w:t>
      </w:r>
      <w:proofErr w:type="spellStart"/>
      <w:r w:rsidRPr="00BF1856">
        <w:rPr>
          <w:sz w:val="22"/>
          <w:szCs w:val="28"/>
        </w:rPr>
        <w:t>acetonid</w:t>
      </w:r>
      <w:proofErr w:type="spellEnd"/>
      <w:r w:rsidRPr="00BF1856">
        <w:rPr>
          <w:sz w:val="22"/>
          <w:szCs w:val="28"/>
        </w:rPr>
        <w:t xml:space="preserve"> </w:t>
      </w:r>
      <w:proofErr w:type="spellStart"/>
      <w:r w:rsidRPr="00BF1856">
        <w:rPr>
          <w:sz w:val="22"/>
          <w:szCs w:val="28"/>
        </w:rPr>
        <w:t>triamcynolonu</w:t>
      </w:r>
      <w:proofErr w:type="spellEnd"/>
      <w:r w:rsidRPr="00BF1856">
        <w:rPr>
          <w:sz w:val="22"/>
          <w:szCs w:val="28"/>
        </w:rPr>
        <w:t xml:space="preserve">, </w:t>
      </w:r>
      <w:proofErr w:type="spellStart"/>
      <w:r w:rsidRPr="00BF1856">
        <w:rPr>
          <w:sz w:val="22"/>
          <w:szCs w:val="28"/>
        </w:rPr>
        <w:t>betametazonu</w:t>
      </w:r>
      <w:proofErr w:type="spellEnd"/>
      <w:r w:rsidRPr="00BF1856">
        <w:rPr>
          <w:sz w:val="22"/>
          <w:szCs w:val="28"/>
        </w:rPr>
        <w:t xml:space="preserve"> </w:t>
      </w:r>
      <w:proofErr w:type="spellStart"/>
      <w:r w:rsidRPr="00BF1856">
        <w:rPr>
          <w:sz w:val="22"/>
          <w:szCs w:val="28"/>
        </w:rPr>
        <w:t>dipropionian</w:t>
      </w:r>
      <w:proofErr w:type="spellEnd"/>
      <w:r w:rsidRPr="00BF1856">
        <w:rPr>
          <w:sz w:val="22"/>
          <w:szCs w:val="28"/>
        </w:rPr>
        <w:t xml:space="preserve"> i</w:t>
      </w:r>
      <w:r w:rsidR="00BF1856">
        <w:rPr>
          <w:sz w:val="22"/>
          <w:szCs w:val="28"/>
        </w:rPr>
        <w:t> </w:t>
      </w:r>
      <w:proofErr w:type="spellStart"/>
      <w:r w:rsidRPr="00BF1856">
        <w:rPr>
          <w:sz w:val="22"/>
          <w:szCs w:val="28"/>
        </w:rPr>
        <w:t>acetonid</w:t>
      </w:r>
      <w:proofErr w:type="spellEnd"/>
      <w:r w:rsidRPr="00BF1856">
        <w:rPr>
          <w:sz w:val="22"/>
          <w:szCs w:val="28"/>
        </w:rPr>
        <w:t xml:space="preserve"> </w:t>
      </w:r>
      <w:proofErr w:type="spellStart"/>
      <w:r w:rsidRPr="00BF1856">
        <w:rPr>
          <w:sz w:val="22"/>
          <w:szCs w:val="28"/>
        </w:rPr>
        <w:t>fluocinolonu</w:t>
      </w:r>
      <w:proofErr w:type="spellEnd"/>
      <w:r w:rsidRPr="00BF1856">
        <w:rPr>
          <w:sz w:val="22"/>
          <w:szCs w:val="28"/>
        </w:rPr>
        <w:t xml:space="preserve">. </w:t>
      </w:r>
    </w:p>
    <w:p w:rsidR="005032CD" w:rsidRPr="00610450" w:rsidRDefault="005032CD" w:rsidP="0041762C">
      <w:pPr>
        <w:pStyle w:val="Default"/>
        <w:ind w:left="142"/>
        <w:rPr>
          <w:sz w:val="22"/>
          <w:szCs w:val="28"/>
        </w:rPr>
      </w:pPr>
    </w:p>
    <w:p w:rsidR="00DA0970" w:rsidRPr="00610450" w:rsidRDefault="00DA0970" w:rsidP="00610450">
      <w:pPr>
        <w:pStyle w:val="Default"/>
        <w:ind w:left="142"/>
        <w:rPr>
          <w:sz w:val="22"/>
          <w:szCs w:val="28"/>
        </w:rPr>
      </w:pPr>
      <w:r w:rsidRPr="00610450">
        <w:rPr>
          <w:sz w:val="22"/>
          <w:szCs w:val="28"/>
        </w:rPr>
        <w:t xml:space="preserve">Badania zmian zapalnych wywołanych </w:t>
      </w:r>
      <w:r w:rsidR="0027712C" w:rsidRPr="00610450">
        <w:rPr>
          <w:sz w:val="22"/>
          <w:szCs w:val="28"/>
        </w:rPr>
        <w:t>promieni</w:t>
      </w:r>
      <w:r w:rsidR="0027712C">
        <w:rPr>
          <w:sz w:val="22"/>
          <w:szCs w:val="28"/>
        </w:rPr>
        <w:t>owaniem</w:t>
      </w:r>
      <w:r w:rsidR="0027712C" w:rsidRPr="00610450">
        <w:rPr>
          <w:sz w:val="22"/>
          <w:szCs w:val="28"/>
        </w:rPr>
        <w:t xml:space="preserve"> </w:t>
      </w:r>
      <w:r w:rsidRPr="00610450">
        <w:rPr>
          <w:sz w:val="22"/>
          <w:szCs w:val="28"/>
        </w:rPr>
        <w:t xml:space="preserve">UV z zastosowaniem spektroskopii odbiciowej wykazały, że </w:t>
      </w:r>
      <w:proofErr w:type="spellStart"/>
      <w:r w:rsidRPr="00610450">
        <w:rPr>
          <w:sz w:val="22"/>
          <w:szCs w:val="28"/>
        </w:rPr>
        <w:t>mometazonu</w:t>
      </w:r>
      <w:proofErr w:type="spellEnd"/>
      <w:r w:rsidRPr="00610450">
        <w:rPr>
          <w:sz w:val="22"/>
          <w:szCs w:val="28"/>
        </w:rPr>
        <w:t xml:space="preserve"> </w:t>
      </w:r>
      <w:proofErr w:type="spellStart"/>
      <w:r w:rsidRPr="00610450">
        <w:rPr>
          <w:sz w:val="22"/>
          <w:szCs w:val="28"/>
        </w:rPr>
        <w:t>furoinian</w:t>
      </w:r>
      <w:proofErr w:type="spellEnd"/>
      <w:r w:rsidRPr="00610450">
        <w:rPr>
          <w:sz w:val="22"/>
          <w:szCs w:val="28"/>
        </w:rPr>
        <w:t xml:space="preserve"> (0,1% krem) w porównaniu z produktami zawierającymi </w:t>
      </w:r>
      <w:proofErr w:type="spellStart"/>
      <w:r w:rsidRPr="00610450">
        <w:rPr>
          <w:sz w:val="22"/>
          <w:szCs w:val="28"/>
        </w:rPr>
        <w:t>betametazonu</w:t>
      </w:r>
      <w:proofErr w:type="spellEnd"/>
      <w:r w:rsidRPr="00610450">
        <w:rPr>
          <w:sz w:val="22"/>
          <w:szCs w:val="28"/>
        </w:rPr>
        <w:t xml:space="preserve"> </w:t>
      </w:r>
      <w:proofErr w:type="spellStart"/>
      <w:r w:rsidRPr="00610450">
        <w:rPr>
          <w:sz w:val="22"/>
          <w:szCs w:val="28"/>
        </w:rPr>
        <w:t>walerianian</w:t>
      </w:r>
      <w:proofErr w:type="spellEnd"/>
      <w:r w:rsidRPr="00610450">
        <w:rPr>
          <w:sz w:val="22"/>
          <w:szCs w:val="28"/>
        </w:rPr>
        <w:t xml:space="preserve"> (0,1% krem) lub </w:t>
      </w:r>
      <w:proofErr w:type="spellStart"/>
      <w:r w:rsidRPr="00610450">
        <w:rPr>
          <w:sz w:val="22"/>
          <w:szCs w:val="28"/>
        </w:rPr>
        <w:t>betametazonu</w:t>
      </w:r>
      <w:proofErr w:type="spellEnd"/>
      <w:r w:rsidRPr="00610450">
        <w:rPr>
          <w:sz w:val="22"/>
          <w:szCs w:val="28"/>
        </w:rPr>
        <w:t xml:space="preserve"> </w:t>
      </w:r>
      <w:proofErr w:type="spellStart"/>
      <w:r w:rsidRPr="00610450">
        <w:rPr>
          <w:sz w:val="22"/>
          <w:szCs w:val="28"/>
        </w:rPr>
        <w:t>dipropionian</w:t>
      </w:r>
      <w:proofErr w:type="spellEnd"/>
      <w:r w:rsidRPr="00610450">
        <w:rPr>
          <w:sz w:val="22"/>
          <w:szCs w:val="28"/>
        </w:rPr>
        <w:t xml:space="preserve"> (0,1% krem) silniej obkurczał naczynia. Działanie to trwało nawet do 24 godzin.</w:t>
      </w:r>
    </w:p>
    <w:p w:rsidR="00C90CC3" w:rsidRPr="00560841" w:rsidRDefault="00C90CC3" w:rsidP="0041762C">
      <w:pPr>
        <w:kinsoku w:val="0"/>
        <w:overflowPunct w:val="0"/>
        <w:spacing w:line="240" w:lineRule="exact"/>
        <w:rPr>
          <w:sz w:val="22"/>
          <w:szCs w:val="22"/>
        </w:rPr>
      </w:pPr>
    </w:p>
    <w:p w:rsidR="00C90CC3" w:rsidRPr="00560841" w:rsidRDefault="00C90CC3" w:rsidP="0041762C">
      <w:pPr>
        <w:pStyle w:val="Nagwek1"/>
        <w:numPr>
          <w:ilvl w:val="1"/>
          <w:numId w:val="2"/>
        </w:numPr>
        <w:tabs>
          <w:tab w:val="left" w:pos="445"/>
        </w:tabs>
        <w:kinsoku w:val="0"/>
        <w:overflowPunct w:val="0"/>
        <w:ind w:hanging="330"/>
      </w:pPr>
      <w:r w:rsidRPr="00560841">
        <w:t>Właściwości farmakokinetyczne</w:t>
      </w:r>
    </w:p>
    <w:p w:rsidR="00C90CC3" w:rsidRPr="00560841" w:rsidRDefault="00C90CC3" w:rsidP="0041762C">
      <w:pPr>
        <w:kinsoku w:val="0"/>
        <w:overflowPunct w:val="0"/>
        <w:spacing w:line="240" w:lineRule="exact"/>
        <w:rPr>
          <w:sz w:val="22"/>
          <w:szCs w:val="22"/>
        </w:rPr>
      </w:pPr>
    </w:p>
    <w:p w:rsidR="005032CD" w:rsidRDefault="005032CD" w:rsidP="0041762C">
      <w:pPr>
        <w:kinsoku w:val="0"/>
        <w:overflowPunct w:val="0"/>
        <w:spacing w:line="240" w:lineRule="exact"/>
        <w:ind w:left="142"/>
        <w:rPr>
          <w:sz w:val="22"/>
          <w:szCs w:val="22"/>
        </w:rPr>
      </w:pPr>
      <w:r w:rsidRPr="005032CD">
        <w:rPr>
          <w:sz w:val="22"/>
          <w:szCs w:val="22"/>
        </w:rPr>
        <w:t xml:space="preserve">W celu oznaczenia u ludzi wchłaniania przezskórnego i występującego w jego następstwie wydalania </w:t>
      </w:r>
      <w:proofErr w:type="spellStart"/>
      <w:r w:rsidRPr="005032CD">
        <w:rPr>
          <w:sz w:val="22"/>
          <w:szCs w:val="22"/>
        </w:rPr>
        <w:t>mometazonu</w:t>
      </w:r>
      <w:proofErr w:type="spellEnd"/>
      <w:r w:rsidRPr="005032CD">
        <w:rPr>
          <w:sz w:val="22"/>
          <w:szCs w:val="22"/>
        </w:rPr>
        <w:t xml:space="preserve"> </w:t>
      </w:r>
      <w:proofErr w:type="spellStart"/>
      <w:r w:rsidRPr="005032CD">
        <w:rPr>
          <w:sz w:val="22"/>
          <w:szCs w:val="22"/>
        </w:rPr>
        <w:t>furoinianu</w:t>
      </w:r>
      <w:proofErr w:type="spellEnd"/>
      <w:r w:rsidRPr="005032CD">
        <w:rPr>
          <w:sz w:val="22"/>
          <w:szCs w:val="22"/>
        </w:rPr>
        <w:t xml:space="preserve"> podawano maść i krem zawierające </w:t>
      </w:r>
      <w:proofErr w:type="spellStart"/>
      <w:r w:rsidRPr="005032CD">
        <w:rPr>
          <w:sz w:val="22"/>
          <w:szCs w:val="22"/>
        </w:rPr>
        <w:t>mometazonu</w:t>
      </w:r>
      <w:proofErr w:type="spellEnd"/>
      <w:r w:rsidRPr="005032CD">
        <w:rPr>
          <w:sz w:val="22"/>
          <w:szCs w:val="22"/>
        </w:rPr>
        <w:t xml:space="preserve"> </w:t>
      </w:r>
      <w:proofErr w:type="spellStart"/>
      <w:r w:rsidRPr="005032CD">
        <w:rPr>
          <w:sz w:val="22"/>
          <w:szCs w:val="22"/>
        </w:rPr>
        <w:t>furoinian</w:t>
      </w:r>
      <w:proofErr w:type="spellEnd"/>
      <w:r w:rsidRPr="005032CD">
        <w:rPr>
          <w:sz w:val="22"/>
          <w:szCs w:val="22"/>
        </w:rPr>
        <w:t xml:space="preserve"> znakowany </w:t>
      </w:r>
      <w:r w:rsidRPr="00EA3932">
        <w:rPr>
          <w:sz w:val="22"/>
          <w:szCs w:val="22"/>
          <w:vertAlign w:val="superscript"/>
        </w:rPr>
        <w:t>3</w:t>
      </w:r>
      <w:r w:rsidRPr="005032CD">
        <w:rPr>
          <w:sz w:val="22"/>
          <w:szCs w:val="22"/>
        </w:rPr>
        <w:t>H. Z</w:t>
      </w:r>
      <w:r w:rsidR="00BF1856">
        <w:rPr>
          <w:sz w:val="22"/>
          <w:szCs w:val="22"/>
        </w:rPr>
        <w:t> </w:t>
      </w:r>
      <w:r w:rsidRPr="005032CD">
        <w:rPr>
          <w:sz w:val="22"/>
          <w:szCs w:val="22"/>
        </w:rPr>
        <w:t xml:space="preserve">badań wynika, że w czasie ośmiogodzinnego kontaktu z nieuszkodzoną skórą zdrowych ochotników (bez zastosowania opatrunku </w:t>
      </w:r>
      <w:proofErr w:type="spellStart"/>
      <w:r w:rsidRPr="005032CD">
        <w:rPr>
          <w:sz w:val="22"/>
          <w:szCs w:val="22"/>
        </w:rPr>
        <w:t>okluzyjnego</w:t>
      </w:r>
      <w:proofErr w:type="spellEnd"/>
      <w:r w:rsidRPr="005032CD">
        <w:rPr>
          <w:sz w:val="22"/>
          <w:szCs w:val="22"/>
        </w:rPr>
        <w:t xml:space="preserve">) wchłonęło się przez skórę około 0,7% </w:t>
      </w:r>
      <w:proofErr w:type="spellStart"/>
      <w:r w:rsidRPr="005032CD">
        <w:rPr>
          <w:sz w:val="22"/>
          <w:szCs w:val="22"/>
        </w:rPr>
        <w:t>mometazonu</w:t>
      </w:r>
      <w:proofErr w:type="spellEnd"/>
      <w:r w:rsidRPr="005032CD">
        <w:rPr>
          <w:sz w:val="22"/>
          <w:szCs w:val="22"/>
        </w:rPr>
        <w:t xml:space="preserve"> </w:t>
      </w:r>
      <w:proofErr w:type="spellStart"/>
      <w:r w:rsidRPr="005032CD">
        <w:rPr>
          <w:sz w:val="22"/>
          <w:szCs w:val="22"/>
        </w:rPr>
        <w:t>furoinianu</w:t>
      </w:r>
      <w:proofErr w:type="spellEnd"/>
      <w:r w:rsidRPr="005032CD">
        <w:rPr>
          <w:sz w:val="22"/>
          <w:szCs w:val="22"/>
        </w:rPr>
        <w:t xml:space="preserve"> </w:t>
      </w:r>
      <w:r w:rsidRPr="005032CD">
        <w:rPr>
          <w:sz w:val="22"/>
          <w:szCs w:val="22"/>
        </w:rPr>
        <w:lastRenderedPageBreak/>
        <w:t>z</w:t>
      </w:r>
      <w:r w:rsidR="00BF1856">
        <w:rPr>
          <w:sz w:val="22"/>
          <w:szCs w:val="22"/>
        </w:rPr>
        <w:t> </w:t>
      </w:r>
      <w:r w:rsidRPr="005032CD">
        <w:rPr>
          <w:sz w:val="22"/>
          <w:szCs w:val="22"/>
        </w:rPr>
        <w:t>maści i około 0,4% z kremu.</w:t>
      </w:r>
    </w:p>
    <w:p w:rsidR="001A5F77" w:rsidRPr="005032CD" w:rsidRDefault="001A5F77" w:rsidP="0041762C">
      <w:pPr>
        <w:kinsoku w:val="0"/>
        <w:overflowPunct w:val="0"/>
        <w:spacing w:line="240" w:lineRule="exact"/>
        <w:ind w:left="142"/>
        <w:rPr>
          <w:sz w:val="22"/>
          <w:szCs w:val="22"/>
        </w:rPr>
      </w:pPr>
    </w:p>
    <w:p w:rsidR="00C90CC3" w:rsidRDefault="005032CD" w:rsidP="0041762C">
      <w:pPr>
        <w:kinsoku w:val="0"/>
        <w:overflowPunct w:val="0"/>
        <w:spacing w:line="240" w:lineRule="exact"/>
        <w:ind w:left="142"/>
        <w:rPr>
          <w:sz w:val="22"/>
          <w:szCs w:val="22"/>
        </w:rPr>
      </w:pPr>
      <w:r w:rsidRPr="005032CD">
        <w:rPr>
          <w:sz w:val="22"/>
          <w:szCs w:val="22"/>
        </w:rPr>
        <w:t xml:space="preserve">Nie badano u ludzi przezskórnego wchłaniania </w:t>
      </w:r>
      <w:proofErr w:type="spellStart"/>
      <w:r w:rsidRPr="005032CD">
        <w:rPr>
          <w:sz w:val="22"/>
          <w:szCs w:val="22"/>
        </w:rPr>
        <w:t>mometazonu</w:t>
      </w:r>
      <w:proofErr w:type="spellEnd"/>
      <w:r w:rsidRPr="005032CD">
        <w:rPr>
          <w:sz w:val="22"/>
          <w:szCs w:val="22"/>
        </w:rPr>
        <w:t xml:space="preserve"> znakowanego </w:t>
      </w:r>
      <w:r w:rsidRPr="00EA3932">
        <w:rPr>
          <w:sz w:val="22"/>
          <w:szCs w:val="22"/>
          <w:vertAlign w:val="superscript"/>
        </w:rPr>
        <w:t>3</w:t>
      </w:r>
      <w:r w:rsidRPr="005032CD">
        <w:rPr>
          <w:sz w:val="22"/>
          <w:szCs w:val="22"/>
        </w:rPr>
        <w:t xml:space="preserve">H z płynu. Badania mające na celu określenie ogólnoustrojowej biodostępności u ludzi (pomiar hamowania czynności osi </w:t>
      </w:r>
      <w:proofErr w:type="spellStart"/>
      <w:r w:rsidRPr="005032CD">
        <w:rPr>
          <w:sz w:val="22"/>
          <w:szCs w:val="22"/>
        </w:rPr>
        <w:t>podwzgórze-przysadka-kora</w:t>
      </w:r>
      <w:proofErr w:type="spellEnd"/>
      <w:r w:rsidRPr="005032CD">
        <w:rPr>
          <w:sz w:val="22"/>
          <w:szCs w:val="22"/>
        </w:rPr>
        <w:t xml:space="preserve"> nadnerczy) świadczą o słabym wchłanianiu </w:t>
      </w:r>
      <w:proofErr w:type="spellStart"/>
      <w:r w:rsidRPr="005032CD">
        <w:rPr>
          <w:sz w:val="22"/>
          <w:szCs w:val="22"/>
        </w:rPr>
        <w:t>mometazonu</w:t>
      </w:r>
      <w:proofErr w:type="spellEnd"/>
      <w:r w:rsidRPr="005032CD">
        <w:rPr>
          <w:sz w:val="22"/>
          <w:szCs w:val="22"/>
        </w:rPr>
        <w:t xml:space="preserve"> </w:t>
      </w:r>
      <w:proofErr w:type="spellStart"/>
      <w:r w:rsidRPr="005032CD">
        <w:rPr>
          <w:sz w:val="22"/>
          <w:szCs w:val="22"/>
        </w:rPr>
        <w:t>furoinianu</w:t>
      </w:r>
      <w:proofErr w:type="spellEnd"/>
      <w:r w:rsidRPr="005032CD">
        <w:rPr>
          <w:sz w:val="22"/>
          <w:szCs w:val="22"/>
        </w:rPr>
        <w:t xml:space="preserve"> przez skórę.</w:t>
      </w:r>
    </w:p>
    <w:p w:rsidR="005032CD" w:rsidRPr="00560841" w:rsidRDefault="005032CD" w:rsidP="0041762C">
      <w:pPr>
        <w:kinsoku w:val="0"/>
        <w:overflowPunct w:val="0"/>
        <w:spacing w:line="240" w:lineRule="exact"/>
        <w:rPr>
          <w:sz w:val="22"/>
          <w:szCs w:val="22"/>
        </w:rPr>
      </w:pPr>
    </w:p>
    <w:p w:rsidR="00C90CC3" w:rsidRPr="00560841" w:rsidRDefault="00C90CC3" w:rsidP="0041762C">
      <w:pPr>
        <w:pStyle w:val="Nagwek1"/>
        <w:numPr>
          <w:ilvl w:val="1"/>
          <w:numId w:val="2"/>
        </w:numPr>
        <w:tabs>
          <w:tab w:val="left" w:pos="445"/>
        </w:tabs>
        <w:kinsoku w:val="0"/>
        <w:overflowPunct w:val="0"/>
        <w:ind w:hanging="330"/>
      </w:pPr>
      <w:r w:rsidRPr="00560841">
        <w:t>Przedkliniczne dane o bezpieczeństwie</w:t>
      </w:r>
    </w:p>
    <w:p w:rsidR="00C90CC3" w:rsidRPr="00560841" w:rsidRDefault="00C90CC3" w:rsidP="0041762C">
      <w:pPr>
        <w:kinsoku w:val="0"/>
        <w:overflowPunct w:val="0"/>
        <w:spacing w:line="240" w:lineRule="exact"/>
        <w:rPr>
          <w:sz w:val="22"/>
          <w:szCs w:val="22"/>
        </w:rPr>
      </w:pPr>
    </w:p>
    <w:p w:rsidR="00C90CC3" w:rsidRPr="00560841" w:rsidRDefault="00C90CC3" w:rsidP="0041762C">
      <w:pPr>
        <w:pStyle w:val="Tekstpodstawowy"/>
        <w:kinsoku w:val="0"/>
        <w:overflowPunct w:val="0"/>
        <w:spacing w:line="250" w:lineRule="exact"/>
        <w:ind w:right="821"/>
      </w:pPr>
      <w:r w:rsidRPr="00560841">
        <w:t xml:space="preserve">Brak </w:t>
      </w:r>
      <w:r w:rsidR="00BF1856">
        <w:t>istotnych klinicznie</w:t>
      </w:r>
      <w:r w:rsidR="00BF1856" w:rsidRPr="00560841">
        <w:t xml:space="preserve"> </w:t>
      </w:r>
      <w:r w:rsidRPr="00560841">
        <w:t xml:space="preserve">danych </w:t>
      </w:r>
      <w:r w:rsidR="00BF1856">
        <w:t>niewymienionych w</w:t>
      </w:r>
      <w:r w:rsidR="00C92919">
        <w:t xml:space="preserve"> Charakterysty</w:t>
      </w:r>
      <w:r w:rsidR="00847B2E">
        <w:t>ce</w:t>
      </w:r>
      <w:r w:rsidR="00C92919">
        <w:t xml:space="preserve"> </w:t>
      </w:r>
      <w:r w:rsidR="009D5A98">
        <w:t>P</w:t>
      </w:r>
      <w:r w:rsidR="00C92919">
        <w:t xml:space="preserve">roduktu </w:t>
      </w:r>
      <w:r w:rsidR="009D5A98">
        <w:t>L</w:t>
      </w:r>
      <w:r w:rsidR="00C92919">
        <w:t>eczniczego</w:t>
      </w:r>
      <w:r w:rsidRPr="00560841">
        <w:t>.</w:t>
      </w:r>
    </w:p>
    <w:p w:rsidR="00C90CC3" w:rsidRPr="00560841" w:rsidRDefault="00C90CC3" w:rsidP="0041762C">
      <w:pPr>
        <w:kinsoku w:val="0"/>
        <w:overflowPunct w:val="0"/>
        <w:spacing w:line="100" w:lineRule="exact"/>
        <w:rPr>
          <w:sz w:val="22"/>
          <w:szCs w:val="22"/>
        </w:rPr>
      </w:pPr>
    </w:p>
    <w:p w:rsidR="00C90CC3" w:rsidRPr="00560841" w:rsidRDefault="00C90CC3" w:rsidP="0041762C">
      <w:pPr>
        <w:kinsoku w:val="0"/>
        <w:overflowPunct w:val="0"/>
        <w:spacing w:line="200" w:lineRule="exact"/>
        <w:rPr>
          <w:sz w:val="22"/>
          <w:szCs w:val="22"/>
        </w:rPr>
      </w:pPr>
    </w:p>
    <w:p w:rsidR="00C90CC3" w:rsidRPr="00560841" w:rsidRDefault="00C90CC3" w:rsidP="0041762C">
      <w:pPr>
        <w:kinsoku w:val="0"/>
        <w:overflowPunct w:val="0"/>
        <w:spacing w:line="200" w:lineRule="exact"/>
        <w:rPr>
          <w:sz w:val="22"/>
          <w:szCs w:val="22"/>
        </w:rPr>
      </w:pPr>
    </w:p>
    <w:p w:rsidR="00C90CC3" w:rsidRPr="004E2188" w:rsidRDefault="00C90CC3" w:rsidP="0041762C">
      <w:pPr>
        <w:pStyle w:val="Nagwek1"/>
        <w:numPr>
          <w:ilvl w:val="0"/>
          <w:numId w:val="2"/>
        </w:numPr>
        <w:tabs>
          <w:tab w:val="left" w:pos="335"/>
        </w:tabs>
        <w:kinsoku w:val="0"/>
        <w:overflowPunct w:val="0"/>
        <w:ind w:left="335"/>
      </w:pPr>
      <w:r w:rsidRPr="004E2188">
        <w:t>DANE FARMACEUTYCZNE</w:t>
      </w:r>
    </w:p>
    <w:p w:rsidR="00C90CC3" w:rsidRPr="00560841" w:rsidRDefault="00C90CC3" w:rsidP="0041762C">
      <w:pPr>
        <w:kinsoku w:val="0"/>
        <w:overflowPunct w:val="0"/>
        <w:spacing w:line="240" w:lineRule="exact"/>
        <w:rPr>
          <w:sz w:val="22"/>
          <w:szCs w:val="22"/>
        </w:rPr>
      </w:pPr>
    </w:p>
    <w:p w:rsidR="00C90CC3" w:rsidRPr="00560841" w:rsidRDefault="00C90CC3" w:rsidP="0041762C">
      <w:pPr>
        <w:numPr>
          <w:ilvl w:val="1"/>
          <w:numId w:val="2"/>
        </w:numPr>
        <w:tabs>
          <w:tab w:val="left" w:pos="445"/>
        </w:tabs>
        <w:kinsoku w:val="0"/>
        <w:overflowPunct w:val="0"/>
        <w:ind w:left="445" w:hanging="330"/>
        <w:rPr>
          <w:b/>
          <w:bCs/>
          <w:sz w:val="22"/>
          <w:szCs w:val="22"/>
        </w:rPr>
      </w:pPr>
      <w:r w:rsidRPr="00560841">
        <w:rPr>
          <w:b/>
          <w:bCs/>
          <w:sz w:val="22"/>
          <w:szCs w:val="22"/>
        </w:rPr>
        <w:t>Wykaz substancji pomocniczych</w:t>
      </w:r>
    </w:p>
    <w:p w:rsidR="00C90CC3" w:rsidRPr="00560841" w:rsidRDefault="00C90CC3" w:rsidP="0041762C">
      <w:pPr>
        <w:kinsoku w:val="0"/>
        <w:overflowPunct w:val="0"/>
        <w:spacing w:line="240" w:lineRule="exact"/>
        <w:rPr>
          <w:sz w:val="22"/>
          <w:szCs w:val="22"/>
        </w:rPr>
      </w:pPr>
    </w:p>
    <w:p w:rsidR="0041762C" w:rsidRDefault="00C90CC3" w:rsidP="0041762C">
      <w:pPr>
        <w:pStyle w:val="Tekstpodstawowy"/>
        <w:kinsoku w:val="0"/>
        <w:overflowPunct w:val="0"/>
        <w:spacing w:line="241" w:lineRule="auto"/>
        <w:ind w:right="6732"/>
      </w:pPr>
      <w:r w:rsidRPr="00560841">
        <w:t xml:space="preserve">Alkohol izopropylowy </w:t>
      </w:r>
    </w:p>
    <w:p w:rsidR="00C90CC3" w:rsidRPr="00560841" w:rsidRDefault="00C90CC3" w:rsidP="0041762C">
      <w:pPr>
        <w:pStyle w:val="Tekstpodstawowy"/>
        <w:kinsoku w:val="0"/>
        <w:overflowPunct w:val="0"/>
        <w:spacing w:line="241" w:lineRule="auto"/>
        <w:ind w:right="6732"/>
      </w:pPr>
      <w:r w:rsidRPr="00560841">
        <w:t xml:space="preserve">Glikol propylenowy </w:t>
      </w:r>
      <w:proofErr w:type="spellStart"/>
      <w:r w:rsidRPr="00560841">
        <w:t>Hydroksypropyloceluloza</w:t>
      </w:r>
      <w:proofErr w:type="spellEnd"/>
    </w:p>
    <w:p w:rsidR="00C90CC3" w:rsidRPr="00560841" w:rsidRDefault="00AC616E" w:rsidP="0041762C">
      <w:pPr>
        <w:pStyle w:val="Tekstpodstawowy"/>
        <w:kinsoku w:val="0"/>
        <w:overflowPunct w:val="0"/>
        <w:spacing w:line="248" w:lineRule="exact"/>
      </w:pPr>
      <w:r>
        <w:t xml:space="preserve">Sodu </w:t>
      </w:r>
      <w:proofErr w:type="spellStart"/>
      <w:r w:rsidR="00C90CC3" w:rsidRPr="00560841">
        <w:t>diwodorofosforan</w:t>
      </w:r>
      <w:proofErr w:type="spellEnd"/>
      <w:r w:rsidR="00C90CC3" w:rsidRPr="00560841">
        <w:t xml:space="preserve"> </w:t>
      </w:r>
      <w:r>
        <w:t>d</w:t>
      </w:r>
      <w:r w:rsidRPr="00560841">
        <w:t>wuwodny</w:t>
      </w:r>
    </w:p>
    <w:p w:rsidR="00AC616E" w:rsidRDefault="00C90CC3" w:rsidP="0041762C">
      <w:pPr>
        <w:pStyle w:val="Tekstpodstawowy"/>
        <w:kinsoku w:val="0"/>
        <w:overflowPunct w:val="0"/>
        <w:spacing w:line="241" w:lineRule="auto"/>
        <w:ind w:right="5921"/>
      </w:pPr>
      <w:r w:rsidRPr="00560841">
        <w:t xml:space="preserve">Kwas fosforowy </w:t>
      </w:r>
    </w:p>
    <w:p w:rsidR="00C90CC3" w:rsidRPr="00560841" w:rsidRDefault="00C90CC3" w:rsidP="0041762C">
      <w:pPr>
        <w:pStyle w:val="Tekstpodstawowy"/>
        <w:kinsoku w:val="0"/>
        <w:overflowPunct w:val="0"/>
        <w:spacing w:line="241" w:lineRule="auto"/>
        <w:ind w:right="5921"/>
      </w:pPr>
      <w:r w:rsidRPr="00560841">
        <w:t>Woda oczyszczona</w:t>
      </w:r>
    </w:p>
    <w:p w:rsidR="00C90CC3" w:rsidRPr="00560841" w:rsidRDefault="00C90CC3" w:rsidP="0041762C">
      <w:pPr>
        <w:kinsoku w:val="0"/>
        <w:overflowPunct w:val="0"/>
        <w:spacing w:line="240" w:lineRule="exact"/>
        <w:rPr>
          <w:sz w:val="22"/>
          <w:szCs w:val="22"/>
        </w:rPr>
      </w:pPr>
    </w:p>
    <w:p w:rsidR="00C90CC3" w:rsidRPr="00560841" w:rsidRDefault="00C90CC3" w:rsidP="0041762C">
      <w:pPr>
        <w:pStyle w:val="Nagwek1"/>
        <w:numPr>
          <w:ilvl w:val="1"/>
          <w:numId w:val="2"/>
        </w:numPr>
        <w:tabs>
          <w:tab w:val="left" w:pos="444"/>
        </w:tabs>
        <w:kinsoku w:val="0"/>
        <w:overflowPunct w:val="0"/>
        <w:ind w:left="444"/>
      </w:pPr>
      <w:r w:rsidRPr="00560841">
        <w:t>Niezgodności</w:t>
      </w:r>
      <w:r w:rsidR="0022139F">
        <w:t xml:space="preserve"> farmaceutyczne</w:t>
      </w:r>
    </w:p>
    <w:p w:rsidR="00C90CC3" w:rsidRPr="00560841" w:rsidRDefault="00C90CC3" w:rsidP="0041762C">
      <w:pPr>
        <w:kinsoku w:val="0"/>
        <w:overflowPunct w:val="0"/>
        <w:spacing w:before="11" w:line="240" w:lineRule="exact"/>
        <w:rPr>
          <w:sz w:val="22"/>
          <w:szCs w:val="22"/>
        </w:rPr>
      </w:pPr>
    </w:p>
    <w:p w:rsidR="00C90CC3" w:rsidRPr="00560841" w:rsidRDefault="00C90CC3" w:rsidP="0041762C">
      <w:pPr>
        <w:pStyle w:val="Tekstpodstawowy"/>
        <w:kinsoku w:val="0"/>
        <w:overflowPunct w:val="0"/>
      </w:pPr>
      <w:r w:rsidRPr="00560841">
        <w:t>Nie dotyczy.</w:t>
      </w:r>
    </w:p>
    <w:p w:rsidR="00C90CC3" w:rsidRPr="00560841" w:rsidRDefault="00C90CC3" w:rsidP="0041762C">
      <w:pPr>
        <w:kinsoku w:val="0"/>
        <w:overflowPunct w:val="0"/>
        <w:spacing w:line="240" w:lineRule="exact"/>
        <w:rPr>
          <w:sz w:val="22"/>
          <w:szCs w:val="22"/>
        </w:rPr>
      </w:pPr>
    </w:p>
    <w:p w:rsidR="00C90CC3" w:rsidRPr="00560841" w:rsidRDefault="00C90CC3" w:rsidP="0041762C">
      <w:pPr>
        <w:pStyle w:val="Nagwek1"/>
        <w:numPr>
          <w:ilvl w:val="1"/>
          <w:numId w:val="2"/>
        </w:numPr>
        <w:tabs>
          <w:tab w:val="left" w:pos="445"/>
        </w:tabs>
        <w:kinsoku w:val="0"/>
        <w:overflowPunct w:val="0"/>
        <w:ind w:hanging="330"/>
      </w:pPr>
      <w:r w:rsidRPr="00560841">
        <w:t>Okres ważności</w:t>
      </w:r>
    </w:p>
    <w:p w:rsidR="00C90CC3" w:rsidRPr="00560841" w:rsidRDefault="00C90CC3" w:rsidP="0041762C">
      <w:pPr>
        <w:kinsoku w:val="0"/>
        <w:overflowPunct w:val="0"/>
        <w:spacing w:line="240" w:lineRule="exact"/>
        <w:rPr>
          <w:sz w:val="22"/>
          <w:szCs w:val="22"/>
        </w:rPr>
      </w:pPr>
    </w:p>
    <w:p w:rsidR="00C90CC3" w:rsidRPr="00560841" w:rsidRDefault="00560841" w:rsidP="0041762C">
      <w:pPr>
        <w:pStyle w:val="Tekstpodstawowy"/>
        <w:tabs>
          <w:tab w:val="left" w:pos="282"/>
        </w:tabs>
        <w:kinsoku w:val="0"/>
        <w:overflowPunct w:val="0"/>
        <w:ind w:left="115"/>
      </w:pPr>
      <w:r>
        <w:t xml:space="preserve">2 </w:t>
      </w:r>
      <w:r w:rsidR="00C90CC3" w:rsidRPr="00560841">
        <w:t>lata</w:t>
      </w:r>
    </w:p>
    <w:p w:rsidR="00C90CC3" w:rsidRPr="00560841" w:rsidRDefault="00C90CC3" w:rsidP="0041762C">
      <w:pPr>
        <w:kinsoku w:val="0"/>
        <w:overflowPunct w:val="0"/>
        <w:spacing w:line="260" w:lineRule="exact"/>
        <w:rPr>
          <w:sz w:val="22"/>
          <w:szCs w:val="22"/>
        </w:rPr>
      </w:pPr>
    </w:p>
    <w:p w:rsidR="00C90CC3" w:rsidRPr="00560841" w:rsidRDefault="00C90CC3" w:rsidP="0041762C">
      <w:pPr>
        <w:pStyle w:val="Nagwek1"/>
        <w:numPr>
          <w:ilvl w:val="1"/>
          <w:numId w:val="2"/>
        </w:numPr>
        <w:tabs>
          <w:tab w:val="left" w:pos="445"/>
        </w:tabs>
        <w:kinsoku w:val="0"/>
        <w:overflowPunct w:val="0"/>
        <w:ind w:hanging="330"/>
      </w:pPr>
      <w:r w:rsidRPr="00560841">
        <w:t>Specjalne środki ostrożności podczas przechowywania</w:t>
      </w:r>
    </w:p>
    <w:p w:rsidR="00C90CC3" w:rsidRPr="00560841" w:rsidRDefault="00C90CC3" w:rsidP="0041762C">
      <w:pPr>
        <w:kinsoku w:val="0"/>
        <w:overflowPunct w:val="0"/>
        <w:spacing w:line="240" w:lineRule="exact"/>
        <w:rPr>
          <w:sz w:val="22"/>
          <w:szCs w:val="22"/>
        </w:rPr>
      </w:pPr>
    </w:p>
    <w:p w:rsidR="00C90CC3" w:rsidRPr="00560841" w:rsidRDefault="00AC616E" w:rsidP="0041762C">
      <w:pPr>
        <w:pStyle w:val="Tekstpodstawowy"/>
        <w:kinsoku w:val="0"/>
        <w:overflowPunct w:val="0"/>
      </w:pPr>
      <w:r>
        <w:t>Nie przechowywać w temperaturze powyżej</w:t>
      </w:r>
      <w:r w:rsidR="00C90CC3" w:rsidRPr="00560841">
        <w:t xml:space="preserve"> </w:t>
      </w:r>
      <w:smartTag w:uri="urn:schemas-microsoft-com:office:smarttags" w:element="metricconverter">
        <w:smartTagPr>
          <w:attr w:name="ProductID" w:val="25°C"/>
        </w:smartTagPr>
        <w:r w:rsidR="00C90CC3" w:rsidRPr="00560841">
          <w:t>25°C</w:t>
        </w:r>
      </w:smartTag>
      <w:r w:rsidR="00C90CC3" w:rsidRPr="00560841">
        <w:t>. Nie zamrażać.</w:t>
      </w:r>
    </w:p>
    <w:p w:rsidR="00C90CC3" w:rsidRPr="00560841" w:rsidRDefault="00C90CC3" w:rsidP="0041762C">
      <w:pPr>
        <w:kinsoku w:val="0"/>
        <w:overflowPunct w:val="0"/>
        <w:spacing w:line="200" w:lineRule="exact"/>
        <w:rPr>
          <w:sz w:val="22"/>
          <w:szCs w:val="22"/>
        </w:rPr>
      </w:pPr>
    </w:p>
    <w:p w:rsidR="001A3780" w:rsidRDefault="001A3780" w:rsidP="0041762C">
      <w:pPr>
        <w:pStyle w:val="Tekstpodstawowy"/>
        <w:tabs>
          <w:tab w:val="left" w:pos="1134"/>
        </w:tabs>
        <w:kinsoku w:val="0"/>
        <w:overflowPunct w:val="0"/>
        <w:spacing w:line="484" w:lineRule="auto"/>
        <w:ind w:right="-112"/>
      </w:pPr>
      <w:r w:rsidRPr="00A525CB">
        <w:t>Uwaga: lek łatwopalny - trzymać z dala od ognia lub płomieni.</w:t>
      </w:r>
      <w:r>
        <w:t xml:space="preserve"> </w:t>
      </w:r>
    </w:p>
    <w:p w:rsidR="00C90CC3" w:rsidRPr="00560841" w:rsidRDefault="00C90CC3" w:rsidP="0041762C">
      <w:pPr>
        <w:pStyle w:val="Nagwek1"/>
        <w:numPr>
          <w:ilvl w:val="1"/>
          <w:numId w:val="2"/>
        </w:numPr>
        <w:tabs>
          <w:tab w:val="left" w:pos="445"/>
        </w:tabs>
        <w:kinsoku w:val="0"/>
        <w:overflowPunct w:val="0"/>
        <w:ind w:hanging="330"/>
      </w:pPr>
      <w:r w:rsidRPr="00560841">
        <w:t>Rodzaj i zawartość opakowania</w:t>
      </w:r>
    </w:p>
    <w:p w:rsidR="00C90CC3" w:rsidRPr="00560841" w:rsidRDefault="00C90CC3" w:rsidP="0041762C">
      <w:pPr>
        <w:kinsoku w:val="0"/>
        <w:overflowPunct w:val="0"/>
        <w:spacing w:line="240" w:lineRule="exact"/>
        <w:rPr>
          <w:sz w:val="22"/>
          <w:szCs w:val="22"/>
        </w:rPr>
      </w:pPr>
    </w:p>
    <w:p w:rsidR="00AC616E" w:rsidRPr="00560841" w:rsidRDefault="00AC616E" w:rsidP="0041762C">
      <w:pPr>
        <w:pStyle w:val="Tekstpodstawowy"/>
        <w:kinsoku w:val="0"/>
        <w:overflowPunct w:val="0"/>
        <w:spacing w:line="241" w:lineRule="auto"/>
        <w:ind w:right="228"/>
      </w:pPr>
      <w:r>
        <w:t xml:space="preserve">Biała butelka z LDPE z biała </w:t>
      </w:r>
      <w:r w:rsidR="004E2188">
        <w:t>zakrętką</w:t>
      </w:r>
      <w:r>
        <w:t xml:space="preserve"> z HDPE i białym kroplomierzem z LDPE.</w:t>
      </w:r>
    </w:p>
    <w:p w:rsidR="00C90CC3" w:rsidRPr="00560841" w:rsidRDefault="00C90CC3" w:rsidP="0041762C">
      <w:pPr>
        <w:kinsoku w:val="0"/>
        <w:overflowPunct w:val="0"/>
        <w:spacing w:line="240" w:lineRule="exact"/>
        <w:rPr>
          <w:sz w:val="22"/>
          <w:szCs w:val="22"/>
        </w:rPr>
      </w:pPr>
    </w:p>
    <w:p w:rsidR="00C90CC3" w:rsidRPr="00560841" w:rsidRDefault="00C90CC3" w:rsidP="0041762C">
      <w:pPr>
        <w:pStyle w:val="Tekstpodstawowy"/>
        <w:kinsoku w:val="0"/>
        <w:overflowPunct w:val="0"/>
      </w:pPr>
      <w:r w:rsidRPr="00560841">
        <w:t>Wielkoś</w:t>
      </w:r>
      <w:r w:rsidR="00111625">
        <w:t>ci</w:t>
      </w:r>
      <w:r w:rsidRPr="00560841">
        <w:t xml:space="preserve"> opakowa</w:t>
      </w:r>
      <w:r w:rsidR="00111625">
        <w:t>ń</w:t>
      </w:r>
      <w:r w:rsidRPr="00560841">
        <w:t>:</w:t>
      </w:r>
    </w:p>
    <w:p w:rsidR="00C90CC3" w:rsidRPr="00560841" w:rsidRDefault="00C90CC3" w:rsidP="0041762C">
      <w:pPr>
        <w:pStyle w:val="Tekstpodstawowy"/>
        <w:kinsoku w:val="0"/>
        <w:overflowPunct w:val="0"/>
      </w:pPr>
      <w:r w:rsidRPr="00560841">
        <w:t>20 ml, 30 ml, 50 ml, 60 ml</w:t>
      </w:r>
      <w:r w:rsidR="001004A5">
        <w:t>.</w:t>
      </w:r>
    </w:p>
    <w:p w:rsidR="00C90CC3" w:rsidRPr="00560841" w:rsidRDefault="00C90CC3" w:rsidP="0041762C">
      <w:pPr>
        <w:pStyle w:val="Tekstpodstawowy"/>
        <w:kinsoku w:val="0"/>
        <w:overflowPunct w:val="0"/>
      </w:pPr>
      <w:r w:rsidRPr="00560841">
        <w:t>Nie wszystkie wielkości opakowań</w:t>
      </w:r>
      <w:r w:rsidR="00522BCB">
        <w:t xml:space="preserve"> </w:t>
      </w:r>
      <w:r w:rsidRPr="00560841">
        <w:t>muszą znajdować się w obrocie.</w:t>
      </w:r>
    </w:p>
    <w:p w:rsidR="00C90CC3" w:rsidRPr="00560841" w:rsidRDefault="00C90CC3" w:rsidP="0041762C">
      <w:pPr>
        <w:kinsoku w:val="0"/>
        <w:overflowPunct w:val="0"/>
        <w:spacing w:line="240" w:lineRule="exact"/>
        <w:rPr>
          <w:sz w:val="22"/>
          <w:szCs w:val="22"/>
        </w:rPr>
      </w:pPr>
    </w:p>
    <w:p w:rsidR="00C90CC3" w:rsidRPr="00560841" w:rsidRDefault="00C90CC3" w:rsidP="0041762C">
      <w:pPr>
        <w:pStyle w:val="Nagwek1"/>
        <w:numPr>
          <w:ilvl w:val="1"/>
          <w:numId w:val="2"/>
        </w:numPr>
        <w:tabs>
          <w:tab w:val="left" w:pos="445"/>
        </w:tabs>
        <w:kinsoku w:val="0"/>
        <w:overflowPunct w:val="0"/>
        <w:ind w:hanging="330"/>
      </w:pPr>
      <w:r w:rsidRPr="00560841">
        <w:t>S</w:t>
      </w:r>
      <w:r w:rsidR="00152AAC">
        <w:t>pecjalne</w:t>
      </w:r>
      <w:r w:rsidRPr="00560841">
        <w:t xml:space="preserve"> środki ostrożności dotyczące usuwania i przygotowania produktu leczniczego do stosowania</w:t>
      </w:r>
    </w:p>
    <w:p w:rsidR="00C90CC3" w:rsidRPr="00560841" w:rsidRDefault="00C90CC3" w:rsidP="0041762C">
      <w:pPr>
        <w:kinsoku w:val="0"/>
        <w:overflowPunct w:val="0"/>
        <w:spacing w:line="240" w:lineRule="exact"/>
        <w:rPr>
          <w:sz w:val="22"/>
          <w:szCs w:val="22"/>
        </w:rPr>
      </w:pPr>
    </w:p>
    <w:p w:rsidR="00C90CC3" w:rsidRPr="00560841" w:rsidRDefault="00522BCB" w:rsidP="0041762C">
      <w:pPr>
        <w:pStyle w:val="Tekstpodstawowy"/>
        <w:kinsoku w:val="0"/>
        <w:overflowPunct w:val="0"/>
      </w:pPr>
      <w:r w:rsidRPr="00522BCB">
        <w:t xml:space="preserve">Bez specjalnych </w:t>
      </w:r>
      <w:r w:rsidR="00C90CC3" w:rsidRPr="00560841">
        <w:t>wymagań.</w:t>
      </w:r>
    </w:p>
    <w:p w:rsidR="00C90CC3" w:rsidRPr="00560841" w:rsidRDefault="00C90CC3" w:rsidP="0041762C">
      <w:pPr>
        <w:pStyle w:val="Tekstpodstawowy"/>
        <w:kinsoku w:val="0"/>
        <w:overflowPunct w:val="0"/>
        <w:spacing w:line="250" w:lineRule="exact"/>
      </w:pPr>
      <w:r w:rsidRPr="00560841">
        <w:t>Wszelkie niewykorzystane resztki produktu leczniczego lub jego odpady należy usunąć zgodnie z</w:t>
      </w:r>
      <w:r w:rsidR="00BF1856">
        <w:t> </w:t>
      </w:r>
      <w:r w:rsidRPr="00560841">
        <w:t>lokalnymi przepisami.</w:t>
      </w:r>
    </w:p>
    <w:p w:rsidR="00C90CC3" w:rsidRPr="00560841" w:rsidRDefault="00C90CC3" w:rsidP="0041762C">
      <w:pPr>
        <w:kinsoku w:val="0"/>
        <w:overflowPunct w:val="0"/>
        <w:spacing w:line="110" w:lineRule="exact"/>
        <w:rPr>
          <w:sz w:val="22"/>
          <w:szCs w:val="22"/>
        </w:rPr>
      </w:pPr>
    </w:p>
    <w:p w:rsidR="00C90CC3" w:rsidRPr="00560841" w:rsidRDefault="00C90CC3" w:rsidP="0041762C">
      <w:pPr>
        <w:kinsoku w:val="0"/>
        <w:overflowPunct w:val="0"/>
        <w:spacing w:line="200" w:lineRule="exact"/>
        <w:rPr>
          <w:sz w:val="22"/>
          <w:szCs w:val="22"/>
        </w:rPr>
      </w:pPr>
    </w:p>
    <w:p w:rsidR="00C90CC3" w:rsidRPr="00560841" w:rsidRDefault="00C90CC3" w:rsidP="0041762C">
      <w:pPr>
        <w:kinsoku w:val="0"/>
        <w:overflowPunct w:val="0"/>
        <w:spacing w:line="200" w:lineRule="exact"/>
        <w:rPr>
          <w:sz w:val="22"/>
          <w:szCs w:val="22"/>
        </w:rPr>
      </w:pPr>
    </w:p>
    <w:p w:rsidR="00C90CC3" w:rsidRPr="00560841" w:rsidRDefault="00C90CC3" w:rsidP="0041762C">
      <w:pPr>
        <w:pStyle w:val="Nagwek1"/>
        <w:numPr>
          <w:ilvl w:val="0"/>
          <w:numId w:val="2"/>
        </w:numPr>
        <w:tabs>
          <w:tab w:val="left" w:pos="335"/>
        </w:tabs>
        <w:kinsoku w:val="0"/>
        <w:overflowPunct w:val="0"/>
        <w:ind w:left="335"/>
      </w:pPr>
      <w:r w:rsidRPr="00560841">
        <w:t>PODMIOT ODPOWIEDZIALNY POSIADAJĄCY POZWOLENIE NA DOPUSZCZENIE DO OBROTU</w:t>
      </w:r>
    </w:p>
    <w:p w:rsidR="00C90CC3" w:rsidRPr="00560841" w:rsidRDefault="00C90CC3" w:rsidP="0041762C">
      <w:pPr>
        <w:kinsoku w:val="0"/>
        <w:overflowPunct w:val="0"/>
        <w:spacing w:line="240" w:lineRule="exact"/>
        <w:rPr>
          <w:sz w:val="22"/>
          <w:szCs w:val="22"/>
        </w:rPr>
      </w:pPr>
    </w:p>
    <w:p w:rsidR="00D50E0A" w:rsidRPr="000B12D6" w:rsidRDefault="00D50E0A" w:rsidP="00D50E0A">
      <w:pPr>
        <w:rPr>
          <w:sz w:val="22"/>
          <w:szCs w:val="22"/>
          <w:lang w:val="en-US"/>
        </w:rPr>
      </w:pPr>
      <w:r w:rsidRPr="000B12D6">
        <w:rPr>
          <w:sz w:val="22"/>
          <w:szCs w:val="22"/>
          <w:lang w:val="en-US"/>
        </w:rPr>
        <w:lastRenderedPageBreak/>
        <w:t>Bausch Health Ireland Limited</w:t>
      </w:r>
    </w:p>
    <w:p w:rsidR="00D50E0A" w:rsidRPr="00196E03" w:rsidRDefault="00D50E0A" w:rsidP="00D50E0A">
      <w:pPr>
        <w:rPr>
          <w:sz w:val="22"/>
          <w:szCs w:val="22"/>
          <w:lang w:val="en-US" w:eastAsia="de-DE"/>
        </w:rPr>
      </w:pPr>
      <w:r w:rsidRPr="00196E03">
        <w:rPr>
          <w:sz w:val="22"/>
          <w:szCs w:val="22"/>
          <w:lang w:val="en-US"/>
        </w:rPr>
        <w:t>3013 Lake Drive</w:t>
      </w:r>
    </w:p>
    <w:p w:rsidR="00D50E0A" w:rsidRPr="00196E03" w:rsidRDefault="00D50E0A" w:rsidP="00D50E0A">
      <w:pPr>
        <w:rPr>
          <w:sz w:val="22"/>
          <w:szCs w:val="22"/>
          <w:lang w:val="en-US"/>
        </w:rPr>
      </w:pPr>
      <w:r w:rsidRPr="00196E03">
        <w:rPr>
          <w:sz w:val="22"/>
          <w:szCs w:val="22"/>
          <w:lang w:val="en-US"/>
        </w:rPr>
        <w:t>Citywest Business Campus</w:t>
      </w:r>
    </w:p>
    <w:p w:rsidR="00D50E0A" w:rsidRPr="00196E03" w:rsidRDefault="00D50E0A" w:rsidP="00D50E0A">
      <w:pPr>
        <w:rPr>
          <w:sz w:val="22"/>
          <w:szCs w:val="22"/>
          <w:lang w:val="de-DE"/>
        </w:rPr>
      </w:pPr>
      <w:r w:rsidRPr="00196E03">
        <w:rPr>
          <w:sz w:val="22"/>
          <w:szCs w:val="22"/>
          <w:lang w:val="en-US"/>
        </w:rPr>
        <w:t>Dublin 24, D24PPT3</w:t>
      </w:r>
    </w:p>
    <w:p w:rsidR="00D50E0A" w:rsidRPr="000B12D6" w:rsidRDefault="00D50E0A" w:rsidP="00D50E0A">
      <w:pPr>
        <w:rPr>
          <w:rFonts w:ascii="Arial" w:hAnsi="Arial"/>
          <w:sz w:val="22"/>
          <w:szCs w:val="22"/>
          <w:lang w:val="en-US"/>
        </w:rPr>
      </w:pPr>
      <w:r w:rsidRPr="000B12D6">
        <w:rPr>
          <w:sz w:val="22"/>
          <w:szCs w:val="22"/>
          <w:lang w:val="en-US"/>
        </w:rPr>
        <w:t>Irlandia</w:t>
      </w:r>
    </w:p>
    <w:p w:rsidR="00C90CC3" w:rsidRPr="000B12D6" w:rsidRDefault="00C90CC3" w:rsidP="0041762C">
      <w:pPr>
        <w:kinsoku w:val="0"/>
        <w:overflowPunct w:val="0"/>
        <w:spacing w:line="110" w:lineRule="exact"/>
        <w:rPr>
          <w:sz w:val="22"/>
          <w:szCs w:val="22"/>
          <w:lang w:val="en-US"/>
        </w:rPr>
      </w:pPr>
    </w:p>
    <w:p w:rsidR="00C90CC3" w:rsidRPr="000B12D6" w:rsidRDefault="00C90CC3" w:rsidP="0041762C">
      <w:pPr>
        <w:kinsoku w:val="0"/>
        <w:overflowPunct w:val="0"/>
        <w:spacing w:line="200" w:lineRule="exact"/>
        <w:rPr>
          <w:sz w:val="22"/>
          <w:szCs w:val="22"/>
          <w:lang w:val="en-US"/>
        </w:rPr>
      </w:pPr>
    </w:p>
    <w:p w:rsidR="00C90CC3" w:rsidRPr="000B12D6" w:rsidRDefault="00C90CC3" w:rsidP="0041762C">
      <w:pPr>
        <w:kinsoku w:val="0"/>
        <w:overflowPunct w:val="0"/>
        <w:spacing w:line="200" w:lineRule="exact"/>
        <w:rPr>
          <w:sz w:val="22"/>
          <w:szCs w:val="22"/>
          <w:lang w:val="en-US"/>
        </w:rPr>
      </w:pPr>
    </w:p>
    <w:p w:rsidR="00C90CC3" w:rsidRPr="00560841" w:rsidRDefault="00C90CC3" w:rsidP="0041762C">
      <w:pPr>
        <w:pStyle w:val="Nagwek1"/>
        <w:numPr>
          <w:ilvl w:val="0"/>
          <w:numId w:val="2"/>
        </w:numPr>
        <w:tabs>
          <w:tab w:val="left" w:pos="335"/>
        </w:tabs>
        <w:kinsoku w:val="0"/>
        <w:overflowPunct w:val="0"/>
        <w:ind w:left="335"/>
      </w:pPr>
      <w:r w:rsidRPr="00560841">
        <w:t>NUMER POZWOLENIA NA DOPUSZCZENIE DO OBROTU</w:t>
      </w:r>
    </w:p>
    <w:p w:rsidR="00C90CC3" w:rsidRPr="00560841" w:rsidRDefault="00C90CC3" w:rsidP="0041762C">
      <w:pPr>
        <w:kinsoku w:val="0"/>
        <w:overflowPunct w:val="0"/>
        <w:spacing w:line="100" w:lineRule="exact"/>
        <w:rPr>
          <w:sz w:val="22"/>
          <w:szCs w:val="22"/>
        </w:rPr>
      </w:pPr>
    </w:p>
    <w:p w:rsidR="00BF1856" w:rsidRDefault="00BF1856" w:rsidP="0041762C">
      <w:pPr>
        <w:kinsoku w:val="0"/>
        <w:overflowPunct w:val="0"/>
        <w:spacing w:line="200" w:lineRule="exact"/>
        <w:ind w:left="335"/>
        <w:rPr>
          <w:sz w:val="22"/>
          <w:szCs w:val="22"/>
        </w:rPr>
      </w:pPr>
    </w:p>
    <w:p w:rsidR="00C90CC3" w:rsidRDefault="00CD62A8" w:rsidP="0041762C">
      <w:pPr>
        <w:kinsoku w:val="0"/>
        <w:overflowPunct w:val="0"/>
        <w:spacing w:line="200" w:lineRule="exact"/>
        <w:ind w:left="335"/>
        <w:rPr>
          <w:sz w:val="22"/>
          <w:szCs w:val="22"/>
        </w:rPr>
      </w:pPr>
      <w:r>
        <w:rPr>
          <w:sz w:val="22"/>
          <w:szCs w:val="22"/>
        </w:rPr>
        <w:t>21036</w:t>
      </w:r>
    </w:p>
    <w:p w:rsidR="00BF1856" w:rsidRPr="00560841" w:rsidRDefault="00BF1856" w:rsidP="0041762C">
      <w:pPr>
        <w:kinsoku w:val="0"/>
        <w:overflowPunct w:val="0"/>
        <w:spacing w:line="200" w:lineRule="exact"/>
        <w:ind w:left="335"/>
        <w:rPr>
          <w:sz w:val="22"/>
          <w:szCs w:val="22"/>
        </w:rPr>
      </w:pPr>
    </w:p>
    <w:p w:rsidR="00C90CC3" w:rsidRPr="00560841" w:rsidRDefault="00C90CC3" w:rsidP="0041762C">
      <w:pPr>
        <w:kinsoku w:val="0"/>
        <w:overflowPunct w:val="0"/>
        <w:spacing w:line="200" w:lineRule="exact"/>
        <w:rPr>
          <w:sz w:val="22"/>
          <w:szCs w:val="22"/>
        </w:rPr>
      </w:pPr>
    </w:p>
    <w:p w:rsidR="00C90CC3" w:rsidRDefault="00C90CC3" w:rsidP="0041762C">
      <w:pPr>
        <w:numPr>
          <w:ilvl w:val="0"/>
          <w:numId w:val="2"/>
        </w:numPr>
        <w:tabs>
          <w:tab w:val="left" w:pos="335"/>
        </w:tabs>
        <w:kinsoku w:val="0"/>
        <w:overflowPunct w:val="0"/>
        <w:ind w:left="335"/>
        <w:rPr>
          <w:b/>
          <w:bCs/>
          <w:sz w:val="22"/>
          <w:szCs w:val="22"/>
        </w:rPr>
      </w:pPr>
      <w:r w:rsidRPr="00560841">
        <w:rPr>
          <w:b/>
          <w:bCs/>
          <w:sz w:val="22"/>
          <w:szCs w:val="22"/>
        </w:rPr>
        <w:t>DATA WYDANIA PIERWSZEGO POZWOLENIA NA DOPUSZCZENIE DO OBROTU</w:t>
      </w:r>
      <w:r w:rsidR="00F67FA5">
        <w:rPr>
          <w:b/>
          <w:bCs/>
          <w:sz w:val="22"/>
          <w:szCs w:val="22"/>
        </w:rPr>
        <w:t xml:space="preserve"> I</w:t>
      </w:r>
      <w:r w:rsidR="00D46F9D">
        <w:rPr>
          <w:b/>
          <w:bCs/>
          <w:sz w:val="22"/>
          <w:szCs w:val="22"/>
        </w:rPr>
        <w:t> </w:t>
      </w:r>
      <w:r w:rsidRPr="00560841">
        <w:rPr>
          <w:b/>
          <w:bCs/>
          <w:sz w:val="22"/>
          <w:szCs w:val="22"/>
        </w:rPr>
        <w:t>DATA PRZEDŁUŻENIA POZWOLENIA</w:t>
      </w:r>
    </w:p>
    <w:p w:rsidR="00CD62A8" w:rsidRDefault="00CD62A8" w:rsidP="0041762C">
      <w:pPr>
        <w:tabs>
          <w:tab w:val="left" w:pos="335"/>
        </w:tabs>
        <w:kinsoku w:val="0"/>
        <w:overflowPunct w:val="0"/>
        <w:ind w:left="335"/>
        <w:rPr>
          <w:b/>
          <w:bCs/>
          <w:sz w:val="22"/>
          <w:szCs w:val="22"/>
        </w:rPr>
      </w:pPr>
    </w:p>
    <w:p w:rsidR="00CD62A8" w:rsidRPr="00CD62A8" w:rsidRDefault="00CD62A8" w:rsidP="0041762C">
      <w:pPr>
        <w:tabs>
          <w:tab w:val="left" w:pos="335"/>
        </w:tabs>
        <w:kinsoku w:val="0"/>
        <w:overflowPunct w:val="0"/>
        <w:ind w:left="335"/>
        <w:rPr>
          <w:bCs/>
          <w:sz w:val="22"/>
          <w:szCs w:val="22"/>
        </w:rPr>
      </w:pPr>
      <w:r w:rsidRPr="00CD62A8">
        <w:rPr>
          <w:bCs/>
          <w:sz w:val="22"/>
          <w:szCs w:val="22"/>
        </w:rPr>
        <w:t>07</w:t>
      </w:r>
      <w:r w:rsidR="00F67FA5">
        <w:rPr>
          <w:bCs/>
          <w:sz w:val="22"/>
          <w:szCs w:val="22"/>
        </w:rPr>
        <w:t xml:space="preserve"> marca</w:t>
      </w:r>
      <w:r w:rsidR="00BF1856">
        <w:rPr>
          <w:bCs/>
          <w:sz w:val="22"/>
          <w:szCs w:val="22"/>
        </w:rPr>
        <w:t xml:space="preserve"> </w:t>
      </w:r>
      <w:r w:rsidRPr="00CD62A8">
        <w:rPr>
          <w:bCs/>
          <w:sz w:val="22"/>
          <w:szCs w:val="22"/>
        </w:rPr>
        <w:t>2013</w:t>
      </w:r>
      <w:r w:rsidR="00F67FA5">
        <w:rPr>
          <w:bCs/>
          <w:sz w:val="22"/>
          <w:szCs w:val="22"/>
        </w:rPr>
        <w:t xml:space="preserve"> r.</w:t>
      </w:r>
    </w:p>
    <w:p w:rsidR="00C90CC3" w:rsidRPr="00560841" w:rsidRDefault="00C90CC3" w:rsidP="0041762C">
      <w:pPr>
        <w:kinsoku w:val="0"/>
        <w:overflowPunct w:val="0"/>
        <w:spacing w:line="100" w:lineRule="exact"/>
        <w:rPr>
          <w:sz w:val="22"/>
          <w:szCs w:val="22"/>
        </w:rPr>
      </w:pPr>
    </w:p>
    <w:p w:rsidR="00C90CC3" w:rsidRPr="00560841" w:rsidRDefault="00C90CC3" w:rsidP="0041762C">
      <w:pPr>
        <w:kinsoku w:val="0"/>
        <w:overflowPunct w:val="0"/>
        <w:spacing w:line="200" w:lineRule="exact"/>
        <w:rPr>
          <w:sz w:val="22"/>
          <w:szCs w:val="22"/>
        </w:rPr>
      </w:pPr>
    </w:p>
    <w:p w:rsidR="00C90CC3" w:rsidRPr="00560841" w:rsidRDefault="00C90CC3" w:rsidP="0041762C">
      <w:pPr>
        <w:kinsoku w:val="0"/>
        <w:overflowPunct w:val="0"/>
        <w:spacing w:line="200" w:lineRule="exact"/>
        <w:rPr>
          <w:sz w:val="22"/>
          <w:szCs w:val="22"/>
        </w:rPr>
      </w:pPr>
    </w:p>
    <w:p w:rsidR="00C90CC3" w:rsidRDefault="00C90CC3" w:rsidP="0041762C">
      <w:pPr>
        <w:numPr>
          <w:ilvl w:val="0"/>
          <w:numId w:val="2"/>
        </w:numPr>
        <w:tabs>
          <w:tab w:val="left" w:pos="445"/>
        </w:tabs>
        <w:kinsoku w:val="0"/>
        <w:overflowPunct w:val="0"/>
        <w:ind w:left="445" w:hanging="330"/>
        <w:rPr>
          <w:b/>
          <w:bCs/>
          <w:sz w:val="22"/>
          <w:szCs w:val="22"/>
        </w:rPr>
      </w:pPr>
      <w:r w:rsidRPr="00560841">
        <w:rPr>
          <w:b/>
          <w:bCs/>
          <w:sz w:val="22"/>
          <w:szCs w:val="22"/>
        </w:rPr>
        <w:t>DATA ZATWIERDZENIA LUB CZĘŚCIOWEJ ZMIANY TEKSTU CHARAKTERYSTYKI PRODUKTU LECZNICZEGO</w:t>
      </w:r>
    </w:p>
    <w:p w:rsidR="00CD62A8" w:rsidRDefault="00CD62A8" w:rsidP="0041762C">
      <w:pPr>
        <w:tabs>
          <w:tab w:val="left" w:pos="445"/>
        </w:tabs>
        <w:kinsoku w:val="0"/>
        <w:overflowPunct w:val="0"/>
        <w:ind w:left="445"/>
        <w:rPr>
          <w:b/>
          <w:bCs/>
          <w:sz w:val="22"/>
          <w:szCs w:val="22"/>
        </w:rPr>
      </w:pPr>
    </w:p>
    <w:p w:rsidR="007D4D5A" w:rsidRPr="00CD62A8" w:rsidRDefault="00755E24" w:rsidP="0041762C">
      <w:pPr>
        <w:tabs>
          <w:tab w:val="left" w:pos="445"/>
        </w:tabs>
        <w:kinsoku w:val="0"/>
        <w:overflowPunct w:val="0"/>
        <w:ind w:left="445"/>
        <w:rPr>
          <w:bCs/>
          <w:sz w:val="22"/>
          <w:szCs w:val="22"/>
        </w:rPr>
      </w:pPr>
      <w:r>
        <w:rPr>
          <w:sz w:val="22"/>
          <w:szCs w:val="22"/>
        </w:rPr>
        <w:t>17.12.2020</w:t>
      </w:r>
      <w:bookmarkStart w:id="0" w:name="_GoBack"/>
      <w:bookmarkEnd w:id="0"/>
    </w:p>
    <w:sectPr w:rsidR="007D4D5A" w:rsidRPr="00CD62A8" w:rsidSect="006D2DEC">
      <w:headerReference w:type="even" r:id="rId9"/>
      <w:headerReference w:type="default" r:id="rId10"/>
      <w:footerReference w:type="even" r:id="rId11"/>
      <w:footerReference w:type="default" r:id="rId12"/>
      <w:headerReference w:type="first" r:id="rId13"/>
      <w:footerReference w:type="first" r:id="rId14"/>
      <w:pgSz w:w="11906" w:h="16840"/>
      <w:pgMar w:top="1134" w:right="1134" w:bottom="1134" w:left="1134" w:header="731"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9FF" w:rsidRDefault="00EF49FF">
      <w:pPr>
        <w:rPr>
          <w:lang w:val="en-US"/>
        </w:rPr>
      </w:pPr>
      <w:r>
        <w:rPr>
          <w:lang w:val="en-US"/>
        </w:rPr>
        <w:separator/>
      </w:r>
    </w:p>
    <w:p w:rsidR="00EF49FF" w:rsidRDefault="00EF49FF"/>
    <w:p w:rsidR="00EF49FF" w:rsidRDefault="00EF49FF"/>
  </w:endnote>
  <w:endnote w:type="continuationSeparator" w:id="0">
    <w:p w:rsidR="00EF49FF" w:rsidRDefault="00EF49FF">
      <w:pPr>
        <w:rPr>
          <w:lang w:val="en-US"/>
        </w:rPr>
      </w:pPr>
      <w:r>
        <w:rPr>
          <w:lang w:val="en-US"/>
        </w:rPr>
        <w:continuationSeparator/>
      </w:r>
    </w:p>
    <w:p w:rsidR="00EF49FF" w:rsidRDefault="00EF49FF"/>
    <w:p w:rsidR="00EF49FF" w:rsidRDefault="00EF4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buntu">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411" w:rsidRDefault="00432411">
    <w:pPr>
      <w:pStyle w:val="Stopka"/>
    </w:pPr>
  </w:p>
  <w:p w:rsidR="0072702F" w:rsidRDefault="0072702F"/>
  <w:p w:rsidR="0072702F" w:rsidRDefault="007270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411" w:rsidRPr="00610450" w:rsidRDefault="00432411">
    <w:pPr>
      <w:pStyle w:val="Stopka"/>
      <w:jc w:val="center"/>
      <w:rPr>
        <w:caps/>
        <w:sz w:val="22"/>
        <w:szCs w:val="22"/>
      </w:rPr>
    </w:pPr>
    <w:r w:rsidRPr="00610450">
      <w:rPr>
        <w:caps/>
        <w:sz w:val="22"/>
        <w:szCs w:val="22"/>
      </w:rPr>
      <w:fldChar w:fldCharType="begin"/>
    </w:r>
    <w:r w:rsidRPr="00AB78C8">
      <w:rPr>
        <w:caps/>
        <w:sz w:val="22"/>
        <w:szCs w:val="22"/>
      </w:rPr>
      <w:instrText>PAGE   \* MERGEFORMAT</w:instrText>
    </w:r>
    <w:r w:rsidRPr="00610450">
      <w:rPr>
        <w:caps/>
        <w:sz w:val="22"/>
        <w:szCs w:val="22"/>
      </w:rPr>
      <w:fldChar w:fldCharType="separate"/>
    </w:r>
    <w:r w:rsidR="00A525CB">
      <w:rPr>
        <w:caps/>
        <w:noProof/>
        <w:sz w:val="22"/>
        <w:szCs w:val="22"/>
      </w:rPr>
      <w:t>7</w:t>
    </w:r>
    <w:r w:rsidRPr="00610450">
      <w:rPr>
        <w:caps/>
        <w:sz w:val="22"/>
        <w:szCs w:val="22"/>
      </w:rPr>
      <w:fldChar w:fldCharType="end"/>
    </w:r>
  </w:p>
  <w:p w:rsidR="00432411" w:rsidRDefault="00432411">
    <w:pPr>
      <w:pStyle w:val="Stopka"/>
    </w:pPr>
  </w:p>
  <w:p w:rsidR="0072702F" w:rsidRDefault="0072702F"/>
  <w:p w:rsidR="0072702F" w:rsidRDefault="0072702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411" w:rsidRDefault="004324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9FF" w:rsidRDefault="00EF49FF">
      <w:pPr>
        <w:rPr>
          <w:lang w:val="en-US"/>
        </w:rPr>
      </w:pPr>
      <w:r>
        <w:rPr>
          <w:lang w:val="en-US"/>
        </w:rPr>
        <w:separator/>
      </w:r>
    </w:p>
    <w:p w:rsidR="00EF49FF" w:rsidRDefault="00EF49FF"/>
    <w:p w:rsidR="00EF49FF" w:rsidRDefault="00EF49FF"/>
  </w:footnote>
  <w:footnote w:type="continuationSeparator" w:id="0">
    <w:p w:rsidR="00EF49FF" w:rsidRDefault="00EF49FF">
      <w:pPr>
        <w:rPr>
          <w:lang w:val="en-US"/>
        </w:rPr>
      </w:pPr>
      <w:r>
        <w:rPr>
          <w:lang w:val="en-US"/>
        </w:rPr>
        <w:continuationSeparator/>
      </w:r>
    </w:p>
    <w:p w:rsidR="00EF49FF" w:rsidRDefault="00EF49FF"/>
    <w:p w:rsidR="00EF49FF" w:rsidRDefault="00EF49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411" w:rsidRDefault="00432411">
    <w:pPr>
      <w:pStyle w:val="Nagwek"/>
    </w:pPr>
  </w:p>
  <w:p w:rsidR="0072702F" w:rsidRDefault="0072702F"/>
  <w:p w:rsidR="0072702F" w:rsidRDefault="007270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430" w:rsidRDefault="00BF1430" w:rsidP="005B2047">
    <w:pPr>
      <w:pStyle w:val="Nagwek"/>
      <w:rPr>
        <w:szCs w:val="20"/>
        <w:lang w:val="en-US"/>
      </w:rPr>
    </w:pPr>
  </w:p>
  <w:p w:rsidR="00BF1430" w:rsidRDefault="00BF1430" w:rsidP="005B2047">
    <w:pPr>
      <w:pStyle w:val="Nagwek"/>
      <w:rPr>
        <w:szCs w:val="20"/>
        <w:lang w:val="en-US"/>
      </w:rPr>
    </w:pPr>
  </w:p>
  <w:p w:rsidR="0072702F" w:rsidRDefault="0072702F"/>
  <w:p w:rsidR="0072702F" w:rsidRDefault="0072702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411" w:rsidRDefault="0043241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5A443A5A"/>
    <w:lvl w:ilvl="0">
      <w:start w:val="1"/>
      <w:numFmt w:val="decimal"/>
      <w:lvlText w:val="%1."/>
      <w:lvlJc w:val="left"/>
      <w:pPr>
        <w:ind w:hanging="220"/>
      </w:pPr>
      <w:rPr>
        <w:rFonts w:ascii="Times New Roman" w:hAnsi="Times New Roman" w:cs="Times New Roman"/>
        <w:b/>
        <w:bCs/>
        <w:vanish w:val="0"/>
        <w:spacing w:val="-1"/>
        <w:sz w:val="22"/>
        <w:szCs w:val="22"/>
      </w:rPr>
    </w:lvl>
    <w:lvl w:ilvl="1">
      <w:start w:val="1"/>
      <w:numFmt w:val="decimal"/>
      <w:lvlText w:val="%1.%2"/>
      <w:lvlJc w:val="left"/>
      <w:pPr>
        <w:ind w:hanging="329"/>
      </w:pPr>
      <w:rPr>
        <w:rFonts w:ascii="Times New Roman" w:hAnsi="Times New Roman" w:cs="Times New Roman"/>
        <w:b/>
        <w:bCs/>
        <w:vanish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DD045D24"/>
    <w:lvl w:ilvl="0">
      <w:start w:val="1"/>
      <w:numFmt w:val="decimal"/>
      <w:lvlText w:val="%1"/>
      <w:lvlJc w:val="left"/>
      <w:pPr>
        <w:ind w:hanging="166"/>
      </w:pPr>
      <w:rPr>
        <w:rFonts w:ascii="Times New Roman" w:hAnsi="Times New Roman" w:cs="Times New Roman"/>
        <w:b w:val="0"/>
        <w:bCs w:val="0"/>
        <w:vanish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199E6F82"/>
    <w:multiLevelType w:val="hybridMultilevel"/>
    <w:tmpl w:val="7722B346"/>
    <w:lvl w:ilvl="0" w:tplc="932EE136">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2B5"/>
    <w:rsid w:val="00006DBD"/>
    <w:rsid w:val="00015A67"/>
    <w:rsid w:val="00017EF7"/>
    <w:rsid w:val="00021998"/>
    <w:rsid w:val="000408F4"/>
    <w:rsid w:val="00075A67"/>
    <w:rsid w:val="00076BE6"/>
    <w:rsid w:val="000B12D6"/>
    <w:rsid w:val="000B610F"/>
    <w:rsid w:val="000C26C3"/>
    <w:rsid w:val="000E20B8"/>
    <w:rsid w:val="000F0302"/>
    <w:rsid w:val="001004A5"/>
    <w:rsid w:val="001043B8"/>
    <w:rsid w:val="00111625"/>
    <w:rsid w:val="00127D59"/>
    <w:rsid w:val="00133CD2"/>
    <w:rsid w:val="00152AAC"/>
    <w:rsid w:val="00162A29"/>
    <w:rsid w:val="0016698F"/>
    <w:rsid w:val="00172A7F"/>
    <w:rsid w:val="00187C88"/>
    <w:rsid w:val="001A3780"/>
    <w:rsid w:val="001A40CC"/>
    <w:rsid w:val="001A5F77"/>
    <w:rsid w:val="001C0A38"/>
    <w:rsid w:val="001C2B03"/>
    <w:rsid w:val="001D0136"/>
    <w:rsid w:val="001E56C9"/>
    <w:rsid w:val="001F0380"/>
    <w:rsid w:val="001F33A9"/>
    <w:rsid w:val="001F5C05"/>
    <w:rsid w:val="0022139F"/>
    <w:rsid w:val="00225538"/>
    <w:rsid w:val="00226DF9"/>
    <w:rsid w:val="002312B5"/>
    <w:rsid w:val="00247912"/>
    <w:rsid w:val="0026493F"/>
    <w:rsid w:val="00267A63"/>
    <w:rsid w:val="00270410"/>
    <w:rsid w:val="00276149"/>
    <w:rsid w:val="0027712C"/>
    <w:rsid w:val="00280A98"/>
    <w:rsid w:val="002910F3"/>
    <w:rsid w:val="002913F4"/>
    <w:rsid w:val="002A0140"/>
    <w:rsid w:val="002A1B0A"/>
    <w:rsid w:val="002A5634"/>
    <w:rsid w:val="002C3CD0"/>
    <w:rsid w:val="002C4104"/>
    <w:rsid w:val="002C60EC"/>
    <w:rsid w:val="00300B7A"/>
    <w:rsid w:val="00302FC4"/>
    <w:rsid w:val="00322E66"/>
    <w:rsid w:val="00340E8E"/>
    <w:rsid w:val="00343B8F"/>
    <w:rsid w:val="00362904"/>
    <w:rsid w:val="00363307"/>
    <w:rsid w:val="0038519B"/>
    <w:rsid w:val="00397DE6"/>
    <w:rsid w:val="003A0ADF"/>
    <w:rsid w:val="003A1D9D"/>
    <w:rsid w:val="003B3C7C"/>
    <w:rsid w:val="003C2056"/>
    <w:rsid w:val="003D0FC6"/>
    <w:rsid w:val="003E0596"/>
    <w:rsid w:val="003E407E"/>
    <w:rsid w:val="00402854"/>
    <w:rsid w:val="00410CF5"/>
    <w:rsid w:val="00412027"/>
    <w:rsid w:val="0041762C"/>
    <w:rsid w:val="0042592A"/>
    <w:rsid w:val="00432411"/>
    <w:rsid w:val="00447FFA"/>
    <w:rsid w:val="00460AC6"/>
    <w:rsid w:val="00460E7B"/>
    <w:rsid w:val="00470585"/>
    <w:rsid w:val="00471424"/>
    <w:rsid w:val="004776B1"/>
    <w:rsid w:val="00477C58"/>
    <w:rsid w:val="00480D5C"/>
    <w:rsid w:val="0048215C"/>
    <w:rsid w:val="00482BD3"/>
    <w:rsid w:val="00482FA4"/>
    <w:rsid w:val="00487AD8"/>
    <w:rsid w:val="004A2004"/>
    <w:rsid w:val="004B5723"/>
    <w:rsid w:val="004C6FF2"/>
    <w:rsid w:val="004E0903"/>
    <w:rsid w:val="004E133A"/>
    <w:rsid w:val="004E2188"/>
    <w:rsid w:val="004F5374"/>
    <w:rsid w:val="005017D9"/>
    <w:rsid w:val="005024A1"/>
    <w:rsid w:val="0050302B"/>
    <w:rsid w:val="005032CD"/>
    <w:rsid w:val="00506107"/>
    <w:rsid w:val="0052181D"/>
    <w:rsid w:val="00522BCB"/>
    <w:rsid w:val="00560841"/>
    <w:rsid w:val="00570136"/>
    <w:rsid w:val="00585981"/>
    <w:rsid w:val="00587D60"/>
    <w:rsid w:val="00591772"/>
    <w:rsid w:val="005B0C4D"/>
    <w:rsid w:val="005B2047"/>
    <w:rsid w:val="005B49FF"/>
    <w:rsid w:val="005C6F30"/>
    <w:rsid w:val="005D2634"/>
    <w:rsid w:val="005D3784"/>
    <w:rsid w:val="006033C1"/>
    <w:rsid w:val="00610450"/>
    <w:rsid w:val="00617EC1"/>
    <w:rsid w:val="00626D0E"/>
    <w:rsid w:val="00692BE0"/>
    <w:rsid w:val="00693167"/>
    <w:rsid w:val="006A0FB3"/>
    <w:rsid w:val="006B0640"/>
    <w:rsid w:val="006C348D"/>
    <w:rsid w:val="006D2DEC"/>
    <w:rsid w:val="006E3E8E"/>
    <w:rsid w:val="006F2D09"/>
    <w:rsid w:val="006F47E9"/>
    <w:rsid w:val="00700F77"/>
    <w:rsid w:val="00710CCE"/>
    <w:rsid w:val="00714BD2"/>
    <w:rsid w:val="0072008C"/>
    <w:rsid w:val="0072702F"/>
    <w:rsid w:val="00727D7A"/>
    <w:rsid w:val="00733C00"/>
    <w:rsid w:val="00740444"/>
    <w:rsid w:val="00750407"/>
    <w:rsid w:val="00755E24"/>
    <w:rsid w:val="00770579"/>
    <w:rsid w:val="00786917"/>
    <w:rsid w:val="00790D40"/>
    <w:rsid w:val="00794F24"/>
    <w:rsid w:val="007D15D0"/>
    <w:rsid w:val="007D4D5A"/>
    <w:rsid w:val="007F4AE9"/>
    <w:rsid w:val="0080619C"/>
    <w:rsid w:val="00812B58"/>
    <w:rsid w:val="00822904"/>
    <w:rsid w:val="008250E8"/>
    <w:rsid w:val="00826132"/>
    <w:rsid w:val="008301B1"/>
    <w:rsid w:val="00844B00"/>
    <w:rsid w:val="00847B2E"/>
    <w:rsid w:val="00866AAC"/>
    <w:rsid w:val="00881E2B"/>
    <w:rsid w:val="00884435"/>
    <w:rsid w:val="00884E77"/>
    <w:rsid w:val="00893A76"/>
    <w:rsid w:val="008A25FF"/>
    <w:rsid w:val="008A464A"/>
    <w:rsid w:val="008A48B2"/>
    <w:rsid w:val="008A57CA"/>
    <w:rsid w:val="008A5E66"/>
    <w:rsid w:val="008D3C3F"/>
    <w:rsid w:val="008D789A"/>
    <w:rsid w:val="008F5D9D"/>
    <w:rsid w:val="008F6342"/>
    <w:rsid w:val="00906541"/>
    <w:rsid w:val="009220D2"/>
    <w:rsid w:val="009334CB"/>
    <w:rsid w:val="009428EC"/>
    <w:rsid w:val="00944750"/>
    <w:rsid w:val="0095105A"/>
    <w:rsid w:val="0095144F"/>
    <w:rsid w:val="0096570F"/>
    <w:rsid w:val="009767D1"/>
    <w:rsid w:val="00994EC2"/>
    <w:rsid w:val="009A1A1C"/>
    <w:rsid w:val="009C3A26"/>
    <w:rsid w:val="009D5A98"/>
    <w:rsid w:val="009E009E"/>
    <w:rsid w:val="009E124C"/>
    <w:rsid w:val="009F4B84"/>
    <w:rsid w:val="00A02B45"/>
    <w:rsid w:val="00A056DF"/>
    <w:rsid w:val="00A06085"/>
    <w:rsid w:val="00A16CA3"/>
    <w:rsid w:val="00A304D2"/>
    <w:rsid w:val="00A4290E"/>
    <w:rsid w:val="00A525CB"/>
    <w:rsid w:val="00A73E9C"/>
    <w:rsid w:val="00A87F7A"/>
    <w:rsid w:val="00AA6396"/>
    <w:rsid w:val="00AB78C8"/>
    <w:rsid w:val="00AC616E"/>
    <w:rsid w:val="00AC6879"/>
    <w:rsid w:val="00AD22ED"/>
    <w:rsid w:val="00AE51C2"/>
    <w:rsid w:val="00AE557E"/>
    <w:rsid w:val="00B1450B"/>
    <w:rsid w:val="00B23F2C"/>
    <w:rsid w:val="00B27920"/>
    <w:rsid w:val="00B27E1E"/>
    <w:rsid w:val="00B32D0E"/>
    <w:rsid w:val="00B45041"/>
    <w:rsid w:val="00B47B53"/>
    <w:rsid w:val="00B70E9F"/>
    <w:rsid w:val="00B767BB"/>
    <w:rsid w:val="00B942E8"/>
    <w:rsid w:val="00BB16C4"/>
    <w:rsid w:val="00BC66A1"/>
    <w:rsid w:val="00BD47CF"/>
    <w:rsid w:val="00BE238D"/>
    <w:rsid w:val="00BE64FC"/>
    <w:rsid w:val="00BE7122"/>
    <w:rsid w:val="00BE7C84"/>
    <w:rsid w:val="00BF1430"/>
    <w:rsid w:val="00BF1856"/>
    <w:rsid w:val="00C10485"/>
    <w:rsid w:val="00C16F1A"/>
    <w:rsid w:val="00C23480"/>
    <w:rsid w:val="00C35A97"/>
    <w:rsid w:val="00C47B79"/>
    <w:rsid w:val="00C701AC"/>
    <w:rsid w:val="00C819DB"/>
    <w:rsid w:val="00C90CC3"/>
    <w:rsid w:val="00C92919"/>
    <w:rsid w:val="00C96903"/>
    <w:rsid w:val="00CA216F"/>
    <w:rsid w:val="00CB15C4"/>
    <w:rsid w:val="00CB3A9B"/>
    <w:rsid w:val="00CB5843"/>
    <w:rsid w:val="00CB7F92"/>
    <w:rsid w:val="00CC4357"/>
    <w:rsid w:val="00CD62A8"/>
    <w:rsid w:val="00CE7806"/>
    <w:rsid w:val="00D0420F"/>
    <w:rsid w:val="00D072F3"/>
    <w:rsid w:val="00D23062"/>
    <w:rsid w:val="00D34F01"/>
    <w:rsid w:val="00D354D7"/>
    <w:rsid w:val="00D35B7C"/>
    <w:rsid w:val="00D4552A"/>
    <w:rsid w:val="00D45A1E"/>
    <w:rsid w:val="00D46F9D"/>
    <w:rsid w:val="00D50E0A"/>
    <w:rsid w:val="00D61BCA"/>
    <w:rsid w:val="00D62FF5"/>
    <w:rsid w:val="00D872B4"/>
    <w:rsid w:val="00D9245C"/>
    <w:rsid w:val="00D927EB"/>
    <w:rsid w:val="00DA0970"/>
    <w:rsid w:val="00DC2BBF"/>
    <w:rsid w:val="00DC306B"/>
    <w:rsid w:val="00DC3617"/>
    <w:rsid w:val="00DC4D0A"/>
    <w:rsid w:val="00DD0285"/>
    <w:rsid w:val="00DD3FF9"/>
    <w:rsid w:val="00DE6F22"/>
    <w:rsid w:val="00DF0E59"/>
    <w:rsid w:val="00E14EF4"/>
    <w:rsid w:val="00E266E9"/>
    <w:rsid w:val="00E34110"/>
    <w:rsid w:val="00E92DC8"/>
    <w:rsid w:val="00EA0BDA"/>
    <w:rsid w:val="00EA3932"/>
    <w:rsid w:val="00EA620D"/>
    <w:rsid w:val="00EB772F"/>
    <w:rsid w:val="00EC2276"/>
    <w:rsid w:val="00EC5F89"/>
    <w:rsid w:val="00ED0523"/>
    <w:rsid w:val="00EF49FF"/>
    <w:rsid w:val="00F22219"/>
    <w:rsid w:val="00F337CD"/>
    <w:rsid w:val="00F43E1A"/>
    <w:rsid w:val="00F47057"/>
    <w:rsid w:val="00F603A5"/>
    <w:rsid w:val="00F67FA5"/>
    <w:rsid w:val="00F73CC4"/>
    <w:rsid w:val="00F76DC0"/>
    <w:rsid w:val="00F91BE2"/>
    <w:rsid w:val="00F93CA9"/>
    <w:rsid w:val="00FA1A4B"/>
    <w:rsid w:val="00FA78A1"/>
    <w:rsid w:val="00FB1826"/>
    <w:rsid w:val="00FC33B8"/>
    <w:rsid w:val="00FC368C"/>
    <w:rsid w:val="00FC6180"/>
    <w:rsid w:val="00FE6CA0"/>
    <w:rsid w:val="00FF2D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D1B1610"/>
  <w14:defaultImageDpi w14:val="0"/>
  <w15:docId w15:val="{3EF7882E-3ED0-4FC9-BF8F-52A7F574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pPr>
      <w:widowControl w:val="0"/>
      <w:autoSpaceDE w:val="0"/>
      <w:autoSpaceDN w:val="0"/>
      <w:adjustRightInd w:val="0"/>
      <w:spacing w:after="0" w:line="240" w:lineRule="auto"/>
    </w:pPr>
    <w:rPr>
      <w:sz w:val="24"/>
      <w:szCs w:val="24"/>
    </w:rPr>
  </w:style>
  <w:style w:type="paragraph" w:styleId="Nagwek1">
    <w:name w:val="heading 1"/>
    <w:basedOn w:val="Normalny"/>
    <w:link w:val="Nagwek1Znak"/>
    <w:uiPriority w:val="99"/>
    <w:qFormat/>
    <w:pPr>
      <w:ind w:left="445" w:hanging="330"/>
      <w:outlineLvl w:val="0"/>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Pr>
      <w:rFonts w:ascii="Cambria" w:hAnsi="Cambria" w:cs="Times New Roman"/>
      <w:b/>
      <w:bCs/>
      <w:kern w:val="32"/>
      <w:sz w:val="32"/>
      <w:szCs w:val="32"/>
    </w:rPr>
  </w:style>
  <w:style w:type="paragraph" w:styleId="Tekstpodstawowy">
    <w:name w:val="Body Text"/>
    <w:basedOn w:val="Normalny"/>
    <w:link w:val="TekstpodstawowyZnak"/>
    <w:uiPriority w:val="99"/>
    <w:pPr>
      <w:ind w:left="116"/>
    </w:pPr>
    <w:rPr>
      <w:sz w:val="22"/>
      <w:szCs w:val="22"/>
    </w:rPr>
  </w:style>
  <w:style w:type="character" w:customStyle="1" w:styleId="TekstpodstawowyZnak">
    <w:name w:val="Tekst podstawowy Znak"/>
    <w:basedOn w:val="Domylnaczcionkaakapitu"/>
    <w:link w:val="Tekstpodstawowy"/>
    <w:uiPriority w:val="99"/>
    <w:semiHidden/>
    <w:locked/>
    <w:rPr>
      <w:rFonts w:cs="Times New Roman"/>
      <w:sz w:val="24"/>
      <w:szCs w:val="24"/>
    </w:rPr>
  </w:style>
  <w:style w:type="paragraph" w:styleId="Akapitzlist">
    <w:name w:val="List Paragraph"/>
    <w:basedOn w:val="Normalny"/>
    <w:uiPriority w:val="99"/>
    <w:qFormat/>
  </w:style>
  <w:style w:type="paragraph" w:customStyle="1" w:styleId="TableParagraph">
    <w:name w:val="Table Paragraph"/>
    <w:basedOn w:val="Normalny"/>
    <w:uiPriority w:val="99"/>
  </w:style>
  <w:style w:type="paragraph" w:styleId="Nagwek">
    <w:name w:val="header"/>
    <w:basedOn w:val="Normalny"/>
    <w:link w:val="NagwekZnak"/>
    <w:uiPriority w:val="99"/>
    <w:rsid w:val="002312B5"/>
    <w:pPr>
      <w:tabs>
        <w:tab w:val="center" w:pos="4536"/>
        <w:tab w:val="right" w:pos="9072"/>
      </w:tabs>
    </w:pPr>
  </w:style>
  <w:style w:type="character" w:customStyle="1" w:styleId="NagwekZnak">
    <w:name w:val="Nagłówek Znak"/>
    <w:basedOn w:val="Domylnaczcionkaakapitu"/>
    <w:link w:val="Nagwek"/>
    <w:uiPriority w:val="99"/>
    <w:semiHidden/>
    <w:locked/>
    <w:rPr>
      <w:rFonts w:cs="Times New Roman"/>
      <w:sz w:val="24"/>
      <w:szCs w:val="24"/>
    </w:rPr>
  </w:style>
  <w:style w:type="paragraph" w:styleId="Stopka">
    <w:name w:val="footer"/>
    <w:basedOn w:val="Normalny"/>
    <w:link w:val="StopkaZnak"/>
    <w:uiPriority w:val="99"/>
    <w:rsid w:val="002312B5"/>
    <w:pPr>
      <w:tabs>
        <w:tab w:val="center" w:pos="4536"/>
        <w:tab w:val="right" w:pos="9072"/>
      </w:tabs>
    </w:pPr>
  </w:style>
  <w:style w:type="character" w:customStyle="1" w:styleId="StopkaZnak">
    <w:name w:val="Stopka Znak"/>
    <w:basedOn w:val="Domylnaczcionkaakapitu"/>
    <w:link w:val="Stopka"/>
    <w:uiPriority w:val="99"/>
    <w:locked/>
    <w:rPr>
      <w:rFonts w:cs="Times New Roman"/>
      <w:sz w:val="24"/>
      <w:szCs w:val="24"/>
    </w:rPr>
  </w:style>
  <w:style w:type="paragraph" w:styleId="Tekstdymka">
    <w:name w:val="Balloon Text"/>
    <w:basedOn w:val="Normalny"/>
    <w:link w:val="TekstdymkaZnak"/>
    <w:uiPriority w:val="99"/>
    <w:semiHidden/>
    <w:rsid w:val="003A1D9D"/>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Tahoma" w:hAnsi="Tahoma" w:cs="Tahoma"/>
      <w:sz w:val="16"/>
      <w:szCs w:val="16"/>
    </w:rPr>
  </w:style>
  <w:style w:type="character" w:customStyle="1" w:styleId="hps">
    <w:name w:val="hps"/>
    <w:basedOn w:val="Domylnaczcionkaakapitu"/>
    <w:uiPriority w:val="99"/>
    <w:rsid w:val="009C3A26"/>
    <w:rPr>
      <w:rFonts w:cs="Times New Roman"/>
    </w:rPr>
  </w:style>
  <w:style w:type="character" w:styleId="Odwoaniedokomentarza">
    <w:name w:val="annotation reference"/>
    <w:basedOn w:val="Domylnaczcionkaakapitu"/>
    <w:uiPriority w:val="99"/>
    <w:semiHidden/>
    <w:rsid w:val="00471424"/>
    <w:rPr>
      <w:rFonts w:cs="Times New Roman"/>
      <w:sz w:val="16"/>
      <w:szCs w:val="16"/>
    </w:rPr>
  </w:style>
  <w:style w:type="paragraph" w:styleId="Tekstkomentarza">
    <w:name w:val="annotation text"/>
    <w:basedOn w:val="Normalny"/>
    <w:link w:val="TekstkomentarzaZnak"/>
    <w:uiPriority w:val="99"/>
    <w:semiHidden/>
    <w:rsid w:val="00471424"/>
    <w:rPr>
      <w:sz w:val="20"/>
      <w:szCs w:val="20"/>
    </w:rPr>
  </w:style>
  <w:style w:type="character" w:customStyle="1" w:styleId="TekstkomentarzaZnak">
    <w:name w:val="Tekst komentarza Znak"/>
    <w:basedOn w:val="Domylnaczcionkaakapitu"/>
    <w:link w:val="Tekstkomentarza"/>
    <w:uiPriority w:val="99"/>
    <w:semiHidden/>
    <w:locked/>
    <w:rPr>
      <w:rFonts w:cs="Times New Roman"/>
      <w:sz w:val="20"/>
      <w:szCs w:val="20"/>
    </w:rPr>
  </w:style>
  <w:style w:type="paragraph" w:styleId="Tematkomentarza">
    <w:name w:val="annotation subject"/>
    <w:basedOn w:val="Tekstkomentarza"/>
    <w:next w:val="Tekstkomentarza"/>
    <w:link w:val="TematkomentarzaZnak"/>
    <w:uiPriority w:val="99"/>
    <w:semiHidden/>
    <w:rsid w:val="00471424"/>
    <w:rPr>
      <w:b/>
      <w:bCs/>
    </w:rPr>
  </w:style>
  <w:style w:type="character" w:customStyle="1" w:styleId="TematkomentarzaZnak">
    <w:name w:val="Temat komentarza Znak"/>
    <w:basedOn w:val="TekstkomentarzaZnak"/>
    <w:link w:val="Tematkomentarza"/>
    <w:uiPriority w:val="99"/>
    <w:semiHidden/>
    <w:locked/>
    <w:rPr>
      <w:rFonts w:cs="Times New Roman"/>
      <w:b/>
      <w:bCs/>
      <w:sz w:val="20"/>
      <w:szCs w:val="20"/>
    </w:rPr>
  </w:style>
  <w:style w:type="paragraph" w:customStyle="1" w:styleId="Default">
    <w:name w:val="Default"/>
    <w:rsid w:val="00300B7A"/>
    <w:pPr>
      <w:autoSpaceDE w:val="0"/>
      <w:autoSpaceDN w:val="0"/>
      <w:adjustRightInd w:val="0"/>
      <w:spacing w:after="0" w:line="240" w:lineRule="auto"/>
    </w:pPr>
    <w:rPr>
      <w:color w:val="000000"/>
      <w:sz w:val="24"/>
      <w:szCs w:val="24"/>
    </w:rPr>
  </w:style>
  <w:style w:type="paragraph" w:styleId="Tekstprzypisudolnego">
    <w:name w:val="footnote text"/>
    <w:basedOn w:val="Normalny"/>
    <w:link w:val="TekstprzypisudolnegoZnak"/>
    <w:uiPriority w:val="99"/>
    <w:semiHidden/>
    <w:unhideWhenUsed/>
    <w:rsid w:val="00432411"/>
    <w:rPr>
      <w:sz w:val="20"/>
      <w:szCs w:val="20"/>
    </w:rPr>
  </w:style>
  <w:style w:type="character" w:customStyle="1" w:styleId="TekstprzypisudolnegoZnak">
    <w:name w:val="Tekst przypisu dolnego Znak"/>
    <w:basedOn w:val="Domylnaczcionkaakapitu"/>
    <w:link w:val="Tekstprzypisudolnego"/>
    <w:uiPriority w:val="99"/>
    <w:semiHidden/>
    <w:rsid w:val="00432411"/>
    <w:rPr>
      <w:sz w:val="20"/>
      <w:szCs w:val="20"/>
    </w:rPr>
  </w:style>
  <w:style w:type="character" w:styleId="Odwoanieprzypisudolnego">
    <w:name w:val="footnote reference"/>
    <w:basedOn w:val="Domylnaczcionkaakapitu"/>
    <w:uiPriority w:val="99"/>
    <w:semiHidden/>
    <w:unhideWhenUsed/>
    <w:rsid w:val="00432411"/>
    <w:rPr>
      <w:vertAlign w:val="superscript"/>
    </w:rPr>
  </w:style>
  <w:style w:type="character" w:styleId="Hipercze">
    <w:name w:val="Hyperlink"/>
    <w:uiPriority w:val="99"/>
    <w:rsid w:val="00DD3FF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724148">
      <w:bodyDiv w:val="1"/>
      <w:marLeft w:val="0"/>
      <w:marRight w:val="0"/>
      <w:marTop w:val="0"/>
      <w:marBottom w:val="0"/>
      <w:divBdr>
        <w:top w:val="none" w:sz="0" w:space="0" w:color="auto"/>
        <w:left w:val="none" w:sz="0" w:space="0" w:color="auto"/>
        <w:bottom w:val="none" w:sz="0" w:space="0" w:color="auto"/>
        <w:right w:val="none" w:sz="0" w:space="0" w:color="auto"/>
      </w:divBdr>
    </w:div>
    <w:div w:id="1116372096">
      <w:bodyDiv w:val="1"/>
      <w:marLeft w:val="0"/>
      <w:marRight w:val="0"/>
      <w:marTop w:val="0"/>
      <w:marBottom w:val="0"/>
      <w:divBdr>
        <w:top w:val="none" w:sz="0" w:space="0" w:color="auto"/>
        <w:left w:val="none" w:sz="0" w:space="0" w:color="auto"/>
        <w:bottom w:val="none" w:sz="0" w:space="0" w:color="auto"/>
        <w:right w:val="none" w:sz="0" w:space="0" w:color="auto"/>
      </w:divBdr>
    </w:div>
    <w:div w:id="1578317370">
      <w:bodyDiv w:val="1"/>
      <w:marLeft w:val="0"/>
      <w:marRight w:val="0"/>
      <w:marTop w:val="0"/>
      <w:marBottom w:val="0"/>
      <w:divBdr>
        <w:top w:val="none" w:sz="0" w:space="0" w:color="auto"/>
        <w:left w:val="none" w:sz="0" w:space="0" w:color="auto"/>
        <w:bottom w:val="none" w:sz="0" w:space="0" w:color="auto"/>
        <w:right w:val="none" w:sz="0" w:space="0" w:color="auto"/>
      </w:divBdr>
    </w:div>
    <w:div w:id="1738044138">
      <w:marLeft w:val="0"/>
      <w:marRight w:val="0"/>
      <w:marTop w:val="0"/>
      <w:marBottom w:val="0"/>
      <w:divBdr>
        <w:top w:val="none" w:sz="0" w:space="0" w:color="auto"/>
        <w:left w:val="none" w:sz="0" w:space="0" w:color="auto"/>
        <w:bottom w:val="none" w:sz="0" w:space="0" w:color="auto"/>
        <w:right w:val="none" w:sz="0" w:space="0" w:color="auto"/>
      </w:divBdr>
    </w:div>
    <w:div w:id="17380441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z.ezdrowie.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C4CDA-49D2-4BB7-B7E6-A3FCE97C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1896</Words>
  <Characters>13603</Characters>
  <Application>Microsoft Office Word</Application>
  <DocSecurity>0</DocSecurity>
  <Lines>113</Lines>
  <Paragraphs>30</Paragraphs>
  <ScaleCrop>false</ScaleCrop>
  <HeadingPairs>
    <vt:vector size="2" baseType="variant">
      <vt:variant>
        <vt:lpstr>Tytuł</vt:lpstr>
      </vt:variant>
      <vt:variant>
        <vt:i4>1</vt:i4>
      </vt:variant>
    </vt:vector>
  </HeadingPairs>
  <TitlesOfParts>
    <vt:vector size="1" baseType="lpstr">
      <vt:lpstr>Elocon Scalp Lotion</vt:lpstr>
    </vt:vector>
  </TitlesOfParts>
  <Company>Valeant</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Elocon Scalp Lotion</dc:title>
  <dc:creator>Polakova Daniela</dc:creator>
  <cp:lastModifiedBy>Przybysz, Dorota</cp:lastModifiedBy>
  <cp:revision>2</cp:revision>
  <cp:lastPrinted>2020-06-19T10:08:00Z</cp:lastPrinted>
  <dcterms:created xsi:type="dcterms:W3CDTF">2020-12-18T11:02:00Z</dcterms:created>
  <dcterms:modified xsi:type="dcterms:W3CDTF">2020-12-18T11:02:00Z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129fb7-f777-4feb-b84e-0390c1a7ed44_Enabled">
    <vt:lpwstr>true</vt:lpwstr>
  </property>
  <property fmtid="{D5CDD505-2E9C-101B-9397-08002B2CF9AE}" pid="3" name="MSIP_Label_36129fb7-f777-4feb-b84e-0390c1a7ed44_SetDate">
    <vt:lpwstr>2022-04-03T07:13:39Z</vt:lpwstr>
  </property>
  <property fmtid="{D5CDD505-2E9C-101B-9397-08002B2CF9AE}" pid="4" name="MSIP_Label_36129fb7-f777-4feb-b84e-0390c1a7ed44_Method">
    <vt:lpwstr>Standard</vt:lpwstr>
  </property>
  <property fmtid="{D5CDD505-2E9C-101B-9397-08002B2CF9AE}" pid="5" name="MSIP_Label_36129fb7-f777-4feb-b84e-0390c1a7ed44_Name">
    <vt:lpwstr>CORP US-CAN Information Label</vt:lpwstr>
  </property>
  <property fmtid="{D5CDD505-2E9C-101B-9397-08002B2CF9AE}" pid="6" name="MSIP_Label_36129fb7-f777-4feb-b84e-0390c1a7ed44_SiteId">
    <vt:lpwstr>a72dda32-ee80-4da8-a3ac-ec0e9e41a50a</vt:lpwstr>
  </property>
  <property fmtid="{D5CDD505-2E9C-101B-9397-08002B2CF9AE}" pid="7" name="MSIP_Label_36129fb7-f777-4feb-b84e-0390c1a7ed44_ActionId">
    <vt:lpwstr>9a893706-e808-4e0a-a661-c0ddf5c0804b</vt:lpwstr>
  </property>
  <property fmtid="{D5CDD505-2E9C-101B-9397-08002B2CF9AE}" pid="8" name="MSIP_Label_36129fb7-f777-4feb-b84e-0390c1a7ed44_ContentBits">
    <vt:lpwstr>0</vt:lpwstr>
  </property>
</Properties>
</file>