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EA70" w14:textId="77777777" w:rsidR="002B0370" w:rsidRDefault="002B0370">
      <w:pPr>
        <w:pStyle w:val="Nagwek1"/>
        <w:jc w:val="center"/>
        <w:rPr>
          <w:sz w:val="22"/>
          <w:szCs w:val="22"/>
        </w:rPr>
      </w:pPr>
    </w:p>
    <w:p w14:paraId="64EAEA71" w14:textId="77777777" w:rsidR="002B0370" w:rsidRDefault="002B0370">
      <w:pPr>
        <w:pStyle w:val="Nagwek1"/>
        <w:jc w:val="center"/>
        <w:rPr>
          <w:sz w:val="22"/>
          <w:szCs w:val="22"/>
        </w:rPr>
      </w:pPr>
    </w:p>
    <w:p w14:paraId="64EAEA72" w14:textId="77777777" w:rsidR="00257420" w:rsidRPr="00463EE9" w:rsidRDefault="00257420">
      <w:pPr>
        <w:pStyle w:val="Nagwek1"/>
        <w:jc w:val="center"/>
        <w:rPr>
          <w:sz w:val="22"/>
          <w:szCs w:val="22"/>
        </w:rPr>
      </w:pPr>
      <w:r w:rsidRPr="00463EE9">
        <w:rPr>
          <w:sz w:val="22"/>
          <w:szCs w:val="22"/>
        </w:rPr>
        <w:t>CHARAKTERYSTYKA PRODUKTU LECZNICZEGO</w:t>
      </w:r>
    </w:p>
    <w:p w14:paraId="64EAEA73" w14:textId="77777777" w:rsidR="00257420" w:rsidRPr="00463EE9" w:rsidRDefault="00257420">
      <w:pPr>
        <w:rPr>
          <w:sz w:val="22"/>
          <w:szCs w:val="22"/>
        </w:rPr>
      </w:pPr>
    </w:p>
    <w:p w14:paraId="64EAEA74" w14:textId="77777777" w:rsidR="00257420" w:rsidRPr="00463EE9" w:rsidRDefault="00257420">
      <w:pPr>
        <w:rPr>
          <w:sz w:val="22"/>
          <w:szCs w:val="22"/>
        </w:rPr>
      </w:pPr>
    </w:p>
    <w:p w14:paraId="64EAEA75" w14:textId="77777777" w:rsidR="00257420" w:rsidRPr="00463EE9" w:rsidRDefault="00257420">
      <w:pPr>
        <w:rPr>
          <w:sz w:val="22"/>
          <w:szCs w:val="22"/>
        </w:rPr>
      </w:pPr>
      <w:r w:rsidRPr="00463EE9">
        <w:rPr>
          <w:b/>
          <w:sz w:val="22"/>
          <w:szCs w:val="22"/>
        </w:rPr>
        <w:t xml:space="preserve">1. </w:t>
      </w:r>
      <w:r w:rsidRPr="00463EE9">
        <w:rPr>
          <w:b/>
          <w:caps/>
          <w:sz w:val="22"/>
          <w:szCs w:val="22"/>
        </w:rPr>
        <w:t>Nazwa produktu leczniczego</w:t>
      </w:r>
    </w:p>
    <w:p w14:paraId="64EAEA76" w14:textId="77777777" w:rsidR="00257420" w:rsidRPr="00463EE9" w:rsidRDefault="00257420">
      <w:pPr>
        <w:pStyle w:val="Nagwek1"/>
        <w:rPr>
          <w:sz w:val="22"/>
          <w:szCs w:val="22"/>
        </w:rPr>
      </w:pPr>
    </w:p>
    <w:p w14:paraId="64EAEA77" w14:textId="126E2C40" w:rsidR="00257420" w:rsidRPr="00D54F15" w:rsidRDefault="00257420">
      <w:pPr>
        <w:pStyle w:val="Nagwek1"/>
        <w:rPr>
          <w:b w:val="0"/>
          <w:sz w:val="22"/>
          <w:szCs w:val="22"/>
        </w:rPr>
      </w:pPr>
      <w:r w:rsidRPr="00907A1F">
        <w:rPr>
          <w:b w:val="0"/>
          <w:sz w:val="22"/>
          <w:szCs w:val="22"/>
        </w:rPr>
        <w:t>FLUCINAR</w:t>
      </w:r>
      <w:r w:rsidR="00AE665C">
        <w:rPr>
          <w:b w:val="0"/>
          <w:sz w:val="22"/>
          <w:szCs w:val="22"/>
        </w:rPr>
        <w:t>,</w:t>
      </w:r>
      <w:r w:rsidR="0099667C" w:rsidRPr="00907A1F">
        <w:rPr>
          <w:b w:val="0"/>
          <w:sz w:val="22"/>
          <w:szCs w:val="22"/>
        </w:rPr>
        <w:t xml:space="preserve"> </w:t>
      </w:r>
      <w:r w:rsidRPr="00907A1F">
        <w:rPr>
          <w:b w:val="0"/>
          <w:sz w:val="22"/>
          <w:szCs w:val="22"/>
        </w:rPr>
        <w:t>0,25 mg</w:t>
      </w:r>
      <w:r w:rsidR="0099667C" w:rsidRPr="00907A1F">
        <w:rPr>
          <w:b w:val="0"/>
          <w:sz w:val="22"/>
          <w:szCs w:val="22"/>
        </w:rPr>
        <w:t>/g</w:t>
      </w:r>
      <w:r w:rsidR="0085349F">
        <w:rPr>
          <w:b w:val="0"/>
          <w:sz w:val="22"/>
          <w:szCs w:val="22"/>
        </w:rPr>
        <w:t>,</w:t>
      </w:r>
      <w:r w:rsidR="0099667C" w:rsidRPr="00907A1F">
        <w:rPr>
          <w:b w:val="0"/>
          <w:sz w:val="22"/>
          <w:szCs w:val="22"/>
        </w:rPr>
        <w:t xml:space="preserve"> </w:t>
      </w:r>
      <w:r w:rsidRPr="00907A1F">
        <w:rPr>
          <w:b w:val="0"/>
          <w:sz w:val="22"/>
          <w:szCs w:val="22"/>
          <w:vertAlign w:val="superscript"/>
        </w:rPr>
        <w:t xml:space="preserve"> </w:t>
      </w:r>
      <w:r w:rsidRPr="00907A1F">
        <w:rPr>
          <w:b w:val="0"/>
          <w:sz w:val="22"/>
          <w:szCs w:val="22"/>
        </w:rPr>
        <w:t>żel</w:t>
      </w:r>
    </w:p>
    <w:p w14:paraId="64EAEA78" w14:textId="77777777" w:rsidR="00257420" w:rsidRPr="00463EE9" w:rsidRDefault="00257420">
      <w:pPr>
        <w:rPr>
          <w:sz w:val="22"/>
          <w:szCs w:val="22"/>
        </w:rPr>
      </w:pPr>
    </w:p>
    <w:p w14:paraId="64EAEA79" w14:textId="77777777" w:rsidR="00257420" w:rsidRPr="00463EE9" w:rsidRDefault="00257420">
      <w:pPr>
        <w:rPr>
          <w:sz w:val="22"/>
          <w:szCs w:val="22"/>
        </w:rPr>
      </w:pPr>
    </w:p>
    <w:p w14:paraId="64EAEA7A" w14:textId="77777777" w:rsidR="00257420" w:rsidRPr="00463EE9" w:rsidRDefault="00257420">
      <w:pPr>
        <w:rPr>
          <w:sz w:val="22"/>
          <w:szCs w:val="22"/>
        </w:rPr>
      </w:pPr>
      <w:r w:rsidRPr="00463EE9">
        <w:rPr>
          <w:b/>
          <w:sz w:val="22"/>
          <w:szCs w:val="22"/>
        </w:rPr>
        <w:t>2</w:t>
      </w:r>
      <w:r w:rsidRPr="00463EE9">
        <w:rPr>
          <w:b/>
          <w:caps/>
          <w:sz w:val="22"/>
          <w:szCs w:val="22"/>
        </w:rPr>
        <w:t>. Skład jakościowy i ilościowy</w:t>
      </w:r>
      <w:r w:rsidRPr="00463EE9">
        <w:rPr>
          <w:b/>
          <w:sz w:val="22"/>
          <w:szCs w:val="22"/>
        </w:rPr>
        <w:t xml:space="preserve"> </w:t>
      </w:r>
    </w:p>
    <w:p w14:paraId="64EAEA7B" w14:textId="77777777" w:rsidR="00257420" w:rsidRPr="00463EE9" w:rsidRDefault="00257420">
      <w:pPr>
        <w:rPr>
          <w:sz w:val="22"/>
          <w:szCs w:val="22"/>
        </w:rPr>
      </w:pPr>
    </w:p>
    <w:p w14:paraId="64EAEA7C" w14:textId="46F822CF" w:rsidR="00257420" w:rsidRDefault="00257420">
      <w:pPr>
        <w:rPr>
          <w:i/>
          <w:sz w:val="22"/>
          <w:szCs w:val="22"/>
        </w:rPr>
      </w:pPr>
      <w:smartTag w:uri="urn:schemas-microsoft-com:office:smarttags" w:element="metricconverter">
        <w:smartTagPr>
          <w:attr w:name="ProductID" w:val="1 g"/>
        </w:smartTagPr>
        <w:r w:rsidRPr="00463EE9">
          <w:rPr>
            <w:sz w:val="22"/>
            <w:szCs w:val="22"/>
          </w:rPr>
          <w:t>1 g</w:t>
        </w:r>
      </w:smartTag>
      <w:r w:rsidRPr="00463EE9">
        <w:rPr>
          <w:sz w:val="22"/>
          <w:szCs w:val="22"/>
        </w:rPr>
        <w:t xml:space="preserve"> żelu zawiera 0,25 mg fluocinolonu acetonidu </w:t>
      </w:r>
      <w:r w:rsidRPr="00463EE9">
        <w:rPr>
          <w:i/>
          <w:sz w:val="22"/>
          <w:szCs w:val="22"/>
        </w:rPr>
        <w:t>(Fluocinoloni acetonidum).</w:t>
      </w:r>
    </w:p>
    <w:p w14:paraId="64EAEA7D" w14:textId="77777777" w:rsidR="00C9180D" w:rsidRDefault="00C9180D">
      <w:pPr>
        <w:rPr>
          <w:sz w:val="22"/>
          <w:szCs w:val="22"/>
          <w:u w:val="single"/>
        </w:rPr>
      </w:pPr>
    </w:p>
    <w:p w14:paraId="64EAEA7E" w14:textId="77777777" w:rsidR="00D66070" w:rsidRPr="00907A1F" w:rsidRDefault="00D66070">
      <w:pPr>
        <w:rPr>
          <w:sz w:val="22"/>
          <w:szCs w:val="22"/>
          <w:u w:val="single"/>
        </w:rPr>
      </w:pPr>
      <w:r w:rsidRPr="00907A1F">
        <w:rPr>
          <w:sz w:val="22"/>
          <w:szCs w:val="22"/>
          <w:u w:val="single"/>
        </w:rPr>
        <w:t>Substancje pomocnicze o znanym działaniu:</w:t>
      </w:r>
    </w:p>
    <w:p w14:paraId="64EAEA7F" w14:textId="411EEE38" w:rsidR="00D66070" w:rsidRDefault="00D66070">
      <w:pPr>
        <w:rPr>
          <w:sz w:val="22"/>
          <w:szCs w:val="22"/>
        </w:rPr>
      </w:pPr>
      <w:r>
        <w:rPr>
          <w:sz w:val="22"/>
          <w:szCs w:val="22"/>
        </w:rPr>
        <w:t>Glikol propylenowy,</w:t>
      </w:r>
    </w:p>
    <w:p w14:paraId="5AA5B8AD" w14:textId="572169EA" w:rsidR="00817642" w:rsidRDefault="00817642">
      <w:pPr>
        <w:rPr>
          <w:sz w:val="22"/>
          <w:szCs w:val="22"/>
        </w:rPr>
      </w:pPr>
      <w:r>
        <w:rPr>
          <w:sz w:val="22"/>
          <w:szCs w:val="22"/>
        </w:rPr>
        <w:t>Etanol,</w:t>
      </w:r>
    </w:p>
    <w:p w14:paraId="64EAEA80" w14:textId="6EC5D04B" w:rsidR="00D66070" w:rsidRDefault="00645F86">
      <w:pPr>
        <w:rPr>
          <w:sz w:val="22"/>
          <w:szCs w:val="22"/>
        </w:rPr>
      </w:pPr>
      <w:r>
        <w:rPr>
          <w:sz w:val="22"/>
          <w:szCs w:val="22"/>
        </w:rPr>
        <w:t>Propylu parahydroksybenzoesan</w:t>
      </w:r>
      <w:r w:rsidR="00C9180D">
        <w:rPr>
          <w:sz w:val="22"/>
          <w:szCs w:val="22"/>
        </w:rPr>
        <w:t xml:space="preserve"> </w:t>
      </w:r>
      <w:r w:rsidR="00C9180D" w:rsidRPr="00907A1F">
        <w:rPr>
          <w:sz w:val="22"/>
        </w:rPr>
        <w:t>(E216)</w:t>
      </w:r>
      <w:r w:rsidRPr="00C9180D">
        <w:rPr>
          <w:sz w:val="22"/>
          <w:szCs w:val="22"/>
        </w:rPr>
        <w:t>,</w:t>
      </w:r>
    </w:p>
    <w:p w14:paraId="64EAEA81" w14:textId="59F027FB" w:rsidR="00EC0394" w:rsidRDefault="00EC0394">
      <w:pPr>
        <w:rPr>
          <w:sz w:val="22"/>
          <w:szCs w:val="22"/>
        </w:rPr>
      </w:pPr>
      <w:r>
        <w:rPr>
          <w:sz w:val="22"/>
          <w:szCs w:val="22"/>
        </w:rPr>
        <w:t>Metylu parahydroksybenzoesan</w:t>
      </w:r>
      <w:r w:rsidR="00827CD5">
        <w:rPr>
          <w:sz w:val="22"/>
          <w:szCs w:val="22"/>
        </w:rPr>
        <w:t xml:space="preserve"> (E218).</w:t>
      </w:r>
    </w:p>
    <w:p w14:paraId="6D3AB49A" w14:textId="4A2EE5A4" w:rsidR="00C71A42" w:rsidRPr="005844B9" w:rsidRDefault="00C71A42">
      <w:pPr>
        <w:rPr>
          <w:sz w:val="22"/>
          <w:szCs w:val="22"/>
        </w:rPr>
      </w:pPr>
      <w:r>
        <w:rPr>
          <w:sz w:val="22"/>
          <w:szCs w:val="22"/>
        </w:rPr>
        <w:t xml:space="preserve">1 g żelu zawiera </w:t>
      </w:r>
      <w:r w:rsidR="009D0E71">
        <w:rPr>
          <w:sz w:val="22"/>
          <w:szCs w:val="22"/>
        </w:rPr>
        <w:t xml:space="preserve">150 mg glikolu propylenowego, </w:t>
      </w:r>
      <w:r w:rsidR="00817642">
        <w:rPr>
          <w:sz w:val="22"/>
          <w:szCs w:val="22"/>
        </w:rPr>
        <w:t xml:space="preserve">150 mg etanolu, </w:t>
      </w:r>
      <w:r w:rsidR="00566EA8">
        <w:rPr>
          <w:sz w:val="22"/>
          <w:szCs w:val="22"/>
        </w:rPr>
        <w:t>0,80 mg propylu parahydroksybenzoesanu oraz 1,50 mg metylu parahydroksybenzoesanu</w:t>
      </w:r>
      <w:r w:rsidR="00817642">
        <w:rPr>
          <w:sz w:val="22"/>
          <w:szCs w:val="22"/>
        </w:rPr>
        <w:t>.</w:t>
      </w:r>
    </w:p>
    <w:p w14:paraId="64EAEA82" w14:textId="77777777" w:rsidR="00D66070" w:rsidRPr="00463EE9" w:rsidRDefault="00D66070">
      <w:pPr>
        <w:rPr>
          <w:sz w:val="22"/>
          <w:szCs w:val="22"/>
        </w:rPr>
      </w:pPr>
    </w:p>
    <w:p w14:paraId="64EAEA83" w14:textId="77777777" w:rsidR="00257420" w:rsidRPr="00463EE9" w:rsidRDefault="00257420">
      <w:pPr>
        <w:rPr>
          <w:sz w:val="22"/>
          <w:szCs w:val="22"/>
        </w:rPr>
      </w:pPr>
      <w:r w:rsidRPr="00463EE9">
        <w:rPr>
          <w:sz w:val="22"/>
          <w:szCs w:val="22"/>
        </w:rPr>
        <w:t>Pełny wykaz substancji pomocniczych, patrz punkt 6.1.</w:t>
      </w:r>
    </w:p>
    <w:p w14:paraId="64EAEA84" w14:textId="77777777" w:rsidR="00257420" w:rsidRPr="00463EE9" w:rsidRDefault="00257420">
      <w:pPr>
        <w:rPr>
          <w:sz w:val="22"/>
          <w:szCs w:val="22"/>
        </w:rPr>
      </w:pPr>
    </w:p>
    <w:p w14:paraId="64EAEA85" w14:textId="77777777" w:rsidR="00257420" w:rsidRPr="00463EE9" w:rsidRDefault="00257420">
      <w:pPr>
        <w:rPr>
          <w:sz w:val="22"/>
          <w:szCs w:val="22"/>
        </w:rPr>
      </w:pPr>
    </w:p>
    <w:p w14:paraId="64EAEA86" w14:textId="77777777" w:rsidR="00257420" w:rsidRPr="00463EE9" w:rsidRDefault="00257420">
      <w:pPr>
        <w:rPr>
          <w:b/>
          <w:caps/>
          <w:sz w:val="22"/>
          <w:szCs w:val="22"/>
        </w:rPr>
      </w:pPr>
      <w:r w:rsidRPr="00463EE9">
        <w:rPr>
          <w:b/>
          <w:caps/>
          <w:sz w:val="22"/>
          <w:szCs w:val="22"/>
        </w:rPr>
        <w:t>3. Postać farmaceutyczna</w:t>
      </w:r>
    </w:p>
    <w:p w14:paraId="64EAEA87" w14:textId="77777777" w:rsidR="00257420" w:rsidRPr="00463EE9" w:rsidRDefault="00257420">
      <w:pPr>
        <w:rPr>
          <w:sz w:val="22"/>
          <w:szCs w:val="22"/>
        </w:rPr>
      </w:pPr>
    </w:p>
    <w:p w14:paraId="64EAEA88" w14:textId="77777777" w:rsidR="00257420" w:rsidRPr="00463EE9" w:rsidRDefault="00257420">
      <w:pPr>
        <w:rPr>
          <w:sz w:val="22"/>
          <w:szCs w:val="22"/>
        </w:rPr>
      </w:pPr>
      <w:r w:rsidRPr="00463EE9">
        <w:rPr>
          <w:sz w:val="22"/>
          <w:szCs w:val="22"/>
        </w:rPr>
        <w:t>Żel</w:t>
      </w:r>
    </w:p>
    <w:p w14:paraId="64EAEA89" w14:textId="77777777" w:rsidR="00257420" w:rsidRPr="00463EE9" w:rsidRDefault="00257420">
      <w:pPr>
        <w:rPr>
          <w:sz w:val="22"/>
          <w:szCs w:val="22"/>
        </w:rPr>
      </w:pPr>
      <w:r w:rsidRPr="00463EE9">
        <w:rPr>
          <w:sz w:val="22"/>
          <w:szCs w:val="22"/>
        </w:rPr>
        <w:t>Bezbarwny, półprzezroczysty żel o nikłym zapachu etanolu.</w:t>
      </w:r>
    </w:p>
    <w:p w14:paraId="64EAEA8A" w14:textId="77777777" w:rsidR="00257420" w:rsidRPr="00463EE9" w:rsidRDefault="00257420">
      <w:pPr>
        <w:rPr>
          <w:sz w:val="22"/>
          <w:szCs w:val="22"/>
        </w:rPr>
      </w:pPr>
    </w:p>
    <w:p w14:paraId="64EAEA8B" w14:textId="77777777" w:rsidR="00257420" w:rsidRPr="00463EE9" w:rsidRDefault="00257420">
      <w:pPr>
        <w:rPr>
          <w:sz w:val="22"/>
          <w:szCs w:val="22"/>
        </w:rPr>
      </w:pPr>
    </w:p>
    <w:p w14:paraId="64EAEA8C" w14:textId="77777777" w:rsidR="00257420" w:rsidRPr="00463EE9" w:rsidRDefault="00257420">
      <w:pPr>
        <w:rPr>
          <w:b/>
          <w:caps/>
          <w:sz w:val="22"/>
          <w:szCs w:val="22"/>
        </w:rPr>
      </w:pPr>
      <w:r w:rsidRPr="00463EE9">
        <w:rPr>
          <w:b/>
          <w:caps/>
          <w:sz w:val="22"/>
          <w:szCs w:val="22"/>
        </w:rPr>
        <w:t>4. Szczegółowe dane kliniczne</w:t>
      </w:r>
    </w:p>
    <w:p w14:paraId="64EAEA8D" w14:textId="77777777" w:rsidR="00257420" w:rsidRPr="00463EE9" w:rsidRDefault="00257420">
      <w:pPr>
        <w:rPr>
          <w:b/>
          <w:sz w:val="22"/>
          <w:szCs w:val="22"/>
        </w:rPr>
      </w:pPr>
    </w:p>
    <w:p w14:paraId="64EAEA8E" w14:textId="77777777" w:rsidR="00257420" w:rsidRPr="00463EE9" w:rsidRDefault="00257420">
      <w:pPr>
        <w:rPr>
          <w:b/>
          <w:sz w:val="22"/>
          <w:szCs w:val="22"/>
        </w:rPr>
      </w:pPr>
      <w:r w:rsidRPr="00463EE9">
        <w:rPr>
          <w:b/>
          <w:sz w:val="22"/>
          <w:szCs w:val="22"/>
        </w:rPr>
        <w:t>4.1 Wskazania do stosowania</w:t>
      </w:r>
    </w:p>
    <w:p w14:paraId="64EAEA8F" w14:textId="77777777" w:rsidR="009D70A2" w:rsidRDefault="009D70A2">
      <w:pPr>
        <w:rPr>
          <w:sz w:val="22"/>
          <w:szCs w:val="22"/>
        </w:rPr>
      </w:pPr>
    </w:p>
    <w:p w14:paraId="28D9DA6A" w14:textId="77777777" w:rsidR="00E8379A" w:rsidRDefault="00257420">
      <w:pPr>
        <w:rPr>
          <w:sz w:val="22"/>
          <w:szCs w:val="22"/>
        </w:rPr>
      </w:pPr>
      <w:r w:rsidRPr="00463EE9">
        <w:rPr>
          <w:sz w:val="22"/>
          <w:szCs w:val="22"/>
        </w:rPr>
        <w:t>Flucinar w postaci żelu jest wskazany do miejscowego leczenia (w pierwszej fazie leczenia przed zastosowaniem produktu leczniczego w postaci maści) ostrych i ciężkich, niezakażonych suchych stanów zapalnych skóry, reagujących na leczenie glikokortykosteroidami i przebiegających z</w:t>
      </w:r>
      <w:r w:rsidR="00463EE9">
        <w:rPr>
          <w:sz w:val="22"/>
          <w:szCs w:val="22"/>
        </w:rPr>
        <w:t> </w:t>
      </w:r>
      <w:r w:rsidRPr="00463EE9">
        <w:rPr>
          <w:sz w:val="22"/>
          <w:szCs w:val="22"/>
        </w:rPr>
        <w:t>uporczywym swędzeniem lub z nadmiernym rogowacenie</w:t>
      </w:r>
      <w:r w:rsidR="00C200AC">
        <w:rPr>
          <w:sz w:val="22"/>
          <w:szCs w:val="22"/>
        </w:rPr>
        <w:t>m</w:t>
      </w:r>
      <w:r w:rsidRPr="00463EE9">
        <w:rPr>
          <w:sz w:val="22"/>
          <w:szCs w:val="22"/>
        </w:rPr>
        <w:t xml:space="preserve">, jak: </w:t>
      </w:r>
    </w:p>
    <w:p w14:paraId="352D4412" w14:textId="77777777" w:rsidR="00E8379A" w:rsidRDefault="00E8379A">
      <w:pPr>
        <w:rPr>
          <w:sz w:val="22"/>
          <w:szCs w:val="22"/>
        </w:rPr>
      </w:pPr>
      <w:r>
        <w:rPr>
          <w:sz w:val="22"/>
          <w:szCs w:val="22"/>
        </w:rPr>
        <w:t>-</w:t>
      </w:r>
      <w:r w:rsidR="00257420" w:rsidRPr="00463EE9">
        <w:rPr>
          <w:sz w:val="22"/>
          <w:szCs w:val="22"/>
        </w:rPr>
        <w:t>łojotokowe zapalenie skóry,</w:t>
      </w:r>
    </w:p>
    <w:p w14:paraId="2FB648A2" w14:textId="17790BE0" w:rsidR="00E8379A" w:rsidRDefault="00E8379A">
      <w:pPr>
        <w:rPr>
          <w:sz w:val="22"/>
          <w:szCs w:val="22"/>
        </w:rPr>
      </w:pPr>
      <w:r>
        <w:rPr>
          <w:sz w:val="22"/>
          <w:szCs w:val="22"/>
        </w:rPr>
        <w:t>-</w:t>
      </w:r>
      <w:r w:rsidR="00257420" w:rsidRPr="00463EE9">
        <w:rPr>
          <w:sz w:val="22"/>
          <w:szCs w:val="22"/>
        </w:rPr>
        <w:t>atopowe zapalenie skóry,</w:t>
      </w:r>
    </w:p>
    <w:p w14:paraId="7FCC44D5" w14:textId="19C93B9C" w:rsidR="00E8379A" w:rsidRDefault="00E8379A">
      <w:pPr>
        <w:rPr>
          <w:sz w:val="22"/>
          <w:szCs w:val="22"/>
        </w:rPr>
      </w:pPr>
      <w:r>
        <w:rPr>
          <w:sz w:val="22"/>
          <w:szCs w:val="22"/>
        </w:rPr>
        <w:t>-</w:t>
      </w:r>
      <w:r w:rsidR="00257420" w:rsidRPr="00463EE9">
        <w:rPr>
          <w:sz w:val="22"/>
          <w:szCs w:val="22"/>
        </w:rPr>
        <w:t>liszaj pokrzywkowy,</w:t>
      </w:r>
    </w:p>
    <w:p w14:paraId="13F89C3F" w14:textId="5800A218" w:rsidR="00E8379A" w:rsidRDefault="00E8379A">
      <w:pPr>
        <w:rPr>
          <w:sz w:val="22"/>
          <w:szCs w:val="22"/>
        </w:rPr>
      </w:pPr>
      <w:r>
        <w:rPr>
          <w:sz w:val="22"/>
          <w:szCs w:val="22"/>
        </w:rPr>
        <w:t>-</w:t>
      </w:r>
      <w:r w:rsidR="00257420" w:rsidRPr="00463EE9">
        <w:rPr>
          <w:sz w:val="22"/>
          <w:szCs w:val="22"/>
        </w:rPr>
        <w:t>wyprysk kontaktowy alergiczny,</w:t>
      </w:r>
    </w:p>
    <w:p w14:paraId="2C57D5D0" w14:textId="2B574511" w:rsidR="00E8379A" w:rsidRDefault="00E8379A">
      <w:pPr>
        <w:rPr>
          <w:sz w:val="22"/>
          <w:szCs w:val="22"/>
        </w:rPr>
      </w:pPr>
      <w:r>
        <w:rPr>
          <w:sz w:val="22"/>
          <w:szCs w:val="22"/>
        </w:rPr>
        <w:t>-</w:t>
      </w:r>
      <w:r w:rsidR="00257420" w:rsidRPr="00463EE9">
        <w:rPr>
          <w:sz w:val="22"/>
          <w:szCs w:val="22"/>
        </w:rPr>
        <w:t>rumień wielopostaciowy,</w:t>
      </w:r>
    </w:p>
    <w:p w14:paraId="13019DC8" w14:textId="4E01688E" w:rsidR="00E8379A" w:rsidRDefault="00E8379A">
      <w:pPr>
        <w:rPr>
          <w:sz w:val="22"/>
          <w:szCs w:val="22"/>
        </w:rPr>
      </w:pPr>
      <w:r>
        <w:rPr>
          <w:sz w:val="22"/>
          <w:szCs w:val="22"/>
        </w:rPr>
        <w:t>-</w:t>
      </w:r>
      <w:r w:rsidR="00257420" w:rsidRPr="00463EE9">
        <w:rPr>
          <w:sz w:val="22"/>
          <w:szCs w:val="22"/>
        </w:rPr>
        <w:t>toczeń rumieniowaty,</w:t>
      </w:r>
    </w:p>
    <w:p w14:paraId="6E860D22" w14:textId="2714DF16" w:rsidR="00E8379A" w:rsidRDefault="00E8379A">
      <w:pPr>
        <w:rPr>
          <w:sz w:val="22"/>
          <w:szCs w:val="22"/>
        </w:rPr>
      </w:pPr>
      <w:r>
        <w:rPr>
          <w:sz w:val="22"/>
          <w:szCs w:val="22"/>
        </w:rPr>
        <w:t>-</w:t>
      </w:r>
      <w:r w:rsidR="00257420" w:rsidRPr="00463EE9">
        <w:rPr>
          <w:sz w:val="22"/>
          <w:szCs w:val="22"/>
        </w:rPr>
        <w:t>łuszczyca owłosionej skóry,</w:t>
      </w:r>
    </w:p>
    <w:p w14:paraId="0F91839E" w14:textId="66BF1E1D" w:rsidR="00E8379A" w:rsidRDefault="00E8379A">
      <w:pPr>
        <w:rPr>
          <w:sz w:val="22"/>
          <w:szCs w:val="22"/>
        </w:rPr>
      </w:pPr>
      <w:r>
        <w:rPr>
          <w:sz w:val="22"/>
          <w:szCs w:val="22"/>
        </w:rPr>
        <w:t>-</w:t>
      </w:r>
      <w:r w:rsidR="00257420" w:rsidRPr="00463EE9">
        <w:rPr>
          <w:sz w:val="22"/>
          <w:szCs w:val="22"/>
        </w:rPr>
        <w:t>łuszczyca zadawniona,</w:t>
      </w:r>
    </w:p>
    <w:p w14:paraId="64EAEA90" w14:textId="4CF3378B" w:rsidR="00257420" w:rsidRPr="00463EE9" w:rsidRDefault="00E8379A">
      <w:pPr>
        <w:rPr>
          <w:sz w:val="22"/>
          <w:szCs w:val="22"/>
        </w:rPr>
      </w:pPr>
      <w:r>
        <w:rPr>
          <w:sz w:val="22"/>
          <w:szCs w:val="22"/>
        </w:rPr>
        <w:t>-</w:t>
      </w:r>
      <w:r w:rsidR="00257420" w:rsidRPr="00463EE9">
        <w:rPr>
          <w:sz w:val="22"/>
          <w:szCs w:val="22"/>
        </w:rPr>
        <w:t>liszaj płaski.</w:t>
      </w:r>
    </w:p>
    <w:p w14:paraId="64EAEA91" w14:textId="77777777" w:rsidR="00257420" w:rsidRPr="00463EE9" w:rsidRDefault="00257420">
      <w:pPr>
        <w:rPr>
          <w:sz w:val="22"/>
          <w:szCs w:val="22"/>
        </w:rPr>
      </w:pPr>
    </w:p>
    <w:p w14:paraId="64EAEA92" w14:textId="042C9D13" w:rsidR="00257420" w:rsidRPr="00463EE9" w:rsidRDefault="00257420">
      <w:pPr>
        <w:rPr>
          <w:sz w:val="22"/>
          <w:szCs w:val="22"/>
        </w:rPr>
      </w:pPr>
      <w:r w:rsidRPr="00463EE9">
        <w:rPr>
          <w:sz w:val="22"/>
          <w:szCs w:val="22"/>
        </w:rPr>
        <w:t>Postać produkt</w:t>
      </w:r>
      <w:r w:rsidR="00BB2BA6">
        <w:rPr>
          <w:sz w:val="22"/>
          <w:szCs w:val="22"/>
        </w:rPr>
        <w:t>u</w:t>
      </w:r>
      <w:r w:rsidRPr="00463EE9">
        <w:rPr>
          <w:sz w:val="22"/>
          <w:szCs w:val="22"/>
        </w:rPr>
        <w:t xml:space="preserve"> leczniczego – żel, umożliwia rozprowadzenie mniejszej dawki </w:t>
      </w:r>
      <w:r w:rsidR="00F35DBB">
        <w:rPr>
          <w:sz w:val="22"/>
          <w:szCs w:val="22"/>
        </w:rPr>
        <w:t xml:space="preserve">produktu leczniczego </w:t>
      </w:r>
      <w:r w:rsidRPr="00463EE9">
        <w:rPr>
          <w:sz w:val="22"/>
          <w:szCs w:val="22"/>
        </w:rPr>
        <w:t xml:space="preserve">na większej powierzchni skóry niż podczas stosowania produktu </w:t>
      </w:r>
      <w:r w:rsidR="00F35DBB">
        <w:rPr>
          <w:sz w:val="22"/>
          <w:szCs w:val="22"/>
        </w:rPr>
        <w:t xml:space="preserve">leczniczego </w:t>
      </w:r>
      <w:r w:rsidRPr="00463EE9">
        <w:rPr>
          <w:sz w:val="22"/>
          <w:szCs w:val="22"/>
        </w:rPr>
        <w:t>w postaci maści, oraz zastosowanie produktu</w:t>
      </w:r>
      <w:r w:rsidR="00F35DBB" w:rsidRPr="00F35DBB">
        <w:rPr>
          <w:sz w:val="22"/>
          <w:szCs w:val="22"/>
        </w:rPr>
        <w:t xml:space="preserve"> </w:t>
      </w:r>
      <w:r w:rsidR="00F35DBB">
        <w:rPr>
          <w:sz w:val="22"/>
          <w:szCs w:val="22"/>
        </w:rPr>
        <w:t>leczniczego</w:t>
      </w:r>
      <w:r w:rsidRPr="00463EE9">
        <w:rPr>
          <w:sz w:val="22"/>
          <w:szCs w:val="22"/>
        </w:rPr>
        <w:t xml:space="preserve"> na skórę owłosioną. </w:t>
      </w:r>
    </w:p>
    <w:p w14:paraId="64EAEA93" w14:textId="77777777" w:rsidR="00257420" w:rsidRPr="00463EE9" w:rsidRDefault="00257420">
      <w:pPr>
        <w:rPr>
          <w:sz w:val="22"/>
          <w:szCs w:val="22"/>
        </w:rPr>
      </w:pPr>
    </w:p>
    <w:p w14:paraId="64EAEA94" w14:textId="77777777" w:rsidR="00257420" w:rsidRPr="00463EE9" w:rsidRDefault="00257420">
      <w:pPr>
        <w:rPr>
          <w:sz w:val="22"/>
          <w:szCs w:val="22"/>
        </w:rPr>
      </w:pPr>
      <w:r w:rsidRPr="00463EE9">
        <w:rPr>
          <w:sz w:val="22"/>
          <w:szCs w:val="22"/>
        </w:rPr>
        <w:t>Flucinar w postaci żelu może być również stosowany u pacjentów źle tolerujących podłoże maści.</w:t>
      </w:r>
    </w:p>
    <w:p w14:paraId="64EAEA95" w14:textId="77777777" w:rsidR="00257420" w:rsidRPr="00463EE9" w:rsidRDefault="00257420">
      <w:pPr>
        <w:rPr>
          <w:sz w:val="22"/>
          <w:szCs w:val="22"/>
        </w:rPr>
      </w:pPr>
    </w:p>
    <w:p w14:paraId="64EAEA96" w14:textId="77777777" w:rsidR="00257420" w:rsidRPr="00463EE9" w:rsidRDefault="00257420">
      <w:pPr>
        <w:rPr>
          <w:sz w:val="22"/>
          <w:szCs w:val="22"/>
        </w:rPr>
      </w:pPr>
      <w:r w:rsidRPr="00463EE9">
        <w:rPr>
          <w:b/>
          <w:sz w:val="22"/>
          <w:szCs w:val="22"/>
        </w:rPr>
        <w:t>4.2 Dawkowanie i sposób podawania</w:t>
      </w:r>
    </w:p>
    <w:p w14:paraId="64EAEA97" w14:textId="77777777" w:rsidR="009D70A2" w:rsidRDefault="009D70A2">
      <w:pPr>
        <w:rPr>
          <w:sz w:val="22"/>
          <w:szCs w:val="22"/>
        </w:rPr>
      </w:pPr>
    </w:p>
    <w:p w14:paraId="64EAEA98" w14:textId="77777777" w:rsidR="003356A9" w:rsidRPr="009B2ACC" w:rsidRDefault="003356A9" w:rsidP="003356A9">
      <w:pPr>
        <w:rPr>
          <w:sz w:val="22"/>
          <w:szCs w:val="22"/>
          <w:u w:val="single"/>
        </w:rPr>
      </w:pPr>
      <w:r w:rsidRPr="009B2ACC">
        <w:rPr>
          <w:sz w:val="22"/>
          <w:szCs w:val="22"/>
          <w:u w:val="single"/>
        </w:rPr>
        <w:lastRenderedPageBreak/>
        <w:t>Dawkowanie</w:t>
      </w:r>
    </w:p>
    <w:p w14:paraId="64EAEA99" w14:textId="77777777" w:rsidR="00257420" w:rsidRPr="00463EE9" w:rsidRDefault="00257420">
      <w:pPr>
        <w:rPr>
          <w:sz w:val="22"/>
          <w:szCs w:val="22"/>
        </w:rPr>
      </w:pPr>
      <w:r w:rsidRPr="00463EE9">
        <w:rPr>
          <w:sz w:val="22"/>
          <w:szCs w:val="22"/>
        </w:rPr>
        <w:t xml:space="preserve">Flucinar w postaci żelu nakłada się cienką warstwą na chorobowo zmienione miejsca na skórze początkowo od dwóch do trzech razy na dobę, a następnie po ustąpieniu ostrego stanu zapalnego nie częściej niż raz lub dwa razy na dobę. </w:t>
      </w:r>
    </w:p>
    <w:p w14:paraId="64EAEA9A" w14:textId="77777777" w:rsidR="00257420" w:rsidRPr="00463EE9" w:rsidRDefault="00257420">
      <w:pPr>
        <w:rPr>
          <w:sz w:val="22"/>
          <w:szCs w:val="22"/>
        </w:rPr>
      </w:pPr>
      <w:r w:rsidRPr="00463EE9">
        <w:rPr>
          <w:sz w:val="22"/>
          <w:szCs w:val="22"/>
        </w:rPr>
        <w:t xml:space="preserve">Leczenia nie należy prowadzić bez przerwy dłużej niż 2 tygodnie. </w:t>
      </w:r>
    </w:p>
    <w:p w14:paraId="64EAEA9B" w14:textId="77777777" w:rsidR="00257420" w:rsidRPr="00463EE9" w:rsidRDefault="00257420">
      <w:pPr>
        <w:rPr>
          <w:sz w:val="22"/>
          <w:szCs w:val="22"/>
        </w:rPr>
      </w:pPr>
      <w:r w:rsidRPr="00463EE9">
        <w:rPr>
          <w:sz w:val="22"/>
          <w:szCs w:val="22"/>
        </w:rPr>
        <w:t xml:space="preserve">Na skórę twarzy nie stosować dłużej niż 1 tydzień. </w:t>
      </w:r>
    </w:p>
    <w:p w14:paraId="64EAEA9C" w14:textId="77777777" w:rsidR="00257420" w:rsidRPr="00463EE9" w:rsidRDefault="00257420">
      <w:pPr>
        <w:rPr>
          <w:sz w:val="22"/>
          <w:szCs w:val="22"/>
        </w:rPr>
      </w:pPr>
      <w:r w:rsidRPr="00463EE9">
        <w:rPr>
          <w:sz w:val="22"/>
          <w:szCs w:val="22"/>
        </w:rPr>
        <w:t>W ciągu jednego tygodnia można zużyć nie więcej niż 1 tubę (</w:t>
      </w:r>
      <w:smartTag w:uri="urn:schemas-microsoft-com:office:smarttags" w:element="metricconverter">
        <w:smartTagPr>
          <w:attr w:name="ProductID" w:val="15 g"/>
        </w:smartTagPr>
        <w:r w:rsidRPr="00463EE9">
          <w:rPr>
            <w:sz w:val="22"/>
            <w:szCs w:val="22"/>
          </w:rPr>
          <w:t>15 g</w:t>
        </w:r>
      </w:smartTag>
      <w:r w:rsidRPr="00463EE9">
        <w:rPr>
          <w:sz w:val="22"/>
          <w:szCs w:val="22"/>
        </w:rPr>
        <w:t>) żelu.</w:t>
      </w:r>
    </w:p>
    <w:p w14:paraId="64EAEA9D" w14:textId="37DFCD4B" w:rsidR="00257420" w:rsidRPr="00463EE9" w:rsidRDefault="00257420">
      <w:pPr>
        <w:rPr>
          <w:i/>
          <w:sz w:val="22"/>
          <w:szCs w:val="22"/>
        </w:rPr>
      </w:pPr>
    </w:p>
    <w:p w14:paraId="64EAEA9F" w14:textId="77777777" w:rsidR="00257420" w:rsidRPr="00DF4FD0" w:rsidRDefault="00257420">
      <w:pPr>
        <w:rPr>
          <w:i/>
          <w:sz w:val="22"/>
          <w:szCs w:val="22"/>
        </w:rPr>
      </w:pPr>
      <w:r w:rsidRPr="00DF4FD0">
        <w:rPr>
          <w:i/>
          <w:sz w:val="22"/>
          <w:szCs w:val="22"/>
        </w:rPr>
        <w:t>Dzieci</w:t>
      </w:r>
      <w:r w:rsidR="00C200AC" w:rsidRPr="00DF4FD0">
        <w:rPr>
          <w:i/>
          <w:sz w:val="22"/>
          <w:szCs w:val="22"/>
        </w:rPr>
        <w:t xml:space="preserve"> i młodzież</w:t>
      </w:r>
    </w:p>
    <w:p w14:paraId="64EAEAA0" w14:textId="1FD384B3" w:rsidR="00257420" w:rsidRPr="00463EE9" w:rsidRDefault="00257420">
      <w:pPr>
        <w:rPr>
          <w:sz w:val="22"/>
          <w:szCs w:val="22"/>
        </w:rPr>
      </w:pPr>
      <w:r w:rsidRPr="00463EE9">
        <w:rPr>
          <w:sz w:val="22"/>
          <w:szCs w:val="22"/>
        </w:rPr>
        <w:t xml:space="preserve">Nie stosować u dzieci w wieku </w:t>
      </w:r>
      <w:r w:rsidR="00A741FA">
        <w:rPr>
          <w:sz w:val="22"/>
          <w:szCs w:val="22"/>
        </w:rPr>
        <w:t>poniżej</w:t>
      </w:r>
      <w:r w:rsidRPr="00463EE9">
        <w:rPr>
          <w:sz w:val="22"/>
          <w:szCs w:val="22"/>
        </w:rPr>
        <w:t xml:space="preserve"> 2 lat</w:t>
      </w:r>
      <w:r w:rsidR="00384280">
        <w:rPr>
          <w:sz w:val="22"/>
          <w:szCs w:val="22"/>
        </w:rPr>
        <w:t xml:space="preserve"> (patrz punkt 4.3 </w:t>
      </w:r>
      <w:r w:rsidR="00334B23">
        <w:rPr>
          <w:sz w:val="22"/>
          <w:szCs w:val="22"/>
        </w:rPr>
        <w:t>P</w:t>
      </w:r>
      <w:r w:rsidR="00384280">
        <w:rPr>
          <w:sz w:val="22"/>
          <w:szCs w:val="22"/>
        </w:rPr>
        <w:t>rzeciwwskazania)</w:t>
      </w:r>
      <w:r w:rsidRPr="00463EE9">
        <w:rPr>
          <w:sz w:val="22"/>
          <w:szCs w:val="22"/>
        </w:rPr>
        <w:t>.</w:t>
      </w:r>
    </w:p>
    <w:p w14:paraId="64EAEAA1" w14:textId="77777777" w:rsidR="00257420" w:rsidRPr="00463EE9" w:rsidRDefault="00257420">
      <w:pPr>
        <w:rPr>
          <w:sz w:val="22"/>
          <w:szCs w:val="22"/>
        </w:rPr>
      </w:pPr>
      <w:r w:rsidRPr="00463EE9">
        <w:rPr>
          <w:sz w:val="22"/>
          <w:szCs w:val="22"/>
        </w:rPr>
        <w:t xml:space="preserve">U dzieci w wieku 2 lat </w:t>
      </w:r>
      <w:r w:rsidR="00A741FA">
        <w:rPr>
          <w:sz w:val="22"/>
          <w:szCs w:val="22"/>
        </w:rPr>
        <w:t xml:space="preserve">i powyżej </w:t>
      </w:r>
      <w:r w:rsidRPr="00463EE9">
        <w:rPr>
          <w:sz w:val="22"/>
          <w:szCs w:val="22"/>
        </w:rPr>
        <w:t xml:space="preserve">stosować bardzo ostrożnie, tylko w przypadku bezwzględnej konieczności - raz na dobę, na niewielką powierzchnię skóry. </w:t>
      </w:r>
    </w:p>
    <w:p w14:paraId="64EAEAA2" w14:textId="63692545" w:rsidR="00257420" w:rsidRDefault="00257420">
      <w:pPr>
        <w:rPr>
          <w:sz w:val="22"/>
          <w:szCs w:val="22"/>
        </w:rPr>
      </w:pPr>
      <w:r w:rsidRPr="00463EE9">
        <w:rPr>
          <w:sz w:val="22"/>
          <w:szCs w:val="22"/>
        </w:rPr>
        <w:t>U dzieci nie stosować na skórę twarzy.</w:t>
      </w:r>
    </w:p>
    <w:p w14:paraId="53C7A86C" w14:textId="2D9527B4" w:rsidR="00384280" w:rsidRDefault="00384280">
      <w:pPr>
        <w:rPr>
          <w:sz w:val="22"/>
          <w:szCs w:val="22"/>
        </w:rPr>
      </w:pPr>
    </w:p>
    <w:p w14:paraId="4E20F084" w14:textId="0025F0EA" w:rsidR="00384280" w:rsidRPr="00F56C68" w:rsidRDefault="00384280">
      <w:pPr>
        <w:rPr>
          <w:sz w:val="22"/>
          <w:szCs w:val="22"/>
          <w:u w:val="single"/>
        </w:rPr>
      </w:pPr>
      <w:r w:rsidRPr="00F56C68">
        <w:rPr>
          <w:sz w:val="22"/>
          <w:szCs w:val="22"/>
          <w:u w:val="single"/>
        </w:rPr>
        <w:t>Sposób podawania</w:t>
      </w:r>
    </w:p>
    <w:p w14:paraId="4A97EE57" w14:textId="10968153" w:rsidR="00384280" w:rsidRDefault="00EB3FDE">
      <w:pPr>
        <w:rPr>
          <w:sz w:val="22"/>
          <w:szCs w:val="22"/>
        </w:rPr>
      </w:pPr>
      <w:r>
        <w:rPr>
          <w:sz w:val="22"/>
          <w:szCs w:val="22"/>
        </w:rPr>
        <w:t xml:space="preserve">Podanie </w:t>
      </w:r>
      <w:r w:rsidR="00384280">
        <w:rPr>
          <w:sz w:val="22"/>
          <w:szCs w:val="22"/>
        </w:rPr>
        <w:t>na skórę</w:t>
      </w:r>
    </w:p>
    <w:p w14:paraId="42CA2EF8" w14:textId="6178B4B0" w:rsidR="00384280" w:rsidRDefault="00384280">
      <w:pPr>
        <w:rPr>
          <w:sz w:val="22"/>
          <w:szCs w:val="22"/>
        </w:rPr>
      </w:pPr>
    </w:p>
    <w:p w14:paraId="590FBDC3" w14:textId="77777777" w:rsidR="00384280" w:rsidRPr="00384280" w:rsidRDefault="00384280" w:rsidP="00384280">
      <w:pPr>
        <w:rPr>
          <w:sz w:val="22"/>
          <w:szCs w:val="22"/>
        </w:rPr>
      </w:pPr>
      <w:r w:rsidRPr="00384280">
        <w:rPr>
          <w:sz w:val="22"/>
          <w:szCs w:val="22"/>
        </w:rPr>
        <w:t>Nanieść cienką warstwę żelu na zmienione chorobowo miejsce na skórze.</w:t>
      </w:r>
    </w:p>
    <w:p w14:paraId="4BEFC8CA" w14:textId="77777777" w:rsidR="00384280" w:rsidRPr="00384280" w:rsidRDefault="00384280" w:rsidP="00384280">
      <w:pPr>
        <w:rPr>
          <w:sz w:val="22"/>
          <w:szCs w:val="22"/>
        </w:rPr>
      </w:pPr>
      <w:r w:rsidRPr="00384280">
        <w:rPr>
          <w:sz w:val="22"/>
          <w:szCs w:val="22"/>
        </w:rPr>
        <w:t>Jeśli konieczna jest głębsza penetracja substancji czynnej, żel można delikatnie wcierać w skórę w miejscu aplikacji.</w:t>
      </w:r>
    </w:p>
    <w:p w14:paraId="6EB8A08C" w14:textId="48F6DD40" w:rsidR="00384280" w:rsidRPr="00463EE9" w:rsidRDefault="00384280" w:rsidP="00384280">
      <w:pPr>
        <w:rPr>
          <w:sz w:val="22"/>
          <w:szCs w:val="22"/>
        </w:rPr>
      </w:pPr>
      <w:r w:rsidRPr="00384280">
        <w:rPr>
          <w:sz w:val="22"/>
          <w:szCs w:val="22"/>
        </w:rPr>
        <w:t>Nie należy stosować opatrunków okluzyjnych. Jeśli zastosowanie opatrunku jest konieczne, należy użyć opatrunku przepuszczającego powietrze.</w:t>
      </w:r>
    </w:p>
    <w:p w14:paraId="64EAEAA3" w14:textId="77777777" w:rsidR="00257420" w:rsidRPr="00463EE9" w:rsidRDefault="00257420">
      <w:pPr>
        <w:rPr>
          <w:sz w:val="22"/>
          <w:szCs w:val="22"/>
        </w:rPr>
      </w:pPr>
    </w:p>
    <w:p w14:paraId="64EAEAA4" w14:textId="77777777" w:rsidR="00257420" w:rsidRDefault="00257420">
      <w:pPr>
        <w:rPr>
          <w:b/>
          <w:sz w:val="22"/>
          <w:szCs w:val="22"/>
        </w:rPr>
      </w:pPr>
      <w:r w:rsidRPr="00463EE9">
        <w:rPr>
          <w:b/>
          <w:sz w:val="22"/>
          <w:szCs w:val="22"/>
        </w:rPr>
        <w:t>4.3 Przeciwwskazania</w:t>
      </w:r>
    </w:p>
    <w:p w14:paraId="64EAEAA6" w14:textId="3E2880FE" w:rsidR="003356A9" w:rsidRPr="0039788F" w:rsidRDefault="003356A9" w:rsidP="003356A9">
      <w:pPr>
        <w:rPr>
          <w:sz w:val="22"/>
          <w:szCs w:val="22"/>
        </w:rPr>
      </w:pPr>
    </w:p>
    <w:p w14:paraId="64EAEAA7" w14:textId="44ABEA50" w:rsidR="00257420" w:rsidRPr="00463EE9" w:rsidRDefault="00257420">
      <w:pPr>
        <w:rPr>
          <w:sz w:val="22"/>
          <w:szCs w:val="22"/>
        </w:rPr>
      </w:pPr>
      <w:r w:rsidRPr="00463EE9">
        <w:rPr>
          <w:sz w:val="22"/>
          <w:szCs w:val="22"/>
        </w:rPr>
        <w:t xml:space="preserve">- </w:t>
      </w:r>
      <w:r w:rsidR="0009311B">
        <w:rPr>
          <w:sz w:val="22"/>
          <w:szCs w:val="22"/>
        </w:rPr>
        <w:t>N</w:t>
      </w:r>
      <w:r w:rsidRPr="00463EE9">
        <w:rPr>
          <w:sz w:val="22"/>
          <w:szCs w:val="22"/>
        </w:rPr>
        <w:t>adwrażliwoś</w:t>
      </w:r>
      <w:r w:rsidR="0009311B">
        <w:rPr>
          <w:sz w:val="22"/>
          <w:szCs w:val="22"/>
        </w:rPr>
        <w:t>ć</w:t>
      </w:r>
      <w:r w:rsidRPr="00463EE9">
        <w:rPr>
          <w:sz w:val="22"/>
          <w:szCs w:val="22"/>
        </w:rPr>
        <w:t xml:space="preserve"> na fluocinolonu acetonid lub inne glikokortykosteroidy, lub na którąkolwiek substancję pomocniczą </w:t>
      </w:r>
      <w:r w:rsidR="0009311B">
        <w:rPr>
          <w:sz w:val="22"/>
          <w:szCs w:val="22"/>
        </w:rPr>
        <w:t>wymienioną w punkcie 6.1,</w:t>
      </w:r>
    </w:p>
    <w:p w14:paraId="64EAEAA8" w14:textId="77777777" w:rsidR="00257420" w:rsidRPr="00463EE9" w:rsidRDefault="00257420">
      <w:pPr>
        <w:rPr>
          <w:sz w:val="22"/>
          <w:szCs w:val="22"/>
        </w:rPr>
      </w:pPr>
      <w:r w:rsidRPr="00463EE9">
        <w:rPr>
          <w:sz w:val="22"/>
          <w:szCs w:val="22"/>
        </w:rPr>
        <w:t>- bakteryjn</w:t>
      </w:r>
      <w:r w:rsidR="0009311B">
        <w:rPr>
          <w:sz w:val="22"/>
          <w:szCs w:val="22"/>
        </w:rPr>
        <w:t>e</w:t>
      </w:r>
      <w:r w:rsidRPr="00463EE9">
        <w:rPr>
          <w:sz w:val="22"/>
          <w:szCs w:val="22"/>
        </w:rPr>
        <w:t>, wirusow</w:t>
      </w:r>
      <w:r w:rsidR="0009311B">
        <w:rPr>
          <w:sz w:val="22"/>
          <w:szCs w:val="22"/>
        </w:rPr>
        <w:t>e</w:t>
      </w:r>
      <w:r w:rsidRPr="00463EE9">
        <w:rPr>
          <w:sz w:val="22"/>
          <w:szCs w:val="22"/>
        </w:rPr>
        <w:t xml:space="preserve"> lub grzybicz</w:t>
      </w:r>
      <w:r w:rsidR="0009311B">
        <w:rPr>
          <w:sz w:val="22"/>
          <w:szCs w:val="22"/>
        </w:rPr>
        <w:t>e</w:t>
      </w:r>
      <w:r w:rsidRPr="00463EE9">
        <w:rPr>
          <w:sz w:val="22"/>
          <w:szCs w:val="22"/>
        </w:rPr>
        <w:t xml:space="preserve"> zakażenia skóry, </w:t>
      </w:r>
    </w:p>
    <w:p w14:paraId="64EAEAA9" w14:textId="77777777" w:rsidR="00257420" w:rsidRPr="00463EE9" w:rsidRDefault="00257420">
      <w:pPr>
        <w:rPr>
          <w:sz w:val="22"/>
          <w:szCs w:val="22"/>
        </w:rPr>
      </w:pPr>
      <w:r w:rsidRPr="00463EE9">
        <w:rPr>
          <w:sz w:val="22"/>
          <w:szCs w:val="22"/>
        </w:rPr>
        <w:t xml:space="preserve">- trądzik zwykły i różowaty, </w:t>
      </w:r>
    </w:p>
    <w:p w14:paraId="64EAEAAA" w14:textId="77777777" w:rsidR="00257420" w:rsidRPr="00463EE9" w:rsidRDefault="00257420">
      <w:pPr>
        <w:rPr>
          <w:sz w:val="22"/>
          <w:szCs w:val="22"/>
        </w:rPr>
      </w:pPr>
      <w:r w:rsidRPr="00463EE9">
        <w:rPr>
          <w:sz w:val="22"/>
          <w:szCs w:val="22"/>
        </w:rPr>
        <w:t>- zapaleni</w:t>
      </w:r>
      <w:r w:rsidR="0009311B">
        <w:rPr>
          <w:sz w:val="22"/>
          <w:szCs w:val="22"/>
        </w:rPr>
        <w:t>e</w:t>
      </w:r>
      <w:r w:rsidRPr="00463EE9">
        <w:rPr>
          <w:sz w:val="22"/>
          <w:szCs w:val="22"/>
        </w:rPr>
        <w:t xml:space="preserve"> skóry dookoła ust (</w:t>
      </w:r>
      <w:r w:rsidRPr="00463EE9">
        <w:rPr>
          <w:i/>
          <w:sz w:val="22"/>
          <w:szCs w:val="22"/>
        </w:rPr>
        <w:t>dermatitis perioralis)</w:t>
      </w:r>
      <w:r w:rsidRPr="00463EE9">
        <w:rPr>
          <w:sz w:val="22"/>
          <w:szCs w:val="22"/>
        </w:rPr>
        <w:t xml:space="preserve">, </w:t>
      </w:r>
    </w:p>
    <w:p w14:paraId="64EAEAAC" w14:textId="637CA04E" w:rsidR="00257420" w:rsidRPr="00463EE9" w:rsidRDefault="00257420">
      <w:pPr>
        <w:rPr>
          <w:sz w:val="22"/>
          <w:szCs w:val="22"/>
        </w:rPr>
      </w:pPr>
      <w:r w:rsidRPr="00463EE9">
        <w:rPr>
          <w:sz w:val="22"/>
          <w:szCs w:val="22"/>
        </w:rPr>
        <w:t>- u dzieci w wieku poniżej 2 lat</w:t>
      </w:r>
      <w:r w:rsidR="00015075">
        <w:rPr>
          <w:sz w:val="22"/>
          <w:szCs w:val="22"/>
        </w:rPr>
        <w:t>.</w:t>
      </w:r>
    </w:p>
    <w:p w14:paraId="64EAEAAF" w14:textId="77777777" w:rsidR="00257420" w:rsidRPr="00463EE9" w:rsidRDefault="00257420">
      <w:pPr>
        <w:rPr>
          <w:sz w:val="22"/>
          <w:szCs w:val="22"/>
        </w:rPr>
      </w:pPr>
    </w:p>
    <w:p w14:paraId="64EAEAB0" w14:textId="77777777" w:rsidR="00257420" w:rsidRPr="00463EE9" w:rsidRDefault="00257420">
      <w:pPr>
        <w:rPr>
          <w:b/>
          <w:sz w:val="22"/>
          <w:szCs w:val="22"/>
        </w:rPr>
      </w:pPr>
      <w:r w:rsidRPr="00463EE9">
        <w:rPr>
          <w:b/>
          <w:sz w:val="22"/>
          <w:szCs w:val="22"/>
        </w:rPr>
        <w:t>4.4 Specjalne ostrzeżenia i środki ostrożności dotyczące stosowania</w:t>
      </w:r>
    </w:p>
    <w:p w14:paraId="64EAEAB1" w14:textId="77777777" w:rsidR="009D70A2" w:rsidRDefault="009D70A2">
      <w:pPr>
        <w:rPr>
          <w:sz w:val="22"/>
          <w:szCs w:val="22"/>
        </w:rPr>
      </w:pPr>
    </w:p>
    <w:p w14:paraId="64EAEAB2" w14:textId="77777777" w:rsidR="00257420" w:rsidRPr="00463EE9" w:rsidRDefault="00257420">
      <w:pPr>
        <w:rPr>
          <w:sz w:val="22"/>
          <w:szCs w:val="22"/>
        </w:rPr>
      </w:pPr>
      <w:r w:rsidRPr="00463EE9">
        <w:rPr>
          <w:sz w:val="22"/>
          <w:szCs w:val="22"/>
        </w:rPr>
        <w:t>Jeżeli po zastosowaniu produktu leczniczego Flucinar żel wystąpią objawy podrażnienia lub skórna reakcja alergiczna, należy natychmiast zaprzestać jego stosowania.</w:t>
      </w:r>
    </w:p>
    <w:p w14:paraId="64EAEAB3" w14:textId="77777777" w:rsidR="00257420" w:rsidRPr="00463EE9" w:rsidRDefault="00257420">
      <w:pPr>
        <w:rPr>
          <w:sz w:val="22"/>
          <w:szCs w:val="22"/>
        </w:rPr>
      </w:pPr>
      <w:r w:rsidRPr="00463EE9">
        <w:rPr>
          <w:sz w:val="22"/>
          <w:szCs w:val="22"/>
        </w:rPr>
        <w:t xml:space="preserve">Nie stosować produktu leczniczego bez przerwy dłużej niż 2 tygodnie. </w:t>
      </w:r>
    </w:p>
    <w:p w14:paraId="64EAEAB4" w14:textId="4A80F591" w:rsidR="00257420" w:rsidRPr="00463EE9" w:rsidRDefault="00257420">
      <w:pPr>
        <w:rPr>
          <w:sz w:val="22"/>
          <w:szCs w:val="22"/>
        </w:rPr>
      </w:pPr>
      <w:r w:rsidRPr="00463EE9">
        <w:rPr>
          <w:sz w:val="22"/>
          <w:szCs w:val="22"/>
        </w:rPr>
        <w:t>Podczas długotrwałego stosowani</w:t>
      </w:r>
      <w:r w:rsidR="00953FA7">
        <w:rPr>
          <w:sz w:val="22"/>
          <w:szCs w:val="22"/>
        </w:rPr>
        <w:t>a</w:t>
      </w:r>
      <w:r w:rsidRPr="00463EE9">
        <w:rPr>
          <w:sz w:val="22"/>
          <w:szCs w:val="22"/>
        </w:rPr>
        <w:t xml:space="preserve"> na dużą powierzchnię skóry, zwiększa się częstość występowania ogólnych działań niepożądanych charakterystycznych dla kortykosteroidów, w tym obrzęków, nadciśnienia</w:t>
      </w:r>
      <w:r w:rsidR="00591A45">
        <w:rPr>
          <w:sz w:val="22"/>
          <w:szCs w:val="22"/>
        </w:rPr>
        <w:t xml:space="preserve"> tętniczego</w:t>
      </w:r>
      <w:r w:rsidRPr="00463EE9">
        <w:rPr>
          <w:sz w:val="22"/>
          <w:szCs w:val="22"/>
        </w:rPr>
        <w:t>, hiperglikemii, zmniejszenia odporności.</w:t>
      </w:r>
    </w:p>
    <w:p w14:paraId="64EAEAB5" w14:textId="247BB0DC" w:rsidR="00257420" w:rsidRDefault="00257420">
      <w:pPr>
        <w:rPr>
          <w:sz w:val="22"/>
          <w:szCs w:val="22"/>
        </w:rPr>
      </w:pPr>
      <w:r w:rsidRPr="00463EE9">
        <w:rPr>
          <w:sz w:val="22"/>
          <w:szCs w:val="22"/>
        </w:rPr>
        <w:t>Ze względu na to, że kortykosteroidy wchłaniają się przez skórę, należy unikać stosowania produktu leczniczego na dużą powierzchnię ciała, pod opatrunkami okluzyjnymi, długotrwałego leczenia produktem</w:t>
      </w:r>
      <w:r w:rsidR="005B0493">
        <w:rPr>
          <w:sz w:val="22"/>
          <w:szCs w:val="22"/>
        </w:rPr>
        <w:t xml:space="preserve"> leczniczym</w:t>
      </w:r>
      <w:r w:rsidR="0009311B">
        <w:rPr>
          <w:sz w:val="22"/>
          <w:szCs w:val="22"/>
        </w:rPr>
        <w:t>.</w:t>
      </w:r>
    </w:p>
    <w:p w14:paraId="383CBC4B" w14:textId="0D1050F5" w:rsidR="00384280" w:rsidRDefault="00384280">
      <w:pPr>
        <w:rPr>
          <w:sz w:val="22"/>
          <w:szCs w:val="22"/>
        </w:rPr>
      </w:pPr>
    </w:p>
    <w:p w14:paraId="45FE73F6" w14:textId="4ADE488F" w:rsidR="00384280" w:rsidRDefault="00384280">
      <w:pPr>
        <w:rPr>
          <w:sz w:val="22"/>
          <w:szCs w:val="22"/>
        </w:rPr>
      </w:pPr>
      <w:r w:rsidRPr="00384280">
        <w:rPr>
          <w:sz w:val="22"/>
          <w:szCs w:val="22"/>
        </w:rPr>
        <w:t xml:space="preserve">Pod wpływem stosowanego miejscowo </w:t>
      </w:r>
      <w:r w:rsidR="00E93106" w:rsidRPr="00384280">
        <w:rPr>
          <w:sz w:val="22"/>
          <w:szCs w:val="22"/>
        </w:rPr>
        <w:t xml:space="preserve">fluocinolonu </w:t>
      </w:r>
      <w:r w:rsidRPr="00384280">
        <w:rPr>
          <w:sz w:val="22"/>
          <w:szCs w:val="22"/>
        </w:rPr>
        <w:t>acetonidu, wydzielanie hormonu adrenokortykotropowego (ACTH) z przysadki mózgowej może być zmniejszone w wyniku zahamowania osi podwzgórze-przysadka-nadnercza, co prowadzi do zmniejszenia stężenia kortyzolu w surowicy i rozwoju jatrogennego zespołu Cushinga, który ustępuje po przerwaniu leczenia (patrz punkt 4.8 Działania niepożądane).</w:t>
      </w:r>
    </w:p>
    <w:p w14:paraId="64EAEAB6" w14:textId="77777777" w:rsidR="0009311B" w:rsidRDefault="0009311B">
      <w:pPr>
        <w:rPr>
          <w:sz w:val="22"/>
          <w:szCs w:val="22"/>
        </w:rPr>
      </w:pPr>
    </w:p>
    <w:p w14:paraId="64EAEAB7" w14:textId="77777777" w:rsidR="00257420" w:rsidRPr="00463EE9" w:rsidRDefault="00257420">
      <w:pPr>
        <w:rPr>
          <w:sz w:val="22"/>
          <w:szCs w:val="22"/>
        </w:rPr>
      </w:pPr>
      <w:r w:rsidRPr="00463EE9">
        <w:rPr>
          <w:sz w:val="22"/>
          <w:szCs w:val="22"/>
        </w:rPr>
        <w:t>Wskazana jest okresowa kontrola czynności kory nadnerczy przez oznaczanie kortyzolu we krwi i w</w:t>
      </w:r>
      <w:r w:rsidR="00463EE9">
        <w:rPr>
          <w:sz w:val="22"/>
          <w:szCs w:val="22"/>
        </w:rPr>
        <w:t> </w:t>
      </w:r>
      <w:r w:rsidRPr="00463EE9">
        <w:rPr>
          <w:sz w:val="22"/>
          <w:szCs w:val="22"/>
        </w:rPr>
        <w:t>moczu po stymulacji nadnerczy przez ACTH.</w:t>
      </w:r>
    </w:p>
    <w:p w14:paraId="64EAEAB8" w14:textId="77777777" w:rsidR="00257420" w:rsidRPr="00463EE9" w:rsidRDefault="00257420">
      <w:pPr>
        <w:rPr>
          <w:sz w:val="22"/>
          <w:szCs w:val="22"/>
        </w:rPr>
      </w:pPr>
      <w:r w:rsidRPr="00463EE9">
        <w:rPr>
          <w:sz w:val="22"/>
          <w:szCs w:val="22"/>
        </w:rPr>
        <w:t>Jeśli wystąpi zakażenie w miejscu stosowania produktu leczniczego, należy zastosować odpowiednie leczenie przeciwbakteryjne lub przeciwgrzybicze. Jeżeli objawy zakażenia nie ustąpią, należy przerwać stosowanie produktu leczniczego do czasu wyleczenia zakażenia.</w:t>
      </w:r>
    </w:p>
    <w:p w14:paraId="64EAEAB9" w14:textId="6C4C68C7" w:rsidR="00257420" w:rsidRPr="00463EE9" w:rsidRDefault="00257420">
      <w:pPr>
        <w:rPr>
          <w:sz w:val="22"/>
          <w:szCs w:val="22"/>
        </w:rPr>
      </w:pPr>
      <w:r w:rsidRPr="00463EE9">
        <w:rPr>
          <w:sz w:val="22"/>
          <w:szCs w:val="22"/>
        </w:rPr>
        <w:t>Należy unikać kontaktu produktu</w:t>
      </w:r>
      <w:r w:rsidR="005B0493">
        <w:rPr>
          <w:sz w:val="22"/>
          <w:szCs w:val="22"/>
        </w:rPr>
        <w:t xml:space="preserve"> leczniczego</w:t>
      </w:r>
      <w:r w:rsidRPr="00463EE9">
        <w:rPr>
          <w:sz w:val="22"/>
          <w:szCs w:val="22"/>
        </w:rPr>
        <w:t xml:space="preserve"> z oczami, błonami śluzowymi lub ranami. </w:t>
      </w:r>
    </w:p>
    <w:p w14:paraId="16C4201B" w14:textId="77777777" w:rsidR="006F5CDC" w:rsidRDefault="00257420">
      <w:pPr>
        <w:rPr>
          <w:sz w:val="22"/>
          <w:szCs w:val="22"/>
        </w:rPr>
      </w:pPr>
      <w:r w:rsidRPr="00463EE9">
        <w:rPr>
          <w:sz w:val="22"/>
          <w:szCs w:val="22"/>
        </w:rPr>
        <w:t xml:space="preserve">Nie stosować wokół oczu, ze względu na ryzyko wystąpienia jaskry lub zaćmy. </w:t>
      </w:r>
    </w:p>
    <w:p w14:paraId="15B032D0" w14:textId="663683D5" w:rsidR="00591A45" w:rsidRPr="00463EE9" w:rsidRDefault="006F5CDC">
      <w:pPr>
        <w:rPr>
          <w:sz w:val="22"/>
          <w:szCs w:val="22"/>
        </w:rPr>
      </w:pPr>
      <w:r>
        <w:rPr>
          <w:sz w:val="22"/>
          <w:szCs w:val="22"/>
        </w:rPr>
        <w:lastRenderedPageBreak/>
        <w:t>Należy u</w:t>
      </w:r>
      <w:r w:rsidR="00591A45" w:rsidRPr="00591A45">
        <w:rPr>
          <w:sz w:val="22"/>
          <w:szCs w:val="22"/>
        </w:rPr>
        <w:t>nikać podawania na powieki lub na skórę w okolicy powiek u pacjentów z jaskrą wąsko- lub szerokokątną, a także u pacjentów z zaćmą, ze względu na możliwość zaostrzenia objawów choroby.</w:t>
      </w:r>
      <w:r w:rsidRPr="006F5CDC">
        <w:rPr>
          <w:sz w:val="22"/>
          <w:szCs w:val="22"/>
        </w:rPr>
        <w:t xml:space="preserve"> </w:t>
      </w:r>
      <w:r w:rsidRPr="00E212D6">
        <w:rPr>
          <w:sz w:val="22"/>
          <w:szCs w:val="22"/>
        </w:rPr>
        <w:t>Należy unikać podawania do oczu.</w:t>
      </w:r>
    </w:p>
    <w:p w14:paraId="64EAEABC" w14:textId="77777777" w:rsidR="00257420" w:rsidRDefault="00257420">
      <w:pPr>
        <w:rPr>
          <w:sz w:val="22"/>
          <w:szCs w:val="22"/>
        </w:rPr>
      </w:pPr>
      <w:r w:rsidRPr="00463EE9">
        <w:rPr>
          <w:sz w:val="22"/>
          <w:szCs w:val="22"/>
        </w:rPr>
        <w:t xml:space="preserve">Na skórę twarzy oraz na skórę pach i pachwin stosować tylko w przypadkach bezwzględnie koniecznych, ze względu na zwiększone wchłanianie kortykosteroidu przez delikatną skórę i większe ryzyko wystąpienia objawów niepożądanych (teleangiektazji, </w:t>
      </w:r>
      <w:r w:rsidRPr="00463EE9">
        <w:rPr>
          <w:i/>
          <w:sz w:val="22"/>
          <w:szCs w:val="22"/>
        </w:rPr>
        <w:t>dermatitis perioralis</w:t>
      </w:r>
      <w:r w:rsidRPr="00463EE9">
        <w:rPr>
          <w:sz w:val="22"/>
          <w:szCs w:val="22"/>
        </w:rPr>
        <w:t>), nawet po krótkim stosowaniu.</w:t>
      </w:r>
    </w:p>
    <w:p w14:paraId="64EAEABD" w14:textId="77777777" w:rsidR="00A612B2" w:rsidRPr="00463EE9" w:rsidRDefault="00A612B2">
      <w:pPr>
        <w:rPr>
          <w:sz w:val="22"/>
          <w:szCs w:val="22"/>
        </w:rPr>
      </w:pPr>
    </w:p>
    <w:p w14:paraId="64EAEABE" w14:textId="77777777" w:rsidR="00257420" w:rsidRDefault="00257420">
      <w:pPr>
        <w:rPr>
          <w:sz w:val="22"/>
          <w:szCs w:val="22"/>
        </w:rPr>
      </w:pPr>
      <w:r w:rsidRPr="00463EE9">
        <w:rPr>
          <w:sz w:val="22"/>
          <w:szCs w:val="22"/>
        </w:rPr>
        <w:t>Ostrożnie stosować w już istniejących stanach zanikowych tkanki podskórnej, zwłaszcza u osób w</w:t>
      </w:r>
      <w:r w:rsidR="00463EE9">
        <w:rPr>
          <w:sz w:val="22"/>
          <w:szCs w:val="22"/>
        </w:rPr>
        <w:t> </w:t>
      </w:r>
      <w:r w:rsidRPr="00463EE9">
        <w:rPr>
          <w:sz w:val="22"/>
          <w:szCs w:val="22"/>
        </w:rPr>
        <w:t>podeszłym wieku.</w:t>
      </w:r>
    </w:p>
    <w:p w14:paraId="64EAEABF" w14:textId="77777777" w:rsidR="00A612B2" w:rsidRDefault="00A612B2">
      <w:pPr>
        <w:rPr>
          <w:sz w:val="22"/>
          <w:szCs w:val="22"/>
        </w:rPr>
      </w:pPr>
    </w:p>
    <w:p w14:paraId="64EAEAC0" w14:textId="77777777" w:rsidR="00D13ACC" w:rsidRDefault="00D13ACC" w:rsidP="00907A1F">
      <w:pPr>
        <w:keepNext/>
        <w:keepLines/>
        <w:rPr>
          <w:sz w:val="22"/>
          <w:szCs w:val="22"/>
        </w:rPr>
      </w:pPr>
      <w:r w:rsidRPr="00D13ACC">
        <w:rPr>
          <w:sz w:val="22"/>
          <w:szCs w:val="22"/>
        </w:rPr>
        <w:t xml:space="preserve">Zaburzenie widzenia </w:t>
      </w:r>
    </w:p>
    <w:p w14:paraId="64EAEAC1" w14:textId="77777777" w:rsidR="00A612B2" w:rsidRPr="00D13ACC" w:rsidRDefault="00A612B2" w:rsidP="00907A1F">
      <w:pPr>
        <w:keepNext/>
        <w:keepLines/>
        <w:rPr>
          <w:sz w:val="22"/>
          <w:szCs w:val="22"/>
        </w:rPr>
      </w:pPr>
    </w:p>
    <w:p w14:paraId="64EAEAC2" w14:textId="77777777" w:rsidR="00D13ACC" w:rsidRDefault="00D13ACC" w:rsidP="00907A1F">
      <w:pPr>
        <w:keepNext/>
        <w:keepLines/>
        <w:rPr>
          <w:sz w:val="22"/>
          <w:szCs w:val="22"/>
        </w:rPr>
      </w:pPr>
      <w:r w:rsidRPr="00D13ACC">
        <w:rPr>
          <w:sz w:val="22"/>
          <w:szCs w:val="22"/>
        </w:rPr>
        <w:t>Zaburzenia widzenia mogą wystąpić w wyniku ogólnoustrojowego i miejscowego stosowania kortykosteroidów. Jeżeli u pacjenta wystąpią takie objawy, jak nieostre widzenie lub inne zaburzenia widzenia, należy rozważyć skierowanie go do okulisty w celu ustalenia możliwych przyczyn, do których może należeć zaćma, jaskra lub rzadkie choroby, takie jak centralna chorioretinopatia surowicza (</w:t>
      </w:r>
      <w:r w:rsidR="00A612B2" w:rsidRPr="00307D25">
        <w:rPr>
          <w:bCs/>
          <w:i/>
          <w:sz w:val="22"/>
          <w:szCs w:val="18"/>
        </w:rPr>
        <w:t xml:space="preserve">ang. </w:t>
      </w:r>
      <w:r w:rsidR="00A612B2" w:rsidRPr="00307D25">
        <w:rPr>
          <w:bCs/>
          <w:i/>
          <w:sz w:val="22"/>
          <w:szCs w:val="22"/>
        </w:rPr>
        <w:t>Central Serous Chorioretinopathy</w:t>
      </w:r>
      <w:r w:rsidR="00A612B2">
        <w:rPr>
          <w:bCs/>
          <w:i/>
          <w:sz w:val="22"/>
          <w:szCs w:val="22"/>
        </w:rPr>
        <w:t>,</w:t>
      </w:r>
      <w:r w:rsidR="00A612B2" w:rsidRPr="00D13ACC">
        <w:rPr>
          <w:sz w:val="22"/>
          <w:szCs w:val="22"/>
        </w:rPr>
        <w:t xml:space="preserve"> </w:t>
      </w:r>
      <w:r w:rsidRPr="00D13ACC">
        <w:rPr>
          <w:sz w:val="22"/>
          <w:szCs w:val="22"/>
        </w:rPr>
        <w:t>CSCR), którą notowano po ogólnoustrojowym i miejscowym stosowaniu kortykosteroidów.</w:t>
      </w:r>
    </w:p>
    <w:p w14:paraId="64EAEAC3" w14:textId="77777777" w:rsidR="00A612B2" w:rsidRDefault="00A612B2" w:rsidP="00907A1F">
      <w:pPr>
        <w:keepNext/>
        <w:keepLines/>
        <w:rPr>
          <w:sz w:val="22"/>
          <w:szCs w:val="22"/>
        </w:rPr>
      </w:pPr>
    </w:p>
    <w:p w14:paraId="64EAEAC4" w14:textId="77777777" w:rsidR="0009311B" w:rsidRDefault="0009311B" w:rsidP="0009311B">
      <w:pPr>
        <w:rPr>
          <w:sz w:val="22"/>
          <w:szCs w:val="22"/>
          <w:u w:val="single"/>
        </w:rPr>
      </w:pPr>
      <w:r w:rsidRPr="002D6EBE">
        <w:rPr>
          <w:sz w:val="22"/>
          <w:szCs w:val="22"/>
          <w:u w:val="single"/>
        </w:rPr>
        <w:t>Dzieci i młodzież</w:t>
      </w:r>
    </w:p>
    <w:p w14:paraId="64EAEAC6" w14:textId="6B69CBCB" w:rsidR="0009311B" w:rsidRPr="00463EE9" w:rsidRDefault="0009311B" w:rsidP="0009311B">
      <w:pPr>
        <w:rPr>
          <w:sz w:val="22"/>
          <w:szCs w:val="22"/>
        </w:rPr>
      </w:pPr>
    </w:p>
    <w:p w14:paraId="64EAEAC7" w14:textId="5097CBBB" w:rsidR="0009311B" w:rsidRDefault="0009311B" w:rsidP="0009311B">
      <w:pPr>
        <w:rPr>
          <w:sz w:val="22"/>
          <w:szCs w:val="22"/>
        </w:rPr>
      </w:pPr>
      <w:r w:rsidRPr="00463EE9">
        <w:rPr>
          <w:sz w:val="22"/>
          <w:szCs w:val="22"/>
        </w:rPr>
        <w:t>U dzieci, ze względu na większy niż u dorosłych stosunek powierzchni ciała do masy ciała, istnieje większe ryzyko wystąpienia wywołanych ogólnoustrojowym działaniem kortykosteroidów zaburzeń czynności osi podwzgórze–przysadka</w:t>
      </w:r>
      <w:r w:rsidR="00870A2D" w:rsidRPr="00463EE9">
        <w:rPr>
          <w:sz w:val="22"/>
          <w:szCs w:val="22"/>
        </w:rPr>
        <w:t>–</w:t>
      </w:r>
      <w:r w:rsidRPr="00463EE9">
        <w:rPr>
          <w:sz w:val="22"/>
          <w:szCs w:val="22"/>
        </w:rPr>
        <w:t xml:space="preserve">nadnercza i zespołu Cushinga. Przewlekłe leczenie kortykosteroidami może zaburzać wzrost i rozwój dzieci. </w:t>
      </w:r>
    </w:p>
    <w:p w14:paraId="2603DCAB" w14:textId="77777777" w:rsidR="009F003A" w:rsidRPr="00463EE9" w:rsidRDefault="009F003A" w:rsidP="0009311B">
      <w:pPr>
        <w:rPr>
          <w:sz w:val="22"/>
          <w:szCs w:val="22"/>
        </w:rPr>
      </w:pPr>
    </w:p>
    <w:p w14:paraId="6EDF00B1" w14:textId="6065F57A" w:rsidR="009F003A" w:rsidRPr="00EC553C" w:rsidRDefault="009F003A" w:rsidP="009F003A">
      <w:pPr>
        <w:jc w:val="both"/>
        <w:rPr>
          <w:color w:val="4F81BD" w:themeColor="accent1"/>
          <w:sz w:val="22"/>
          <w:szCs w:val="22"/>
        </w:rPr>
      </w:pPr>
      <w:r>
        <w:rPr>
          <w:sz w:val="22"/>
          <w:szCs w:val="22"/>
        </w:rPr>
        <w:t>Produkt leczniczy</w:t>
      </w:r>
      <w:r w:rsidRPr="00EC553C">
        <w:rPr>
          <w:sz w:val="22"/>
          <w:szCs w:val="22"/>
        </w:rPr>
        <w:t xml:space="preserve"> zawiera 1</w:t>
      </w:r>
      <w:r>
        <w:rPr>
          <w:sz w:val="22"/>
          <w:szCs w:val="22"/>
        </w:rPr>
        <w:t>50</w:t>
      </w:r>
      <w:r w:rsidRPr="00EC553C">
        <w:rPr>
          <w:sz w:val="22"/>
          <w:szCs w:val="22"/>
        </w:rPr>
        <w:t xml:space="preserve"> mg glikolu propylenowego w </w:t>
      </w:r>
      <w:r>
        <w:rPr>
          <w:sz w:val="22"/>
          <w:szCs w:val="22"/>
        </w:rPr>
        <w:t xml:space="preserve">1 g żelu. </w:t>
      </w:r>
    </w:p>
    <w:p w14:paraId="64EAEACA" w14:textId="5A5E1EBE" w:rsidR="00257420" w:rsidRDefault="00257420">
      <w:pPr>
        <w:rPr>
          <w:sz w:val="22"/>
          <w:szCs w:val="22"/>
        </w:rPr>
      </w:pPr>
      <w:r w:rsidRPr="00463EE9">
        <w:rPr>
          <w:sz w:val="22"/>
          <w:szCs w:val="22"/>
        </w:rPr>
        <w:t xml:space="preserve">Ze względu na zawartość metylu parahydroksybenzoesanu i </w:t>
      </w:r>
      <w:r w:rsidR="006806FC">
        <w:rPr>
          <w:sz w:val="22"/>
          <w:szCs w:val="22"/>
        </w:rPr>
        <w:t xml:space="preserve">propylu </w:t>
      </w:r>
      <w:r w:rsidRPr="00463EE9">
        <w:rPr>
          <w:sz w:val="22"/>
          <w:szCs w:val="22"/>
        </w:rPr>
        <w:t>parahydroksybenzoesanu, produkt leczniczy może powodować reakcje alergiczne (możliwe reakcje typu późnego).</w:t>
      </w:r>
    </w:p>
    <w:p w14:paraId="64EAEACE" w14:textId="1831B428" w:rsidR="007353DF" w:rsidRDefault="007353DF" w:rsidP="00656D06">
      <w:pPr>
        <w:autoSpaceDE w:val="0"/>
        <w:autoSpaceDN w:val="0"/>
        <w:adjustRightInd w:val="0"/>
        <w:rPr>
          <w:sz w:val="22"/>
          <w:szCs w:val="22"/>
        </w:rPr>
      </w:pPr>
      <w:r w:rsidRPr="00EC553C">
        <w:rPr>
          <w:sz w:val="22"/>
          <w:szCs w:val="22"/>
        </w:rPr>
        <w:t xml:space="preserve">Ten </w:t>
      </w:r>
      <w:r w:rsidR="009F003A">
        <w:rPr>
          <w:sz w:val="22"/>
          <w:szCs w:val="22"/>
        </w:rPr>
        <w:t xml:space="preserve">produkt leczniczy </w:t>
      </w:r>
      <w:r w:rsidRPr="00EC553C">
        <w:rPr>
          <w:sz w:val="22"/>
          <w:szCs w:val="22"/>
        </w:rPr>
        <w:t>zawiera 1</w:t>
      </w:r>
      <w:r w:rsidR="00B64BE2">
        <w:rPr>
          <w:sz w:val="22"/>
          <w:szCs w:val="22"/>
        </w:rPr>
        <w:t>50</w:t>
      </w:r>
      <w:r w:rsidRPr="00EC553C">
        <w:rPr>
          <w:sz w:val="22"/>
          <w:szCs w:val="22"/>
        </w:rPr>
        <w:t xml:space="preserve"> mg alkoholu (etanolu) w </w:t>
      </w:r>
      <w:r w:rsidR="00B64BE2">
        <w:rPr>
          <w:sz w:val="22"/>
          <w:szCs w:val="22"/>
        </w:rPr>
        <w:t xml:space="preserve">1 g żelu. </w:t>
      </w:r>
      <w:r w:rsidR="00205A19">
        <w:rPr>
          <w:sz w:val="22"/>
          <w:szCs w:val="22"/>
        </w:rPr>
        <w:t>Ze względu na zawartość etanolu produkt leczniczy m</w:t>
      </w:r>
      <w:r w:rsidR="00335B5A" w:rsidRPr="005F408B">
        <w:rPr>
          <w:sz w:val="22"/>
          <w:szCs w:val="22"/>
        </w:rPr>
        <w:t>oże powodować pieczenie uszkodzonej sk</w:t>
      </w:r>
      <w:r w:rsidR="005E41BF">
        <w:rPr>
          <w:sz w:val="22"/>
          <w:szCs w:val="22"/>
        </w:rPr>
        <w:t>ó</w:t>
      </w:r>
      <w:r w:rsidR="00335B5A" w:rsidRPr="005F408B">
        <w:rPr>
          <w:sz w:val="22"/>
          <w:szCs w:val="22"/>
        </w:rPr>
        <w:t>ry.</w:t>
      </w:r>
    </w:p>
    <w:p w14:paraId="1C916CDB" w14:textId="0068B6CA" w:rsidR="00CA14ED" w:rsidRPr="005D2A40" w:rsidRDefault="00CA14ED" w:rsidP="00667668">
      <w:pPr>
        <w:rPr>
          <w:rStyle w:val="markedcontent"/>
          <w:sz w:val="22"/>
          <w:szCs w:val="22"/>
        </w:rPr>
      </w:pPr>
      <w:r w:rsidRPr="005D2A40">
        <w:rPr>
          <w:rStyle w:val="markedcontent"/>
          <w:sz w:val="22"/>
          <w:szCs w:val="22"/>
        </w:rPr>
        <w:t xml:space="preserve">Ze względu na łatwopalność </w:t>
      </w:r>
      <w:r w:rsidR="00F35DBB">
        <w:rPr>
          <w:rStyle w:val="markedcontent"/>
          <w:sz w:val="22"/>
          <w:szCs w:val="22"/>
        </w:rPr>
        <w:t>produktu leczniczego</w:t>
      </w:r>
      <w:r w:rsidRPr="005D2A40">
        <w:rPr>
          <w:rStyle w:val="markedcontent"/>
          <w:sz w:val="22"/>
          <w:szCs w:val="22"/>
        </w:rPr>
        <w:t xml:space="preserve"> nie należy palić tytoniu</w:t>
      </w:r>
      <w:r w:rsidR="00667668">
        <w:rPr>
          <w:rStyle w:val="markedcontent"/>
          <w:sz w:val="22"/>
          <w:szCs w:val="22"/>
        </w:rPr>
        <w:t xml:space="preserve">, </w:t>
      </w:r>
      <w:r w:rsidRPr="005D2A40">
        <w:rPr>
          <w:rStyle w:val="markedcontent"/>
          <w:sz w:val="22"/>
          <w:szCs w:val="22"/>
        </w:rPr>
        <w:t xml:space="preserve">przebywać w pobliżu otwartego ognia </w:t>
      </w:r>
      <w:r w:rsidR="00376F71">
        <w:rPr>
          <w:rStyle w:val="markedcontent"/>
          <w:sz w:val="22"/>
          <w:szCs w:val="22"/>
        </w:rPr>
        <w:t xml:space="preserve">ani nie używać </w:t>
      </w:r>
      <w:r w:rsidR="00667668" w:rsidRPr="00667668">
        <w:rPr>
          <w:rStyle w:val="markedcontent"/>
          <w:sz w:val="22"/>
          <w:szCs w:val="22"/>
        </w:rPr>
        <w:t>niektórych urządzeń (np.</w:t>
      </w:r>
      <w:r w:rsidR="00376F71">
        <w:rPr>
          <w:rStyle w:val="markedcontent"/>
          <w:sz w:val="22"/>
          <w:szCs w:val="22"/>
        </w:rPr>
        <w:t xml:space="preserve"> </w:t>
      </w:r>
      <w:r w:rsidR="00667668" w:rsidRPr="00667668">
        <w:rPr>
          <w:rStyle w:val="markedcontent"/>
          <w:sz w:val="22"/>
          <w:szCs w:val="22"/>
        </w:rPr>
        <w:t>suszarki do włosów)</w:t>
      </w:r>
      <w:r w:rsidR="00667668">
        <w:rPr>
          <w:rStyle w:val="markedcontent"/>
          <w:sz w:val="22"/>
          <w:szCs w:val="22"/>
        </w:rPr>
        <w:t xml:space="preserve"> </w:t>
      </w:r>
      <w:r w:rsidRPr="005D2A40">
        <w:rPr>
          <w:rStyle w:val="markedcontent"/>
          <w:sz w:val="22"/>
          <w:szCs w:val="22"/>
        </w:rPr>
        <w:t xml:space="preserve">w trakcie nakładania </w:t>
      </w:r>
      <w:r w:rsidR="00F35DBB">
        <w:rPr>
          <w:rStyle w:val="markedcontent"/>
          <w:sz w:val="22"/>
          <w:szCs w:val="22"/>
        </w:rPr>
        <w:t>produktu leczniczego</w:t>
      </w:r>
      <w:r w:rsidRPr="005D2A40">
        <w:rPr>
          <w:rStyle w:val="markedcontent"/>
          <w:sz w:val="22"/>
          <w:szCs w:val="22"/>
        </w:rPr>
        <w:t xml:space="preserve"> lub tuż po </w:t>
      </w:r>
      <w:r w:rsidR="000763D3">
        <w:rPr>
          <w:rStyle w:val="markedcontent"/>
          <w:sz w:val="22"/>
          <w:szCs w:val="22"/>
        </w:rPr>
        <w:t xml:space="preserve">jego </w:t>
      </w:r>
      <w:r w:rsidRPr="005D2A40">
        <w:rPr>
          <w:rStyle w:val="markedcontent"/>
          <w:sz w:val="22"/>
          <w:szCs w:val="22"/>
        </w:rPr>
        <w:t>nałożeniu</w:t>
      </w:r>
      <w:r w:rsidR="00B7218A">
        <w:rPr>
          <w:rStyle w:val="markedcontent"/>
          <w:sz w:val="22"/>
          <w:szCs w:val="22"/>
        </w:rPr>
        <w:t>.</w:t>
      </w:r>
    </w:p>
    <w:p w14:paraId="4E5D9DB8" w14:textId="77777777" w:rsidR="00CA14ED" w:rsidRDefault="00CA14ED" w:rsidP="00656D06">
      <w:pPr>
        <w:autoSpaceDE w:val="0"/>
        <w:autoSpaceDN w:val="0"/>
        <w:adjustRightInd w:val="0"/>
        <w:rPr>
          <w:sz w:val="22"/>
          <w:szCs w:val="22"/>
        </w:rPr>
      </w:pPr>
    </w:p>
    <w:p w14:paraId="64EAEAD0" w14:textId="77777777" w:rsidR="00257420" w:rsidRPr="00463EE9" w:rsidRDefault="00257420">
      <w:pPr>
        <w:rPr>
          <w:b/>
          <w:sz w:val="22"/>
          <w:szCs w:val="22"/>
        </w:rPr>
      </w:pPr>
      <w:r w:rsidRPr="00463EE9">
        <w:rPr>
          <w:b/>
          <w:sz w:val="22"/>
          <w:szCs w:val="22"/>
        </w:rPr>
        <w:t xml:space="preserve">4.5 Interakcje z innymi </w:t>
      </w:r>
      <w:r w:rsidR="00A92AB6">
        <w:rPr>
          <w:b/>
          <w:sz w:val="22"/>
          <w:szCs w:val="22"/>
        </w:rPr>
        <w:t>produktami leczniczymi</w:t>
      </w:r>
      <w:r w:rsidRPr="00463EE9">
        <w:rPr>
          <w:b/>
          <w:sz w:val="22"/>
          <w:szCs w:val="22"/>
        </w:rPr>
        <w:t xml:space="preserve"> i inne rodzaje interakcji</w:t>
      </w:r>
    </w:p>
    <w:p w14:paraId="64EAEAD1" w14:textId="77777777" w:rsidR="009D70A2" w:rsidRDefault="009D70A2">
      <w:pPr>
        <w:rPr>
          <w:sz w:val="22"/>
          <w:szCs w:val="22"/>
        </w:rPr>
      </w:pPr>
    </w:p>
    <w:p w14:paraId="64EAEAD2" w14:textId="77777777" w:rsidR="00257420" w:rsidRPr="00463EE9" w:rsidRDefault="00257420">
      <w:pPr>
        <w:rPr>
          <w:sz w:val="22"/>
          <w:szCs w:val="22"/>
        </w:rPr>
      </w:pPr>
      <w:r w:rsidRPr="00463EE9">
        <w:rPr>
          <w:sz w:val="22"/>
          <w:szCs w:val="22"/>
        </w:rPr>
        <w:t>Nie są znane interakcje podczas miejscowego stosowania kortykosteroidów z innymi lekami.</w:t>
      </w:r>
    </w:p>
    <w:p w14:paraId="64EAEAD4" w14:textId="77777777" w:rsidR="00257420" w:rsidRPr="00463EE9" w:rsidRDefault="00257420">
      <w:pPr>
        <w:rPr>
          <w:sz w:val="22"/>
          <w:szCs w:val="22"/>
        </w:rPr>
      </w:pPr>
      <w:r w:rsidRPr="00463EE9">
        <w:rPr>
          <w:sz w:val="22"/>
          <w:szCs w:val="22"/>
        </w:rPr>
        <w:t>Flucinar żel może nasilać działanie leków immunosupresyjnych i osłabiać działanie leków immunostymulujących.</w:t>
      </w:r>
    </w:p>
    <w:p w14:paraId="64EAEAD5" w14:textId="77777777" w:rsidR="00257420" w:rsidRPr="00463EE9" w:rsidRDefault="00257420">
      <w:pPr>
        <w:rPr>
          <w:sz w:val="22"/>
          <w:szCs w:val="22"/>
        </w:rPr>
      </w:pPr>
    </w:p>
    <w:p w14:paraId="64EAEAD6" w14:textId="262E3325" w:rsidR="00257420" w:rsidRDefault="00257420">
      <w:pPr>
        <w:rPr>
          <w:b/>
          <w:sz w:val="22"/>
          <w:szCs w:val="22"/>
        </w:rPr>
      </w:pPr>
      <w:r w:rsidRPr="00463EE9">
        <w:rPr>
          <w:b/>
          <w:sz w:val="22"/>
          <w:szCs w:val="22"/>
        </w:rPr>
        <w:t xml:space="preserve">4.6 </w:t>
      </w:r>
      <w:r w:rsidR="00BC2008">
        <w:rPr>
          <w:b/>
          <w:sz w:val="22"/>
          <w:szCs w:val="22"/>
        </w:rPr>
        <w:t>Wpływ na płodność, ciążę i laktację</w:t>
      </w:r>
    </w:p>
    <w:p w14:paraId="1C4ED307" w14:textId="77777777" w:rsidR="00B65317" w:rsidRDefault="00B65317">
      <w:pPr>
        <w:rPr>
          <w:sz w:val="22"/>
          <w:szCs w:val="22"/>
          <w:u w:val="single"/>
        </w:rPr>
      </w:pPr>
    </w:p>
    <w:p w14:paraId="64EAEAD8" w14:textId="77777777" w:rsidR="00257420" w:rsidRPr="00463EE9" w:rsidRDefault="00BC2008">
      <w:pPr>
        <w:rPr>
          <w:b/>
          <w:sz w:val="22"/>
          <w:szCs w:val="22"/>
        </w:rPr>
      </w:pPr>
      <w:r w:rsidRPr="00FB2414">
        <w:rPr>
          <w:sz w:val="22"/>
          <w:szCs w:val="22"/>
          <w:u w:val="single"/>
        </w:rPr>
        <w:t>Ciąża</w:t>
      </w:r>
    </w:p>
    <w:p w14:paraId="64EAEAD9" w14:textId="58768354" w:rsidR="00257420" w:rsidRDefault="00257420">
      <w:pPr>
        <w:rPr>
          <w:sz w:val="22"/>
          <w:szCs w:val="22"/>
        </w:rPr>
      </w:pPr>
      <w:r w:rsidRPr="00463EE9">
        <w:rPr>
          <w:sz w:val="22"/>
          <w:szCs w:val="22"/>
        </w:rPr>
        <w:t>Flucinar może być stosowany u kobiet w okresie ciąży tylko, jeżeli korzyści dla matki przewyższają ryzyko dla płodu. Bezwzględnie nie stosować w pierwszym trymestrze ciąży</w:t>
      </w:r>
      <w:r w:rsidR="00D6648E">
        <w:rPr>
          <w:sz w:val="22"/>
          <w:szCs w:val="22"/>
        </w:rPr>
        <w:t xml:space="preserve"> (patrz punkt 4.3 Przeciwwskazania)</w:t>
      </w:r>
      <w:r w:rsidRPr="00463EE9">
        <w:rPr>
          <w:sz w:val="22"/>
          <w:szCs w:val="22"/>
        </w:rPr>
        <w:t>.</w:t>
      </w:r>
    </w:p>
    <w:p w14:paraId="3B781CAA" w14:textId="5DF7AEA9" w:rsidR="00293E35" w:rsidRPr="00463EE9" w:rsidRDefault="00293E35">
      <w:pPr>
        <w:rPr>
          <w:sz w:val="22"/>
          <w:szCs w:val="22"/>
        </w:rPr>
      </w:pPr>
      <w:r w:rsidRPr="00293E35">
        <w:rPr>
          <w:sz w:val="22"/>
          <w:szCs w:val="22"/>
        </w:rPr>
        <w:t>Brak danych lub istnieją ograniczone dane dotyczące stosowania fluocinolonu u kobiet w ciąży.</w:t>
      </w:r>
    </w:p>
    <w:p w14:paraId="64EAEADA" w14:textId="7A6BCE41" w:rsidR="00257420" w:rsidRDefault="00D6648E">
      <w:pPr>
        <w:rPr>
          <w:sz w:val="22"/>
          <w:szCs w:val="22"/>
        </w:rPr>
      </w:pPr>
      <w:r w:rsidRPr="00C87862">
        <w:rPr>
          <w:sz w:val="22"/>
          <w:szCs w:val="22"/>
        </w:rPr>
        <w:t xml:space="preserve">Badania na </w:t>
      </w:r>
      <w:r w:rsidR="00F56C68" w:rsidRPr="00C87862">
        <w:rPr>
          <w:sz w:val="22"/>
          <w:szCs w:val="22"/>
        </w:rPr>
        <w:t>zwierz</w:t>
      </w:r>
      <w:r w:rsidR="00F56C68">
        <w:rPr>
          <w:sz w:val="22"/>
          <w:szCs w:val="22"/>
        </w:rPr>
        <w:t>ę</w:t>
      </w:r>
      <w:r w:rsidR="00F56C68" w:rsidRPr="00C87862">
        <w:rPr>
          <w:sz w:val="22"/>
          <w:szCs w:val="22"/>
        </w:rPr>
        <w:t>tach</w:t>
      </w:r>
      <w:r w:rsidRPr="00C87862">
        <w:rPr>
          <w:sz w:val="22"/>
          <w:szCs w:val="22"/>
        </w:rPr>
        <w:t xml:space="preserve"> wykazały teratogenne działanie glikokortykosteroidów</w:t>
      </w:r>
      <w:r w:rsidR="00E64F2E">
        <w:rPr>
          <w:sz w:val="22"/>
          <w:szCs w:val="22"/>
        </w:rPr>
        <w:t xml:space="preserve"> </w:t>
      </w:r>
      <w:r w:rsidR="00257420" w:rsidRPr="00463EE9">
        <w:rPr>
          <w:sz w:val="22"/>
          <w:szCs w:val="22"/>
        </w:rPr>
        <w:t xml:space="preserve">nawet po </w:t>
      </w:r>
      <w:r>
        <w:rPr>
          <w:sz w:val="22"/>
          <w:szCs w:val="22"/>
        </w:rPr>
        <w:t>za</w:t>
      </w:r>
      <w:r w:rsidR="00257420" w:rsidRPr="00463EE9">
        <w:rPr>
          <w:sz w:val="22"/>
          <w:szCs w:val="22"/>
        </w:rPr>
        <w:t xml:space="preserve">stosowaniu </w:t>
      </w:r>
      <w:r>
        <w:rPr>
          <w:sz w:val="22"/>
          <w:szCs w:val="22"/>
        </w:rPr>
        <w:t xml:space="preserve">doustnie </w:t>
      </w:r>
      <w:r w:rsidR="00257420" w:rsidRPr="00463EE9">
        <w:rPr>
          <w:sz w:val="22"/>
          <w:szCs w:val="22"/>
        </w:rPr>
        <w:t xml:space="preserve">małych dawek. Działanie teratogenne </w:t>
      </w:r>
      <w:r>
        <w:rPr>
          <w:sz w:val="22"/>
          <w:szCs w:val="22"/>
        </w:rPr>
        <w:t>zaobserwowano</w:t>
      </w:r>
      <w:r w:rsidR="00E64F2E">
        <w:rPr>
          <w:sz w:val="22"/>
          <w:szCs w:val="22"/>
        </w:rPr>
        <w:t xml:space="preserve"> </w:t>
      </w:r>
      <w:r w:rsidR="00257420" w:rsidRPr="00463EE9">
        <w:rPr>
          <w:sz w:val="22"/>
          <w:szCs w:val="22"/>
        </w:rPr>
        <w:t xml:space="preserve">także u zwierząt po zastosowaniu na skórę silnych glikokortykosteroidów. Nie przeprowadzono badań dotyczących ryzyka działania teratogennego </w:t>
      </w:r>
      <w:r w:rsidR="001E18F0">
        <w:rPr>
          <w:sz w:val="22"/>
          <w:szCs w:val="22"/>
        </w:rPr>
        <w:t>fluocinolonu</w:t>
      </w:r>
      <w:r w:rsidR="001E18F0" w:rsidRPr="00463EE9" w:rsidDel="00331C7F">
        <w:rPr>
          <w:sz w:val="22"/>
          <w:szCs w:val="22"/>
        </w:rPr>
        <w:t xml:space="preserve"> </w:t>
      </w:r>
      <w:r w:rsidR="00331C7F">
        <w:rPr>
          <w:sz w:val="22"/>
          <w:szCs w:val="22"/>
        </w:rPr>
        <w:t xml:space="preserve">acetonidu </w:t>
      </w:r>
      <w:r w:rsidR="00257420" w:rsidRPr="00463EE9">
        <w:rPr>
          <w:sz w:val="22"/>
          <w:szCs w:val="22"/>
        </w:rPr>
        <w:t>po miejscowym stosowaniu na skórę u kobiet ciężarnych.</w:t>
      </w:r>
    </w:p>
    <w:p w14:paraId="1FD0BBA2" w14:textId="41D03358" w:rsidR="00AD36B4" w:rsidRPr="00463EE9" w:rsidRDefault="006F5CDC">
      <w:pPr>
        <w:rPr>
          <w:sz w:val="22"/>
          <w:szCs w:val="22"/>
        </w:rPr>
      </w:pPr>
      <w:r w:rsidRPr="0015052F">
        <w:rPr>
          <w:sz w:val="22"/>
          <w:szCs w:val="22"/>
        </w:rPr>
        <w:t>Badania na zwierzętach z innymi glikokortyko</w:t>
      </w:r>
      <w:r w:rsidR="00E64F2E">
        <w:rPr>
          <w:sz w:val="22"/>
          <w:szCs w:val="22"/>
        </w:rPr>
        <w:t>stero</w:t>
      </w:r>
      <w:r w:rsidRPr="0015052F">
        <w:rPr>
          <w:sz w:val="22"/>
          <w:szCs w:val="22"/>
        </w:rPr>
        <w:t>idami wykazały toksyczny wpływ na reprodukcję (patrz punkt 5.3 Przedkliniczne dane o bezpieczeństwie)</w:t>
      </w:r>
    </w:p>
    <w:p w14:paraId="64EAEADB" w14:textId="77777777" w:rsidR="00257420" w:rsidRPr="00463EE9" w:rsidRDefault="00257420">
      <w:pPr>
        <w:rPr>
          <w:sz w:val="22"/>
          <w:szCs w:val="22"/>
        </w:rPr>
      </w:pPr>
    </w:p>
    <w:p w14:paraId="64EAEADC" w14:textId="77777777" w:rsidR="00ED0500" w:rsidRDefault="00BC2008">
      <w:pPr>
        <w:rPr>
          <w:sz w:val="22"/>
          <w:szCs w:val="22"/>
        </w:rPr>
      </w:pPr>
      <w:r w:rsidRPr="00FB2414">
        <w:rPr>
          <w:sz w:val="22"/>
          <w:szCs w:val="22"/>
          <w:u w:val="single"/>
        </w:rPr>
        <w:lastRenderedPageBreak/>
        <w:t>Karmienie piersią</w:t>
      </w:r>
    </w:p>
    <w:p w14:paraId="64EAEADD" w14:textId="39B51D4E" w:rsidR="00257420" w:rsidRPr="00463EE9" w:rsidRDefault="00257420">
      <w:pPr>
        <w:rPr>
          <w:sz w:val="22"/>
          <w:szCs w:val="22"/>
        </w:rPr>
      </w:pPr>
      <w:r w:rsidRPr="00463EE9">
        <w:rPr>
          <w:sz w:val="22"/>
          <w:szCs w:val="22"/>
        </w:rPr>
        <w:t xml:space="preserve">Należy rozważyć czy zaprzestać karmienia piersią czy </w:t>
      </w:r>
      <w:r w:rsidR="00F431B1">
        <w:rPr>
          <w:sz w:val="22"/>
          <w:szCs w:val="22"/>
        </w:rPr>
        <w:t>przerwać</w:t>
      </w:r>
      <w:r w:rsidR="00F431B1" w:rsidRPr="00463EE9">
        <w:rPr>
          <w:sz w:val="22"/>
          <w:szCs w:val="22"/>
        </w:rPr>
        <w:t xml:space="preserve"> </w:t>
      </w:r>
      <w:r w:rsidRPr="00463EE9">
        <w:rPr>
          <w:sz w:val="22"/>
          <w:szCs w:val="22"/>
        </w:rPr>
        <w:t>stosowani</w:t>
      </w:r>
      <w:r w:rsidR="00F431B1">
        <w:rPr>
          <w:sz w:val="22"/>
          <w:szCs w:val="22"/>
        </w:rPr>
        <w:t>e</w:t>
      </w:r>
      <w:r w:rsidRPr="00463EE9">
        <w:rPr>
          <w:sz w:val="22"/>
          <w:szCs w:val="22"/>
        </w:rPr>
        <w:t xml:space="preserve"> produktu leczniczego</w:t>
      </w:r>
      <w:r w:rsidR="008C571E">
        <w:rPr>
          <w:sz w:val="22"/>
          <w:szCs w:val="22"/>
        </w:rPr>
        <w:t xml:space="preserve"> </w:t>
      </w:r>
      <w:r w:rsidRPr="00463EE9">
        <w:rPr>
          <w:sz w:val="22"/>
          <w:szCs w:val="22"/>
        </w:rPr>
        <w:t xml:space="preserve">Flucinar żel, biorąc pod uwagę </w:t>
      </w:r>
      <w:r w:rsidR="00F431B1">
        <w:rPr>
          <w:sz w:val="22"/>
          <w:szCs w:val="22"/>
        </w:rPr>
        <w:t xml:space="preserve">korzyści z karmienia piersią dla dziecka </w:t>
      </w:r>
      <w:r w:rsidRPr="00463EE9">
        <w:rPr>
          <w:sz w:val="22"/>
          <w:szCs w:val="22"/>
        </w:rPr>
        <w:t xml:space="preserve"> </w:t>
      </w:r>
      <w:r w:rsidR="00D756FE">
        <w:rPr>
          <w:sz w:val="22"/>
          <w:szCs w:val="22"/>
        </w:rPr>
        <w:t>oraz</w:t>
      </w:r>
      <w:r w:rsidR="00D756FE" w:rsidRPr="00463EE9">
        <w:rPr>
          <w:sz w:val="22"/>
          <w:szCs w:val="22"/>
        </w:rPr>
        <w:t xml:space="preserve"> </w:t>
      </w:r>
      <w:r w:rsidRPr="00463EE9">
        <w:rPr>
          <w:sz w:val="22"/>
          <w:szCs w:val="22"/>
        </w:rPr>
        <w:t>korzyści leczenia dla matki.</w:t>
      </w:r>
    </w:p>
    <w:p w14:paraId="64EAEADE" w14:textId="6246E6FA" w:rsidR="00257420" w:rsidRDefault="00257420">
      <w:pPr>
        <w:rPr>
          <w:sz w:val="22"/>
          <w:szCs w:val="22"/>
        </w:rPr>
      </w:pPr>
      <w:r w:rsidRPr="00463EE9">
        <w:rPr>
          <w:sz w:val="22"/>
          <w:szCs w:val="22"/>
        </w:rPr>
        <w:t xml:space="preserve">Nie wiadomo, w jakim stopniu fluocinolonu </w:t>
      </w:r>
      <w:r w:rsidR="00463EE9" w:rsidRPr="00463EE9">
        <w:rPr>
          <w:sz w:val="22"/>
          <w:szCs w:val="22"/>
        </w:rPr>
        <w:t>acetonid</w:t>
      </w:r>
      <w:r w:rsidR="00320B66">
        <w:rPr>
          <w:sz w:val="22"/>
          <w:szCs w:val="22"/>
        </w:rPr>
        <w:t xml:space="preserve"> oraz jego</w:t>
      </w:r>
      <w:r w:rsidR="00E64F2E">
        <w:rPr>
          <w:sz w:val="22"/>
          <w:szCs w:val="22"/>
        </w:rPr>
        <w:t xml:space="preserve"> </w:t>
      </w:r>
      <w:r w:rsidR="00293E35">
        <w:rPr>
          <w:sz w:val="22"/>
          <w:szCs w:val="22"/>
        </w:rPr>
        <w:t>metabolity</w:t>
      </w:r>
      <w:r w:rsidR="00463EE9" w:rsidRPr="00463EE9">
        <w:rPr>
          <w:sz w:val="22"/>
          <w:szCs w:val="22"/>
        </w:rPr>
        <w:t xml:space="preserve"> </w:t>
      </w:r>
      <w:r w:rsidRPr="00463EE9">
        <w:rPr>
          <w:sz w:val="22"/>
          <w:szCs w:val="22"/>
        </w:rPr>
        <w:t>po zastosowaniu miejscowym może przenikać do mleka kobie</w:t>
      </w:r>
      <w:r w:rsidR="003A4D64">
        <w:rPr>
          <w:sz w:val="22"/>
          <w:szCs w:val="22"/>
        </w:rPr>
        <w:t>cego</w:t>
      </w:r>
      <w:r w:rsidRPr="00463EE9">
        <w:rPr>
          <w:sz w:val="22"/>
          <w:szCs w:val="22"/>
        </w:rPr>
        <w:t xml:space="preserve">. </w:t>
      </w:r>
    </w:p>
    <w:p w14:paraId="545C960F" w14:textId="5517FE5A" w:rsidR="00293E35" w:rsidRDefault="00293E35" w:rsidP="00293E35">
      <w:pPr>
        <w:rPr>
          <w:sz w:val="22"/>
          <w:szCs w:val="22"/>
        </w:rPr>
      </w:pPr>
      <w:r w:rsidRPr="00293E35">
        <w:rPr>
          <w:sz w:val="22"/>
          <w:szCs w:val="22"/>
        </w:rPr>
        <w:t>Nie można wykluczyć ryzyka dla noworodków/</w:t>
      </w:r>
      <w:r w:rsidR="00D64180">
        <w:rPr>
          <w:sz w:val="22"/>
          <w:szCs w:val="22"/>
        </w:rPr>
        <w:t>dzieci</w:t>
      </w:r>
      <w:r w:rsidRPr="00293E35">
        <w:rPr>
          <w:sz w:val="22"/>
          <w:szCs w:val="22"/>
        </w:rPr>
        <w:t>.</w:t>
      </w:r>
    </w:p>
    <w:p w14:paraId="5BA63875" w14:textId="77777777" w:rsidR="00E64F2E" w:rsidRPr="00293E35" w:rsidRDefault="00E64F2E" w:rsidP="00293E35">
      <w:pPr>
        <w:rPr>
          <w:sz w:val="22"/>
          <w:szCs w:val="22"/>
        </w:rPr>
      </w:pPr>
    </w:p>
    <w:p w14:paraId="1DCABD1D" w14:textId="77777777" w:rsidR="00225A56" w:rsidRPr="00F56C68" w:rsidRDefault="00225A56" w:rsidP="00225A56">
      <w:pPr>
        <w:rPr>
          <w:sz w:val="22"/>
          <w:szCs w:val="22"/>
          <w:u w:val="single"/>
        </w:rPr>
      </w:pPr>
      <w:r w:rsidRPr="00F56C68">
        <w:rPr>
          <w:sz w:val="22"/>
          <w:szCs w:val="22"/>
          <w:u w:val="single"/>
        </w:rPr>
        <w:t>Płodność</w:t>
      </w:r>
    </w:p>
    <w:p w14:paraId="05C5B89D" w14:textId="77777777" w:rsidR="00225A56" w:rsidRPr="00F56C68" w:rsidRDefault="00225A56" w:rsidP="00225A56">
      <w:pPr>
        <w:rPr>
          <w:sz w:val="22"/>
          <w:szCs w:val="22"/>
        </w:rPr>
      </w:pPr>
      <w:r w:rsidRPr="00F56C68">
        <w:rPr>
          <w:sz w:val="22"/>
          <w:szCs w:val="22"/>
        </w:rPr>
        <w:t>Nie ma danych dotyczących wpływu fluocinolonu na płodność u ludzi (patrz punkt 5.3 Przedkliniczne dane o bezpieczeństwie).</w:t>
      </w:r>
    </w:p>
    <w:p w14:paraId="75F6F2BA" w14:textId="77777777" w:rsidR="00225A56" w:rsidRPr="00463EE9" w:rsidRDefault="00225A56" w:rsidP="00293E35">
      <w:pPr>
        <w:rPr>
          <w:sz w:val="22"/>
          <w:szCs w:val="22"/>
        </w:rPr>
      </w:pPr>
    </w:p>
    <w:p w14:paraId="64EAEADF" w14:textId="77777777" w:rsidR="00257420" w:rsidRPr="00463EE9" w:rsidRDefault="00257420">
      <w:pPr>
        <w:rPr>
          <w:sz w:val="22"/>
          <w:szCs w:val="22"/>
        </w:rPr>
      </w:pPr>
    </w:p>
    <w:p w14:paraId="64EAEAE0" w14:textId="77777777" w:rsidR="00257420" w:rsidRPr="00463EE9" w:rsidRDefault="00257420">
      <w:pPr>
        <w:pStyle w:val="Tekstpodstawowy"/>
        <w:spacing w:line="240" w:lineRule="auto"/>
        <w:rPr>
          <w:sz w:val="22"/>
          <w:szCs w:val="22"/>
        </w:rPr>
      </w:pPr>
      <w:r w:rsidRPr="00463EE9">
        <w:rPr>
          <w:sz w:val="22"/>
          <w:szCs w:val="22"/>
        </w:rPr>
        <w:t xml:space="preserve">4.7 Wpływ na zdolność prowadzenia pojazdów i obsługiwania </w:t>
      </w:r>
      <w:r w:rsidR="00BC2008">
        <w:rPr>
          <w:sz w:val="22"/>
          <w:szCs w:val="22"/>
        </w:rPr>
        <w:t>maszyn</w:t>
      </w:r>
    </w:p>
    <w:p w14:paraId="64EAEAE1" w14:textId="77777777" w:rsidR="009D70A2" w:rsidRDefault="009D70A2">
      <w:pPr>
        <w:rPr>
          <w:sz w:val="22"/>
          <w:szCs w:val="22"/>
        </w:rPr>
      </w:pPr>
    </w:p>
    <w:p w14:paraId="64EAEAE2" w14:textId="4938C9D6" w:rsidR="00257420" w:rsidRPr="00463EE9" w:rsidRDefault="00BC2008">
      <w:pPr>
        <w:rPr>
          <w:sz w:val="22"/>
          <w:szCs w:val="22"/>
        </w:rPr>
      </w:pPr>
      <w:r>
        <w:rPr>
          <w:sz w:val="22"/>
          <w:szCs w:val="22"/>
        </w:rPr>
        <w:t xml:space="preserve">Flucinar </w:t>
      </w:r>
      <w:r w:rsidR="00827CD5">
        <w:rPr>
          <w:sz w:val="22"/>
          <w:szCs w:val="22"/>
        </w:rPr>
        <w:t xml:space="preserve"> żel </w:t>
      </w:r>
      <w:r w:rsidR="00257420" w:rsidRPr="00463EE9">
        <w:rPr>
          <w:sz w:val="22"/>
          <w:szCs w:val="22"/>
        </w:rPr>
        <w:t>nie</w:t>
      </w:r>
      <w:r>
        <w:rPr>
          <w:sz w:val="22"/>
          <w:szCs w:val="22"/>
        </w:rPr>
        <w:t xml:space="preserve"> ma wpływu </w:t>
      </w:r>
      <w:r w:rsidR="008D56C3">
        <w:rPr>
          <w:sz w:val="22"/>
          <w:szCs w:val="22"/>
        </w:rPr>
        <w:t xml:space="preserve">lub wywiera nieistotny wpływ </w:t>
      </w:r>
      <w:r>
        <w:rPr>
          <w:sz w:val="22"/>
          <w:szCs w:val="22"/>
        </w:rPr>
        <w:t>na</w:t>
      </w:r>
      <w:r w:rsidR="00257420" w:rsidRPr="00463EE9">
        <w:rPr>
          <w:sz w:val="22"/>
          <w:szCs w:val="22"/>
        </w:rPr>
        <w:t xml:space="preserve"> zdolnoś</w:t>
      </w:r>
      <w:r>
        <w:rPr>
          <w:sz w:val="22"/>
          <w:szCs w:val="22"/>
        </w:rPr>
        <w:t>ć</w:t>
      </w:r>
      <w:r w:rsidR="00257420" w:rsidRPr="00463EE9">
        <w:rPr>
          <w:sz w:val="22"/>
          <w:szCs w:val="22"/>
        </w:rPr>
        <w:t xml:space="preserve"> prowadzenia pojazdów</w:t>
      </w:r>
      <w:r w:rsidR="00ED0500">
        <w:rPr>
          <w:sz w:val="22"/>
          <w:szCs w:val="22"/>
        </w:rPr>
        <w:t xml:space="preserve"> </w:t>
      </w:r>
      <w:r w:rsidR="00257420" w:rsidRPr="00463EE9">
        <w:rPr>
          <w:sz w:val="22"/>
          <w:szCs w:val="22"/>
        </w:rPr>
        <w:t>i</w:t>
      </w:r>
      <w:r w:rsidR="002B5E65">
        <w:rPr>
          <w:sz w:val="22"/>
          <w:szCs w:val="22"/>
        </w:rPr>
        <w:t> </w:t>
      </w:r>
      <w:r w:rsidR="00257420" w:rsidRPr="00463EE9">
        <w:rPr>
          <w:sz w:val="22"/>
          <w:szCs w:val="22"/>
        </w:rPr>
        <w:t xml:space="preserve">obsługiwania </w:t>
      </w:r>
      <w:r>
        <w:rPr>
          <w:sz w:val="22"/>
          <w:szCs w:val="22"/>
        </w:rPr>
        <w:t>maszyn.</w:t>
      </w:r>
    </w:p>
    <w:p w14:paraId="64EAEAE3" w14:textId="77777777" w:rsidR="00257420" w:rsidRPr="00463EE9" w:rsidRDefault="00257420">
      <w:pPr>
        <w:rPr>
          <w:sz w:val="22"/>
          <w:szCs w:val="22"/>
        </w:rPr>
      </w:pPr>
    </w:p>
    <w:p w14:paraId="64EAEAE4" w14:textId="77777777" w:rsidR="00257420" w:rsidRDefault="00257420" w:rsidP="00907A1F">
      <w:pPr>
        <w:keepNext/>
        <w:rPr>
          <w:b/>
          <w:sz w:val="22"/>
          <w:szCs w:val="22"/>
        </w:rPr>
      </w:pPr>
      <w:r w:rsidRPr="00463EE9">
        <w:rPr>
          <w:b/>
          <w:sz w:val="22"/>
          <w:szCs w:val="22"/>
        </w:rPr>
        <w:t>4.8 Działania niepożądane</w:t>
      </w:r>
    </w:p>
    <w:p w14:paraId="64EAEAE5" w14:textId="77777777" w:rsidR="009D70A2" w:rsidRDefault="009D70A2" w:rsidP="00907A1F">
      <w:pPr>
        <w:keepNext/>
        <w:rPr>
          <w:sz w:val="22"/>
          <w:szCs w:val="22"/>
          <w:u w:val="single"/>
        </w:rPr>
      </w:pPr>
    </w:p>
    <w:p w14:paraId="64EAEAE6" w14:textId="77777777" w:rsidR="006B640E" w:rsidRDefault="006B640E" w:rsidP="006B640E">
      <w:pPr>
        <w:rPr>
          <w:sz w:val="22"/>
          <w:szCs w:val="22"/>
        </w:rPr>
      </w:pPr>
      <w:r>
        <w:rPr>
          <w:sz w:val="22"/>
          <w:szCs w:val="22"/>
        </w:rPr>
        <w:t>Działania niepożądane wymieniono poniżej zgodnie z klasyfikacją układów i narządów MedDRA oraz częstością występowania, według następującej konwencji:</w:t>
      </w:r>
    </w:p>
    <w:p w14:paraId="64EAEAE7" w14:textId="77777777" w:rsidR="006B640E" w:rsidRDefault="006B640E" w:rsidP="006B640E">
      <w:pPr>
        <w:rPr>
          <w:sz w:val="22"/>
          <w:szCs w:val="22"/>
        </w:rPr>
      </w:pPr>
      <w:r>
        <w:rPr>
          <w:sz w:val="22"/>
          <w:szCs w:val="22"/>
        </w:rPr>
        <w:t>bardzo często (≥1/10);</w:t>
      </w:r>
    </w:p>
    <w:p w14:paraId="64EAEAE8" w14:textId="77777777" w:rsidR="006B640E" w:rsidRDefault="006B640E" w:rsidP="006B640E">
      <w:pPr>
        <w:rPr>
          <w:sz w:val="22"/>
          <w:szCs w:val="22"/>
        </w:rPr>
      </w:pPr>
      <w:r>
        <w:rPr>
          <w:sz w:val="22"/>
          <w:szCs w:val="22"/>
        </w:rPr>
        <w:t>często (≥1/100 do &lt;1/10);</w:t>
      </w:r>
    </w:p>
    <w:p w14:paraId="64EAEAE9" w14:textId="77777777" w:rsidR="006B640E" w:rsidRDefault="006B640E" w:rsidP="006B640E">
      <w:pPr>
        <w:rPr>
          <w:sz w:val="22"/>
          <w:szCs w:val="22"/>
        </w:rPr>
      </w:pPr>
      <w:r>
        <w:rPr>
          <w:sz w:val="22"/>
          <w:szCs w:val="22"/>
        </w:rPr>
        <w:t xml:space="preserve">niezbyt często (≥1/1 000 do &lt;1/100); </w:t>
      </w:r>
    </w:p>
    <w:p w14:paraId="64EAEAEA" w14:textId="77777777" w:rsidR="006B640E" w:rsidRDefault="006B640E" w:rsidP="006B640E">
      <w:pPr>
        <w:rPr>
          <w:sz w:val="22"/>
          <w:szCs w:val="22"/>
        </w:rPr>
      </w:pPr>
      <w:r>
        <w:rPr>
          <w:sz w:val="22"/>
          <w:szCs w:val="22"/>
        </w:rPr>
        <w:t xml:space="preserve">rzadko (≥1/10 000 do &lt;1/1 000); </w:t>
      </w:r>
    </w:p>
    <w:p w14:paraId="64EAEAEB" w14:textId="77777777" w:rsidR="006B640E" w:rsidRDefault="006B640E" w:rsidP="006B640E">
      <w:pPr>
        <w:rPr>
          <w:sz w:val="22"/>
          <w:szCs w:val="22"/>
        </w:rPr>
      </w:pPr>
      <w:r>
        <w:rPr>
          <w:sz w:val="22"/>
          <w:szCs w:val="22"/>
        </w:rPr>
        <w:t xml:space="preserve">bardzo rzadko (&lt; 1/10 000); </w:t>
      </w:r>
    </w:p>
    <w:p w14:paraId="64EAEAEC" w14:textId="77777777" w:rsidR="006B640E" w:rsidRDefault="006B640E" w:rsidP="006B640E">
      <w:pPr>
        <w:rPr>
          <w:b/>
          <w:sz w:val="22"/>
        </w:rPr>
      </w:pPr>
      <w:r>
        <w:rPr>
          <w:sz w:val="22"/>
          <w:szCs w:val="22"/>
        </w:rPr>
        <w:t>nieznana (częstość nie może być określona na podstawie dostępnych danych).</w:t>
      </w:r>
    </w:p>
    <w:p w14:paraId="64EAEAED" w14:textId="77777777" w:rsidR="006B640E" w:rsidRDefault="006B640E" w:rsidP="00907A1F">
      <w:pPr>
        <w:keepNext/>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018"/>
        <w:gridCol w:w="3028"/>
      </w:tblGrid>
      <w:tr w:rsidR="006B640E" w:rsidRPr="0083412A" w14:paraId="64EAEAF2" w14:textId="77777777" w:rsidTr="008C0DB9">
        <w:tc>
          <w:tcPr>
            <w:tcW w:w="3014" w:type="dxa"/>
            <w:shd w:val="clear" w:color="auto" w:fill="auto"/>
          </w:tcPr>
          <w:p w14:paraId="64EAEAEE" w14:textId="77777777" w:rsidR="006B640E" w:rsidRPr="0083412A" w:rsidRDefault="006B640E" w:rsidP="0083412A">
            <w:pPr>
              <w:widowControl w:val="0"/>
              <w:tabs>
                <w:tab w:val="left" w:pos="3686"/>
              </w:tabs>
              <w:autoSpaceDE w:val="0"/>
              <w:autoSpaceDN w:val="0"/>
              <w:ind w:right="-2"/>
              <w:jc w:val="center"/>
              <w:rPr>
                <w:rFonts w:eastAsia="MS Mincho"/>
                <w:b/>
                <w:sz w:val="22"/>
                <w:szCs w:val="22"/>
                <w:lang w:eastAsia="ja-JP"/>
              </w:rPr>
            </w:pPr>
            <w:r w:rsidRPr="0083412A">
              <w:rPr>
                <w:rFonts w:eastAsia="MS Mincho"/>
                <w:b/>
                <w:sz w:val="22"/>
                <w:szCs w:val="22"/>
                <w:lang w:eastAsia="ja-JP"/>
              </w:rPr>
              <w:t>Klasyfikacja układów</w:t>
            </w:r>
          </w:p>
          <w:p w14:paraId="64EAEAEF" w14:textId="77777777" w:rsidR="006B640E" w:rsidRPr="0083412A" w:rsidRDefault="006B640E" w:rsidP="0083412A">
            <w:pPr>
              <w:keepNext/>
              <w:jc w:val="center"/>
              <w:rPr>
                <w:sz w:val="22"/>
                <w:szCs w:val="22"/>
                <w:u w:val="single"/>
              </w:rPr>
            </w:pPr>
            <w:r w:rsidRPr="0083412A">
              <w:rPr>
                <w:rFonts w:eastAsia="MS Mincho"/>
                <w:b/>
                <w:sz w:val="22"/>
                <w:szCs w:val="22"/>
                <w:lang w:eastAsia="ja-JP"/>
              </w:rPr>
              <w:t>i narządów</w:t>
            </w:r>
          </w:p>
        </w:tc>
        <w:tc>
          <w:tcPr>
            <w:tcW w:w="3018" w:type="dxa"/>
            <w:shd w:val="clear" w:color="auto" w:fill="auto"/>
          </w:tcPr>
          <w:p w14:paraId="64EAEAF0" w14:textId="77777777" w:rsidR="006B640E" w:rsidRPr="0083412A" w:rsidRDefault="006B640E" w:rsidP="0083412A">
            <w:pPr>
              <w:keepNext/>
              <w:jc w:val="center"/>
              <w:rPr>
                <w:sz w:val="22"/>
                <w:szCs w:val="22"/>
                <w:u w:val="single"/>
              </w:rPr>
            </w:pPr>
            <w:r w:rsidRPr="0083412A">
              <w:rPr>
                <w:rFonts w:eastAsia="MS Mincho"/>
                <w:b/>
                <w:sz w:val="22"/>
                <w:szCs w:val="22"/>
                <w:lang w:eastAsia="ja-JP"/>
              </w:rPr>
              <w:t>Częstość występowania</w:t>
            </w:r>
          </w:p>
        </w:tc>
        <w:tc>
          <w:tcPr>
            <w:tcW w:w="3028" w:type="dxa"/>
            <w:shd w:val="clear" w:color="auto" w:fill="auto"/>
          </w:tcPr>
          <w:p w14:paraId="64EAEAF1" w14:textId="77777777" w:rsidR="006B640E" w:rsidRPr="0083412A" w:rsidRDefault="006B640E" w:rsidP="0083412A">
            <w:pPr>
              <w:keepNext/>
              <w:jc w:val="center"/>
              <w:rPr>
                <w:sz w:val="22"/>
                <w:szCs w:val="22"/>
                <w:u w:val="single"/>
              </w:rPr>
            </w:pPr>
            <w:r w:rsidRPr="0083412A">
              <w:rPr>
                <w:rFonts w:eastAsia="MS Mincho"/>
                <w:b/>
                <w:sz w:val="22"/>
                <w:szCs w:val="22"/>
                <w:lang w:eastAsia="ja-JP"/>
              </w:rPr>
              <w:t>Działanie niepożądane</w:t>
            </w:r>
          </w:p>
        </w:tc>
      </w:tr>
      <w:tr w:rsidR="00275F97" w:rsidRPr="0083412A" w14:paraId="06246DC6" w14:textId="77777777" w:rsidTr="008C0DB9">
        <w:tc>
          <w:tcPr>
            <w:tcW w:w="3014" w:type="dxa"/>
            <w:shd w:val="clear" w:color="auto" w:fill="auto"/>
          </w:tcPr>
          <w:p w14:paraId="77A8DE45" w14:textId="28CAF2C2" w:rsidR="00275F97" w:rsidRPr="00F56C68" w:rsidRDefault="00B145B9" w:rsidP="00275F97">
            <w:pPr>
              <w:widowControl w:val="0"/>
              <w:tabs>
                <w:tab w:val="left" w:pos="3686"/>
              </w:tabs>
              <w:autoSpaceDE w:val="0"/>
              <w:autoSpaceDN w:val="0"/>
              <w:ind w:right="-2"/>
              <w:jc w:val="center"/>
              <w:rPr>
                <w:rFonts w:eastAsia="MS Mincho"/>
                <w:bCs/>
                <w:sz w:val="22"/>
                <w:szCs w:val="22"/>
                <w:lang w:eastAsia="ja-JP"/>
              </w:rPr>
            </w:pPr>
            <w:r w:rsidRPr="00F56C68">
              <w:rPr>
                <w:rFonts w:eastAsia="MS Mincho"/>
                <w:bCs/>
                <w:sz w:val="22"/>
                <w:szCs w:val="22"/>
                <w:lang w:eastAsia="ja-JP"/>
              </w:rPr>
              <w:t>Zakażenia i zarażenia pasożytnicze</w:t>
            </w:r>
          </w:p>
        </w:tc>
        <w:tc>
          <w:tcPr>
            <w:tcW w:w="3018" w:type="dxa"/>
            <w:shd w:val="clear" w:color="auto" w:fill="auto"/>
          </w:tcPr>
          <w:p w14:paraId="4F2A73F3" w14:textId="77777777" w:rsidR="00275F97" w:rsidRPr="00F31BEA" w:rsidRDefault="00275F97" w:rsidP="00275F97">
            <w:pPr>
              <w:keepNext/>
              <w:rPr>
                <w:rFonts w:eastAsia="MS Mincho"/>
                <w:bCs/>
                <w:sz w:val="22"/>
                <w:szCs w:val="22"/>
                <w:lang w:eastAsia="ja-JP"/>
              </w:rPr>
            </w:pPr>
            <w:r w:rsidRPr="00F31BEA">
              <w:rPr>
                <w:rFonts w:eastAsia="MS Mincho"/>
                <w:bCs/>
                <w:sz w:val="22"/>
                <w:szCs w:val="22"/>
                <w:lang w:eastAsia="ja-JP"/>
              </w:rPr>
              <w:t>Niezbyt często</w:t>
            </w:r>
          </w:p>
          <w:p w14:paraId="2463F301" w14:textId="2AAF165B" w:rsidR="00275F97" w:rsidRPr="0083412A" w:rsidRDefault="00275F97" w:rsidP="00F56C68">
            <w:pPr>
              <w:keepNext/>
              <w:rPr>
                <w:rFonts w:eastAsia="MS Mincho"/>
                <w:b/>
                <w:sz w:val="22"/>
                <w:szCs w:val="22"/>
                <w:lang w:eastAsia="ja-JP"/>
              </w:rPr>
            </w:pPr>
            <w:r w:rsidRPr="00F31BEA">
              <w:rPr>
                <w:rFonts w:eastAsia="MS Mincho"/>
                <w:bCs/>
                <w:sz w:val="22"/>
                <w:szCs w:val="22"/>
                <w:lang w:eastAsia="ja-JP"/>
              </w:rPr>
              <w:t>Nieznana</w:t>
            </w:r>
          </w:p>
        </w:tc>
        <w:tc>
          <w:tcPr>
            <w:tcW w:w="3028" w:type="dxa"/>
            <w:shd w:val="clear" w:color="auto" w:fill="auto"/>
          </w:tcPr>
          <w:p w14:paraId="19F97C2D" w14:textId="77777777" w:rsidR="00275F97" w:rsidRDefault="00275F97" w:rsidP="00275F97">
            <w:pPr>
              <w:keepNext/>
              <w:rPr>
                <w:rFonts w:eastAsia="MS Mincho"/>
                <w:bCs/>
                <w:sz w:val="22"/>
                <w:szCs w:val="22"/>
                <w:lang w:eastAsia="ja-JP"/>
              </w:rPr>
            </w:pPr>
            <w:r w:rsidRPr="00F31BEA">
              <w:rPr>
                <w:rFonts w:eastAsia="MS Mincho"/>
                <w:bCs/>
                <w:sz w:val="22"/>
                <w:szCs w:val="22"/>
                <w:lang w:eastAsia="ja-JP"/>
              </w:rPr>
              <w:t>Zakażenia wtórne</w:t>
            </w:r>
          </w:p>
          <w:p w14:paraId="296E439C" w14:textId="178C9B32" w:rsidR="00275F97" w:rsidRPr="0083412A" w:rsidRDefault="00275F97" w:rsidP="00F56C68">
            <w:pPr>
              <w:keepNext/>
              <w:rPr>
                <w:rFonts w:eastAsia="MS Mincho"/>
                <w:b/>
                <w:sz w:val="22"/>
                <w:szCs w:val="22"/>
                <w:lang w:eastAsia="ja-JP"/>
              </w:rPr>
            </w:pPr>
            <w:r>
              <w:rPr>
                <w:rFonts w:eastAsia="MS Mincho"/>
                <w:bCs/>
                <w:sz w:val="22"/>
                <w:szCs w:val="22"/>
                <w:lang w:eastAsia="ja-JP"/>
              </w:rPr>
              <w:t>Z</w:t>
            </w:r>
            <w:r w:rsidRPr="00F31BEA">
              <w:rPr>
                <w:rFonts w:eastAsia="MS Mincho"/>
                <w:bCs/>
                <w:sz w:val="22"/>
                <w:szCs w:val="22"/>
                <w:lang w:eastAsia="ja-JP"/>
              </w:rPr>
              <w:t>apalenie mieszków włosowych</w:t>
            </w:r>
            <w:r w:rsidR="002F7DB5">
              <w:rPr>
                <w:rFonts w:eastAsia="MS Mincho"/>
                <w:bCs/>
                <w:sz w:val="22"/>
                <w:szCs w:val="22"/>
                <w:lang w:eastAsia="ja-JP"/>
              </w:rPr>
              <w:t xml:space="preserve"> skóry</w:t>
            </w:r>
          </w:p>
        </w:tc>
      </w:tr>
      <w:tr w:rsidR="00275F97" w:rsidRPr="0083412A" w14:paraId="6F445CD0" w14:textId="77777777" w:rsidTr="008C0DB9">
        <w:tc>
          <w:tcPr>
            <w:tcW w:w="3014" w:type="dxa"/>
            <w:shd w:val="clear" w:color="auto" w:fill="auto"/>
          </w:tcPr>
          <w:p w14:paraId="5DD5DE57" w14:textId="6CB8E199" w:rsidR="00275F97" w:rsidRPr="0083412A" w:rsidRDefault="00275F97" w:rsidP="00275F97">
            <w:pPr>
              <w:widowControl w:val="0"/>
              <w:tabs>
                <w:tab w:val="left" w:pos="3686"/>
              </w:tabs>
              <w:autoSpaceDE w:val="0"/>
              <w:autoSpaceDN w:val="0"/>
              <w:ind w:right="-2"/>
              <w:jc w:val="center"/>
              <w:rPr>
                <w:rFonts w:eastAsia="MS Mincho"/>
                <w:b/>
                <w:sz w:val="22"/>
                <w:szCs w:val="22"/>
                <w:lang w:eastAsia="ja-JP"/>
              </w:rPr>
            </w:pPr>
            <w:r w:rsidRPr="00630E52">
              <w:rPr>
                <w:rFonts w:eastAsia="MS Mincho"/>
                <w:bCs/>
                <w:sz w:val="22"/>
                <w:szCs w:val="22"/>
                <w:lang w:eastAsia="ja-JP"/>
              </w:rPr>
              <w:t>Zaburzenia układu odpornościowego</w:t>
            </w:r>
          </w:p>
        </w:tc>
        <w:tc>
          <w:tcPr>
            <w:tcW w:w="3018" w:type="dxa"/>
            <w:shd w:val="clear" w:color="auto" w:fill="auto"/>
          </w:tcPr>
          <w:p w14:paraId="70BF85C5" w14:textId="0BB3A58B" w:rsidR="00275F97" w:rsidRPr="0083412A" w:rsidRDefault="00275F97" w:rsidP="00F56C68">
            <w:pPr>
              <w:keepNext/>
              <w:rPr>
                <w:rFonts w:eastAsia="MS Mincho"/>
                <w:b/>
                <w:sz w:val="22"/>
                <w:szCs w:val="22"/>
                <w:lang w:eastAsia="ja-JP"/>
              </w:rPr>
            </w:pPr>
            <w:r w:rsidRPr="00630E52">
              <w:rPr>
                <w:rFonts w:eastAsia="MS Mincho"/>
                <w:bCs/>
                <w:sz w:val="22"/>
                <w:szCs w:val="22"/>
                <w:lang w:eastAsia="ja-JP"/>
              </w:rPr>
              <w:t>Nieznana</w:t>
            </w:r>
          </w:p>
        </w:tc>
        <w:tc>
          <w:tcPr>
            <w:tcW w:w="3028" w:type="dxa"/>
            <w:shd w:val="clear" w:color="auto" w:fill="auto"/>
          </w:tcPr>
          <w:p w14:paraId="7E7BD26B" w14:textId="442C1465" w:rsidR="00275F97" w:rsidRPr="0083412A" w:rsidRDefault="00D66D20" w:rsidP="00F56C68">
            <w:pPr>
              <w:keepNext/>
              <w:rPr>
                <w:rFonts w:eastAsia="MS Mincho"/>
                <w:b/>
                <w:sz w:val="22"/>
                <w:szCs w:val="22"/>
                <w:lang w:eastAsia="ja-JP"/>
              </w:rPr>
            </w:pPr>
            <w:r>
              <w:rPr>
                <w:rFonts w:eastAsia="MS Mincho"/>
                <w:bCs/>
                <w:sz w:val="22"/>
                <w:szCs w:val="22"/>
                <w:lang w:eastAsia="ja-JP"/>
              </w:rPr>
              <w:t>Zmniejszenie odporności</w:t>
            </w:r>
            <w:r w:rsidR="00275F97" w:rsidRPr="00630E52">
              <w:rPr>
                <w:rFonts w:eastAsia="MS Mincho"/>
                <w:bCs/>
                <w:sz w:val="22"/>
                <w:szCs w:val="22"/>
                <w:lang w:eastAsia="ja-JP"/>
              </w:rPr>
              <w:t xml:space="preserve"> (działanie ogólnoustrojowe)</w:t>
            </w:r>
          </w:p>
        </w:tc>
      </w:tr>
      <w:tr w:rsidR="00275F97" w:rsidRPr="0083412A" w14:paraId="6DBADDD8" w14:textId="77777777" w:rsidTr="008C0DB9">
        <w:tc>
          <w:tcPr>
            <w:tcW w:w="3014" w:type="dxa"/>
            <w:shd w:val="clear" w:color="auto" w:fill="auto"/>
          </w:tcPr>
          <w:p w14:paraId="3E328F4A" w14:textId="5CB4F537" w:rsidR="00275F97" w:rsidRPr="0083412A" w:rsidRDefault="00275F97" w:rsidP="00275F97">
            <w:pPr>
              <w:widowControl w:val="0"/>
              <w:tabs>
                <w:tab w:val="left" w:pos="3686"/>
              </w:tabs>
              <w:autoSpaceDE w:val="0"/>
              <w:autoSpaceDN w:val="0"/>
              <w:ind w:right="-2"/>
              <w:jc w:val="center"/>
              <w:rPr>
                <w:rFonts w:eastAsia="MS Mincho"/>
                <w:b/>
                <w:sz w:val="22"/>
                <w:szCs w:val="22"/>
                <w:lang w:eastAsia="ja-JP"/>
              </w:rPr>
            </w:pPr>
            <w:r w:rsidRPr="008C0DB9">
              <w:rPr>
                <w:rFonts w:eastAsia="MS Mincho"/>
                <w:bCs/>
                <w:sz w:val="22"/>
                <w:szCs w:val="22"/>
                <w:lang w:eastAsia="ja-JP"/>
              </w:rPr>
              <w:t>Zaburzenia endokrynologiczne</w:t>
            </w:r>
          </w:p>
        </w:tc>
        <w:tc>
          <w:tcPr>
            <w:tcW w:w="3018" w:type="dxa"/>
            <w:shd w:val="clear" w:color="auto" w:fill="auto"/>
          </w:tcPr>
          <w:p w14:paraId="13637A48" w14:textId="77777777" w:rsidR="00275F97" w:rsidRDefault="00275F97">
            <w:pPr>
              <w:keepNext/>
              <w:rPr>
                <w:rFonts w:eastAsia="MS Mincho"/>
                <w:bCs/>
                <w:sz w:val="22"/>
                <w:szCs w:val="22"/>
                <w:lang w:eastAsia="ja-JP"/>
              </w:rPr>
            </w:pPr>
            <w:r w:rsidRPr="00F31BEA">
              <w:rPr>
                <w:rFonts w:eastAsia="MS Mincho"/>
                <w:bCs/>
                <w:sz w:val="22"/>
                <w:szCs w:val="22"/>
                <w:lang w:eastAsia="ja-JP"/>
              </w:rPr>
              <w:t>Nieznana</w:t>
            </w:r>
          </w:p>
          <w:p w14:paraId="2170941E" w14:textId="4B908E77" w:rsidR="00EB0926" w:rsidRDefault="00EB0926">
            <w:pPr>
              <w:keepNext/>
              <w:rPr>
                <w:rFonts w:eastAsia="MS Mincho"/>
                <w:b/>
                <w:sz w:val="22"/>
                <w:szCs w:val="22"/>
                <w:lang w:eastAsia="ja-JP"/>
              </w:rPr>
            </w:pPr>
          </w:p>
          <w:p w14:paraId="03B645D3" w14:textId="77777777" w:rsidR="00EB0926" w:rsidRDefault="00EB0926">
            <w:pPr>
              <w:keepNext/>
              <w:rPr>
                <w:rFonts w:eastAsia="MS Mincho"/>
                <w:b/>
                <w:sz w:val="22"/>
                <w:szCs w:val="22"/>
                <w:lang w:eastAsia="ja-JP"/>
              </w:rPr>
            </w:pPr>
          </w:p>
          <w:p w14:paraId="34AFE12D" w14:textId="76EF0B47" w:rsidR="00EB0926" w:rsidRPr="0083412A" w:rsidRDefault="00EB0926" w:rsidP="00F56C68">
            <w:pPr>
              <w:keepNext/>
              <w:rPr>
                <w:rFonts w:eastAsia="MS Mincho"/>
                <w:b/>
                <w:sz w:val="22"/>
                <w:szCs w:val="22"/>
                <w:lang w:eastAsia="ja-JP"/>
              </w:rPr>
            </w:pPr>
            <w:r w:rsidRPr="00F31BEA">
              <w:rPr>
                <w:rFonts w:eastAsia="MS Mincho"/>
                <w:bCs/>
                <w:sz w:val="22"/>
                <w:szCs w:val="22"/>
                <w:lang w:eastAsia="ja-JP"/>
              </w:rPr>
              <w:t>Nieznana</w:t>
            </w:r>
          </w:p>
        </w:tc>
        <w:tc>
          <w:tcPr>
            <w:tcW w:w="3028" w:type="dxa"/>
            <w:shd w:val="clear" w:color="auto" w:fill="auto"/>
          </w:tcPr>
          <w:p w14:paraId="40AB082B" w14:textId="77777777" w:rsidR="00275F97" w:rsidRDefault="00275F97" w:rsidP="00275F97">
            <w:pPr>
              <w:keepNext/>
              <w:rPr>
                <w:rFonts w:eastAsia="MS Mincho"/>
                <w:bCs/>
                <w:sz w:val="22"/>
                <w:szCs w:val="22"/>
                <w:lang w:eastAsia="ja-JP"/>
              </w:rPr>
            </w:pPr>
            <w:r w:rsidRPr="008C0DB9">
              <w:rPr>
                <w:rFonts w:eastAsia="MS Mincho"/>
                <w:bCs/>
                <w:sz w:val="22"/>
                <w:szCs w:val="22"/>
                <w:lang w:eastAsia="ja-JP"/>
              </w:rPr>
              <w:t xml:space="preserve">Zahamowanie czynności osi podwzgórze-przysadka-nadnercza </w:t>
            </w:r>
          </w:p>
          <w:p w14:paraId="5A5E4646" w14:textId="7C653900" w:rsidR="00275F97" w:rsidRPr="0083412A" w:rsidRDefault="00275F97" w:rsidP="00F56C68">
            <w:pPr>
              <w:keepNext/>
              <w:rPr>
                <w:rFonts w:eastAsia="MS Mincho"/>
                <w:b/>
                <w:sz w:val="22"/>
                <w:szCs w:val="22"/>
                <w:lang w:eastAsia="ja-JP"/>
              </w:rPr>
            </w:pPr>
            <w:r w:rsidRPr="008C0DB9">
              <w:rPr>
                <w:rFonts w:eastAsia="MS Mincho"/>
                <w:bCs/>
                <w:sz w:val="22"/>
                <w:szCs w:val="22"/>
                <w:lang w:eastAsia="ja-JP"/>
              </w:rPr>
              <w:t>Zespół Cushinga (działanie ogólnoustrojowe)</w:t>
            </w:r>
          </w:p>
        </w:tc>
      </w:tr>
      <w:tr w:rsidR="00275F97" w:rsidRPr="0083412A" w14:paraId="57CE057E" w14:textId="77777777" w:rsidTr="008C0DB9">
        <w:tc>
          <w:tcPr>
            <w:tcW w:w="3014" w:type="dxa"/>
            <w:shd w:val="clear" w:color="auto" w:fill="auto"/>
          </w:tcPr>
          <w:p w14:paraId="78EEE3D7" w14:textId="3AAC9BE9" w:rsidR="00275F97" w:rsidRPr="00F56C68" w:rsidRDefault="00275F97" w:rsidP="00275F97">
            <w:pPr>
              <w:widowControl w:val="0"/>
              <w:tabs>
                <w:tab w:val="left" w:pos="3686"/>
              </w:tabs>
              <w:autoSpaceDE w:val="0"/>
              <w:autoSpaceDN w:val="0"/>
              <w:ind w:right="-2"/>
              <w:jc w:val="center"/>
              <w:rPr>
                <w:rFonts w:eastAsia="MS Mincho"/>
                <w:bCs/>
                <w:sz w:val="22"/>
                <w:szCs w:val="22"/>
                <w:lang w:eastAsia="ja-JP"/>
              </w:rPr>
            </w:pPr>
            <w:r w:rsidRPr="00275F97">
              <w:rPr>
                <w:rFonts w:eastAsia="MS Mincho"/>
                <w:bCs/>
                <w:sz w:val="22"/>
                <w:szCs w:val="22"/>
                <w:lang w:eastAsia="ja-JP"/>
              </w:rPr>
              <w:t>Zaburzenia metabolizmu i odżywiania</w:t>
            </w:r>
          </w:p>
        </w:tc>
        <w:tc>
          <w:tcPr>
            <w:tcW w:w="3018" w:type="dxa"/>
            <w:shd w:val="clear" w:color="auto" w:fill="auto"/>
          </w:tcPr>
          <w:p w14:paraId="7FA79BAC" w14:textId="04FC8CF1" w:rsidR="00275F97" w:rsidRPr="00F56C68" w:rsidRDefault="00275F97" w:rsidP="00F56C68">
            <w:pPr>
              <w:keepNext/>
              <w:rPr>
                <w:rFonts w:eastAsia="MS Mincho"/>
                <w:bCs/>
                <w:sz w:val="22"/>
                <w:szCs w:val="22"/>
                <w:lang w:eastAsia="ja-JP"/>
              </w:rPr>
            </w:pPr>
            <w:r>
              <w:rPr>
                <w:rFonts w:eastAsia="MS Mincho"/>
                <w:bCs/>
                <w:sz w:val="22"/>
                <w:szCs w:val="22"/>
                <w:lang w:eastAsia="ja-JP"/>
              </w:rPr>
              <w:t>Nieznana</w:t>
            </w:r>
          </w:p>
        </w:tc>
        <w:tc>
          <w:tcPr>
            <w:tcW w:w="3028" w:type="dxa"/>
            <w:shd w:val="clear" w:color="auto" w:fill="auto"/>
          </w:tcPr>
          <w:p w14:paraId="5C0C1D54" w14:textId="63D27A32" w:rsidR="00275F97" w:rsidRPr="00F56C68" w:rsidRDefault="00275F97" w:rsidP="00F56C68">
            <w:pPr>
              <w:keepNext/>
              <w:rPr>
                <w:rFonts w:eastAsia="MS Mincho"/>
                <w:bCs/>
                <w:sz w:val="22"/>
                <w:szCs w:val="22"/>
                <w:lang w:eastAsia="ja-JP"/>
              </w:rPr>
            </w:pPr>
            <w:r w:rsidRPr="00275F97">
              <w:rPr>
                <w:rFonts w:eastAsia="MS Mincho"/>
                <w:bCs/>
                <w:sz w:val="22"/>
                <w:szCs w:val="22"/>
                <w:lang w:eastAsia="ja-JP"/>
              </w:rPr>
              <w:t>Hiperglikemia (działanie ogólnoustrojowe)</w:t>
            </w:r>
          </w:p>
        </w:tc>
      </w:tr>
      <w:tr w:rsidR="00275F97" w:rsidRPr="0083412A" w14:paraId="5A0557EB" w14:textId="77777777" w:rsidTr="008C0DB9">
        <w:tc>
          <w:tcPr>
            <w:tcW w:w="3014" w:type="dxa"/>
            <w:shd w:val="clear" w:color="auto" w:fill="auto"/>
          </w:tcPr>
          <w:p w14:paraId="32DE536D" w14:textId="77777777" w:rsidR="00275F97" w:rsidRDefault="00275F97" w:rsidP="00275F97">
            <w:pPr>
              <w:pStyle w:val="Default"/>
              <w:rPr>
                <w:sz w:val="22"/>
                <w:szCs w:val="22"/>
              </w:rPr>
            </w:pPr>
            <w:r>
              <w:rPr>
                <w:sz w:val="22"/>
                <w:szCs w:val="22"/>
              </w:rPr>
              <w:t>Zaburzenia naczyniowe</w:t>
            </w:r>
          </w:p>
          <w:p w14:paraId="5D9911D1" w14:textId="52239653" w:rsidR="00275F97" w:rsidRPr="00F56C68" w:rsidRDefault="00275F97" w:rsidP="00275F97">
            <w:pPr>
              <w:widowControl w:val="0"/>
              <w:tabs>
                <w:tab w:val="left" w:pos="3686"/>
              </w:tabs>
              <w:autoSpaceDE w:val="0"/>
              <w:autoSpaceDN w:val="0"/>
              <w:ind w:right="-2"/>
              <w:jc w:val="center"/>
              <w:rPr>
                <w:rFonts w:eastAsia="MS Mincho"/>
                <w:bCs/>
                <w:sz w:val="22"/>
                <w:szCs w:val="22"/>
                <w:lang w:eastAsia="ja-JP"/>
              </w:rPr>
            </w:pPr>
          </w:p>
        </w:tc>
        <w:tc>
          <w:tcPr>
            <w:tcW w:w="3018" w:type="dxa"/>
            <w:shd w:val="clear" w:color="auto" w:fill="auto"/>
          </w:tcPr>
          <w:p w14:paraId="544D7204" w14:textId="083B9E8A" w:rsidR="00275F97" w:rsidRPr="0083412A" w:rsidRDefault="00275F97" w:rsidP="00F56C68">
            <w:pPr>
              <w:keepNext/>
              <w:rPr>
                <w:rFonts w:eastAsia="MS Mincho"/>
                <w:b/>
                <w:sz w:val="22"/>
                <w:szCs w:val="22"/>
                <w:lang w:eastAsia="ja-JP"/>
              </w:rPr>
            </w:pPr>
            <w:r>
              <w:rPr>
                <w:rFonts w:eastAsia="MS Mincho"/>
                <w:bCs/>
                <w:sz w:val="22"/>
                <w:szCs w:val="22"/>
                <w:lang w:eastAsia="ja-JP"/>
              </w:rPr>
              <w:t>Nieznana</w:t>
            </w:r>
          </w:p>
        </w:tc>
        <w:tc>
          <w:tcPr>
            <w:tcW w:w="3028" w:type="dxa"/>
            <w:shd w:val="clear" w:color="auto" w:fill="auto"/>
          </w:tcPr>
          <w:p w14:paraId="3A1BDD4B" w14:textId="247338B6" w:rsidR="00275F97" w:rsidRPr="00F56C68" w:rsidRDefault="00275F97" w:rsidP="00F56C68">
            <w:pPr>
              <w:keepNext/>
              <w:rPr>
                <w:rFonts w:eastAsia="MS Mincho"/>
                <w:bCs/>
                <w:sz w:val="22"/>
                <w:szCs w:val="22"/>
                <w:lang w:eastAsia="ja-JP"/>
              </w:rPr>
            </w:pPr>
            <w:r w:rsidRPr="00275F97">
              <w:rPr>
                <w:rFonts w:eastAsia="MS Mincho"/>
                <w:bCs/>
                <w:sz w:val="22"/>
                <w:szCs w:val="22"/>
                <w:lang w:eastAsia="ja-JP"/>
              </w:rPr>
              <w:t>Nadciśnienie tętnicze (działanie ogólnoustrojowe)</w:t>
            </w:r>
          </w:p>
        </w:tc>
      </w:tr>
      <w:tr w:rsidR="00956BC3" w:rsidRPr="0083412A" w14:paraId="237B8FC9" w14:textId="77777777" w:rsidTr="003A205C">
        <w:trPr>
          <w:trHeight w:val="206"/>
        </w:trPr>
        <w:tc>
          <w:tcPr>
            <w:tcW w:w="3014" w:type="dxa"/>
            <w:vMerge w:val="restart"/>
            <w:shd w:val="clear" w:color="auto" w:fill="auto"/>
          </w:tcPr>
          <w:p w14:paraId="3ADF7400" w14:textId="77777777" w:rsidR="00956BC3" w:rsidRPr="00907A1F" w:rsidRDefault="00956BC3" w:rsidP="00956BC3">
            <w:pPr>
              <w:keepNext/>
              <w:rPr>
                <w:sz w:val="22"/>
                <w:szCs w:val="22"/>
              </w:rPr>
            </w:pPr>
            <w:r w:rsidRPr="00907A1F">
              <w:rPr>
                <w:sz w:val="22"/>
                <w:szCs w:val="22"/>
              </w:rPr>
              <w:lastRenderedPageBreak/>
              <w:t>Zaburzenia skóry i tkanki podskórnej</w:t>
            </w:r>
          </w:p>
          <w:p w14:paraId="20F4C2EA" w14:textId="77777777" w:rsidR="00956BC3" w:rsidRPr="00907A1F" w:rsidRDefault="00956BC3" w:rsidP="00275F97">
            <w:pPr>
              <w:keepNext/>
              <w:rPr>
                <w:sz w:val="22"/>
                <w:szCs w:val="22"/>
              </w:rPr>
            </w:pPr>
          </w:p>
        </w:tc>
        <w:tc>
          <w:tcPr>
            <w:tcW w:w="3018" w:type="dxa"/>
            <w:shd w:val="clear" w:color="auto" w:fill="auto"/>
          </w:tcPr>
          <w:p w14:paraId="68E642E7" w14:textId="0B2622C7" w:rsidR="00956BC3" w:rsidRDefault="00956BC3" w:rsidP="00275F97">
            <w:pPr>
              <w:keepNext/>
              <w:rPr>
                <w:sz w:val="22"/>
                <w:szCs w:val="22"/>
                <w:u w:val="single"/>
              </w:rPr>
            </w:pPr>
            <w:r w:rsidRPr="00F56C68">
              <w:rPr>
                <w:rFonts w:eastAsia="MS Mincho"/>
                <w:bCs/>
                <w:sz w:val="22"/>
                <w:szCs w:val="22"/>
                <w:lang w:eastAsia="ja-JP"/>
              </w:rPr>
              <w:t>Niezbyt często</w:t>
            </w:r>
          </w:p>
        </w:tc>
        <w:tc>
          <w:tcPr>
            <w:tcW w:w="3028" w:type="dxa"/>
            <w:shd w:val="clear" w:color="auto" w:fill="auto"/>
          </w:tcPr>
          <w:p w14:paraId="41F54C54" w14:textId="77777777" w:rsidR="00956BC3" w:rsidRDefault="00956BC3" w:rsidP="003A205C">
            <w:pPr>
              <w:keepNext/>
              <w:rPr>
                <w:sz w:val="22"/>
                <w:szCs w:val="22"/>
              </w:rPr>
            </w:pPr>
            <w:r>
              <w:rPr>
                <w:sz w:val="22"/>
                <w:szCs w:val="22"/>
              </w:rPr>
              <w:t>-</w:t>
            </w:r>
            <w:r w:rsidRPr="0083412A">
              <w:rPr>
                <w:sz w:val="22"/>
                <w:szCs w:val="22"/>
              </w:rPr>
              <w:t xml:space="preserve">zanik i rozstępy skóry, </w:t>
            </w:r>
          </w:p>
          <w:p w14:paraId="7A7E0E99" w14:textId="2427C73E" w:rsidR="00956BC3" w:rsidRDefault="00956BC3" w:rsidP="003A205C">
            <w:pPr>
              <w:keepNext/>
              <w:rPr>
                <w:sz w:val="22"/>
                <w:szCs w:val="22"/>
              </w:rPr>
            </w:pPr>
            <w:r>
              <w:rPr>
                <w:sz w:val="22"/>
                <w:szCs w:val="22"/>
              </w:rPr>
              <w:t>-</w:t>
            </w:r>
            <w:r w:rsidRPr="0083412A">
              <w:rPr>
                <w:sz w:val="22"/>
                <w:szCs w:val="22"/>
              </w:rPr>
              <w:t>teleangiektazje</w:t>
            </w:r>
            <w:r>
              <w:rPr>
                <w:sz w:val="22"/>
                <w:szCs w:val="22"/>
              </w:rPr>
              <w:t>.</w:t>
            </w:r>
            <w:r w:rsidRPr="0083412A">
              <w:rPr>
                <w:sz w:val="22"/>
                <w:szCs w:val="22"/>
              </w:rPr>
              <w:t xml:space="preserve"> </w:t>
            </w:r>
          </w:p>
          <w:p w14:paraId="64A18516" w14:textId="245C940C" w:rsidR="00956BC3" w:rsidRPr="0083412A" w:rsidRDefault="00956BC3" w:rsidP="00275F97">
            <w:pPr>
              <w:keepNext/>
              <w:rPr>
                <w:sz w:val="22"/>
                <w:szCs w:val="22"/>
              </w:rPr>
            </w:pPr>
          </w:p>
        </w:tc>
      </w:tr>
      <w:tr w:rsidR="00956BC3" w:rsidRPr="0083412A" w14:paraId="68310938" w14:textId="77777777" w:rsidTr="008C0DB9">
        <w:trPr>
          <w:trHeight w:val="270"/>
        </w:trPr>
        <w:tc>
          <w:tcPr>
            <w:tcW w:w="3014" w:type="dxa"/>
            <w:vMerge/>
            <w:shd w:val="clear" w:color="auto" w:fill="auto"/>
          </w:tcPr>
          <w:p w14:paraId="60C394A8" w14:textId="77777777" w:rsidR="00956BC3" w:rsidRPr="00907A1F" w:rsidRDefault="00956BC3" w:rsidP="00275F97">
            <w:pPr>
              <w:keepNext/>
              <w:rPr>
                <w:sz w:val="22"/>
                <w:szCs w:val="22"/>
              </w:rPr>
            </w:pPr>
          </w:p>
        </w:tc>
        <w:tc>
          <w:tcPr>
            <w:tcW w:w="3018" w:type="dxa"/>
            <w:shd w:val="clear" w:color="auto" w:fill="auto"/>
          </w:tcPr>
          <w:p w14:paraId="4A2AD5A9" w14:textId="2BDB7E00" w:rsidR="00956BC3" w:rsidRPr="00F56C68" w:rsidRDefault="00956BC3" w:rsidP="00275F97">
            <w:pPr>
              <w:keepNext/>
              <w:rPr>
                <w:rFonts w:eastAsia="MS Mincho"/>
                <w:bCs/>
                <w:sz w:val="22"/>
                <w:szCs w:val="22"/>
                <w:lang w:eastAsia="ja-JP"/>
              </w:rPr>
            </w:pPr>
            <w:r w:rsidRPr="00F56C68">
              <w:rPr>
                <w:rFonts w:eastAsia="MS Mincho"/>
                <w:bCs/>
                <w:sz w:val="22"/>
                <w:szCs w:val="22"/>
                <w:lang w:eastAsia="ja-JP"/>
              </w:rPr>
              <w:t>Rzadko</w:t>
            </w:r>
          </w:p>
        </w:tc>
        <w:tc>
          <w:tcPr>
            <w:tcW w:w="3028" w:type="dxa"/>
            <w:shd w:val="clear" w:color="auto" w:fill="auto"/>
          </w:tcPr>
          <w:p w14:paraId="68538C0F" w14:textId="62C67A27" w:rsidR="00956BC3" w:rsidRPr="0083412A" w:rsidRDefault="00956BC3" w:rsidP="00275F97">
            <w:pPr>
              <w:keepNext/>
              <w:rPr>
                <w:sz w:val="22"/>
                <w:szCs w:val="22"/>
              </w:rPr>
            </w:pPr>
            <w:r w:rsidRPr="009624B6">
              <w:rPr>
                <w:sz w:val="22"/>
                <w:szCs w:val="22"/>
              </w:rPr>
              <w:t>Hipertrichoza</w:t>
            </w:r>
          </w:p>
        </w:tc>
      </w:tr>
      <w:tr w:rsidR="00956BC3" w:rsidRPr="0083412A" w14:paraId="16AC8914" w14:textId="77777777" w:rsidTr="008C0DB9">
        <w:trPr>
          <w:trHeight w:val="270"/>
        </w:trPr>
        <w:tc>
          <w:tcPr>
            <w:tcW w:w="3014" w:type="dxa"/>
            <w:vMerge/>
            <w:shd w:val="clear" w:color="auto" w:fill="auto"/>
          </w:tcPr>
          <w:p w14:paraId="6E2B9B2C" w14:textId="77777777" w:rsidR="00956BC3" w:rsidRPr="00907A1F" w:rsidRDefault="00956BC3" w:rsidP="00275F97">
            <w:pPr>
              <w:keepNext/>
              <w:rPr>
                <w:sz w:val="22"/>
                <w:szCs w:val="22"/>
              </w:rPr>
            </w:pPr>
          </w:p>
        </w:tc>
        <w:tc>
          <w:tcPr>
            <w:tcW w:w="3018" w:type="dxa"/>
            <w:shd w:val="clear" w:color="auto" w:fill="auto"/>
          </w:tcPr>
          <w:p w14:paraId="19ECCEC3" w14:textId="6FAB2FCF" w:rsidR="00956BC3" w:rsidRPr="00956BC3" w:rsidRDefault="00956BC3" w:rsidP="00275F97">
            <w:pPr>
              <w:keepNext/>
              <w:rPr>
                <w:rFonts w:eastAsia="MS Mincho"/>
                <w:bCs/>
                <w:sz w:val="22"/>
                <w:szCs w:val="22"/>
                <w:lang w:eastAsia="ja-JP"/>
              </w:rPr>
            </w:pPr>
            <w:r w:rsidRPr="00A509DC">
              <w:rPr>
                <w:rFonts w:eastAsia="MS Mincho"/>
                <w:bCs/>
                <w:sz w:val="22"/>
                <w:szCs w:val="22"/>
                <w:lang w:eastAsia="ja-JP"/>
              </w:rPr>
              <w:t>Nieznana</w:t>
            </w:r>
          </w:p>
        </w:tc>
        <w:tc>
          <w:tcPr>
            <w:tcW w:w="3028" w:type="dxa"/>
            <w:shd w:val="clear" w:color="auto" w:fill="auto"/>
          </w:tcPr>
          <w:p w14:paraId="3151C36B" w14:textId="77777777" w:rsidR="00956BC3" w:rsidRDefault="00956BC3" w:rsidP="00956BC3">
            <w:pPr>
              <w:keepNext/>
              <w:rPr>
                <w:sz w:val="22"/>
                <w:szCs w:val="22"/>
              </w:rPr>
            </w:pPr>
            <w:r w:rsidRPr="0083412A">
              <w:rPr>
                <w:sz w:val="22"/>
                <w:szCs w:val="22"/>
              </w:rPr>
              <w:t xml:space="preserve">Mogą wystąpić </w:t>
            </w:r>
          </w:p>
          <w:p w14:paraId="28C29F69" w14:textId="77777777" w:rsidR="00956BC3" w:rsidRDefault="00956BC3" w:rsidP="00956BC3">
            <w:pPr>
              <w:keepNext/>
              <w:rPr>
                <w:sz w:val="22"/>
                <w:szCs w:val="22"/>
              </w:rPr>
            </w:pPr>
            <w:r>
              <w:rPr>
                <w:sz w:val="22"/>
                <w:szCs w:val="22"/>
              </w:rPr>
              <w:t>-</w:t>
            </w:r>
            <w:r w:rsidRPr="0083412A">
              <w:rPr>
                <w:sz w:val="22"/>
                <w:szCs w:val="22"/>
              </w:rPr>
              <w:t>zmiany trądzikopodobne,</w:t>
            </w:r>
          </w:p>
          <w:p w14:paraId="4D6A5A2F" w14:textId="77777777" w:rsidR="00956BC3" w:rsidRDefault="00956BC3" w:rsidP="00956BC3">
            <w:pPr>
              <w:keepNext/>
              <w:rPr>
                <w:sz w:val="22"/>
                <w:szCs w:val="22"/>
              </w:rPr>
            </w:pPr>
            <w:r>
              <w:rPr>
                <w:sz w:val="22"/>
                <w:szCs w:val="22"/>
              </w:rPr>
              <w:t>-</w:t>
            </w:r>
            <w:r w:rsidRPr="0083412A">
              <w:rPr>
                <w:sz w:val="22"/>
                <w:szCs w:val="22"/>
              </w:rPr>
              <w:t xml:space="preserve">plamica posteroidowa, </w:t>
            </w:r>
          </w:p>
          <w:p w14:paraId="04128B27" w14:textId="77777777" w:rsidR="00956BC3" w:rsidRDefault="00956BC3" w:rsidP="00956BC3">
            <w:pPr>
              <w:keepNext/>
              <w:rPr>
                <w:sz w:val="22"/>
                <w:szCs w:val="22"/>
              </w:rPr>
            </w:pPr>
            <w:r>
              <w:rPr>
                <w:sz w:val="22"/>
                <w:szCs w:val="22"/>
              </w:rPr>
              <w:t>-</w:t>
            </w:r>
            <w:r w:rsidRPr="0083412A">
              <w:rPr>
                <w:sz w:val="22"/>
                <w:szCs w:val="22"/>
              </w:rPr>
              <w:t xml:space="preserve">zahamowanie wzrostu naskórka, </w:t>
            </w:r>
          </w:p>
          <w:p w14:paraId="567114FC" w14:textId="77777777" w:rsidR="00956BC3" w:rsidRDefault="00956BC3" w:rsidP="00956BC3">
            <w:pPr>
              <w:keepNext/>
              <w:rPr>
                <w:sz w:val="22"/>
                <w:szCs w:val="22"/>
              </w:rPr>
            </w:pPr>
            <w:r>
              <w:rPr>
                <w:sz w:val="22"/>
                <w:szCs w:val="22"/>
              </w:rPr>
              <w:t>-</w:t>
            </w:r>
            <w:r w:rsidRPr="0083412A">
              <w:rPr>
                <w:sz w:val="22"/>
                <w:szCs w:val="22"/>
              </w:rPr>
              <w:t xml:space="preserve">pieczenie, </w:t>
            </w:r>
          </w:p>
          <w:p w14:paraId="4B3EDBC4" w14:textId="77777777" w:rsidR="00956BC3" w:rsidRDefault="00956BC3" w:rsidP="00956BC3">
            <w:pPr>
              <w:keepNext/>
              <w:rPr>
                <w:sz w:val="22"/>
                <w:szCs w:val="22"/>
              </w:rPr>
            </w:pPr>
            <w:r>
              <w:rPr>
                <w:sz w:val="22"/>
                <w:szCs w:val="22"/>
              </w:rPr>
              <w:t>-</w:t>
            </w:r>
            <w:r w:rsidRPr="0083412A">
              <w:rPr>
                <w:sz w:val="22"/>
                <w:szCs w:val="22"/>
              </w:rPr>
              <w:t xml:space="preserve">świąd, </w:t>
            </w:r>
          </w:p>
          <w:p w14:paraId="4581CE56" w14:textId="77777777" w:rsidR="00956BC3" w:rsidRDefault="00956BC3" w:rsidP="00956BC3">
            <w:pPr>
              <w:keepNext/>
              <w:rPr>
                <w:sz w:val="22"/>
                <w:szCs w:val="22"/>
              </w:rPr>
            </w:pPr>
            <w:r>
              <w:rPr>
                <w:sz w:val="22"/>
                <w:szCs w:val="22"/>
              </w:rPr>
              <w:t>-</w:t>
            </w:r>
            <w:r w:rsidRPr="0083412A">
              <w:rPr>
                <w:sz w:val="22"/>
                <w:szCs w:val="22"/>
              </w:rPr>
              <w:t xml:space="preserve">podrażnienie, </w:t>
            </w:r>
          </w:p>
          <w:p w14:paraId="1FD594CF" w14:textId="77777777" w:rsidR="00956BC3" w:rsidRDefault="00956BC3" w:rsidP="00956BC3">
            <w:pPr>
              <w:keepNext/>
              <w:rPr>
                <w:sz w:val="22"/>
                <w:szCs w:val="22"/>
              </w:rPr>
            </w:pPr>
            <w:r>
              <w:rPr>
                <w:sz w:val="22"/>
                <w:szCs w:val="22"/>
              </w:rPr>
              <w:t>-</w:t>
            </w:r>
            <w:r w:rsidRPr="0083412A">
              <w:rPr>
                <w:sz w:val="22"/>
                <w:szCs w:val="22"/>
              </w:rPr>
              <w:t xml:space="preserve">wysypka, </w:t>
            </w:r>
          </w:p>
          <w:p w14:paraId="5FBA7B53" w14:textId="77777777" w:rsidR="00956BC3" w:rsidRDefault="00956BC3" w:rsidP="00956BC3">
            <w:pPr>
              <w:keepNext/>
              <w:rPr>
                <w:sz w:val="22"/>
                <w:szCs w:val="22"/>
              </w:rPr>
            </w:pPr>
            <w:r>
              <w:rPr>
                <w:sz w:val="22"/>
                <w:szCs w:val="22"/>
              </w:rPr>
              <w:t>-</w:t>
            </w:r>
            <w:r w:rsidRPr="0083412A">
              <w:rPr>
                <w:sz w:val="22"/>
                <w:szCs w:val="22"/>
              </w:rPr>
              <w:t xml:space="preserve">zaniki tkanki podskórnej, </w:t>
            </w:r>
          </w:p>
          <w:p w14:paraId="101A0CDA" w14:textId="77777777" w:rsidR="00956BC3" w:rsidRDefault="00956BC3" w:rsidP="00956BC3">
            <w:pPr>
              <w:keepNext/>
              <w:rPr>
                <w:sz w:val="22"/>
                <w:szCs w:val="22"/>
              </w:rPr>
            </w:pPr>
            <w:r>
              <w:rPr>
                <w:sz w:val="22"/>
                <w:szCs w:val="22"/>
              </w:rPr>
              <w:t>-</w:t>
            </w:r>
            <w:r w:rsidRPr="0083412A">
              <w:rPr>
                <w:sz w:val="22"/>
                <w:szCs w:val="22"/>
              </w:rPr>
              <w:t>suchość skóry,</w:t>
            </w:r>
          </w:p>
          <w:p w14:paraId="526BB7AC" w14:textId="77777777" w:rsidR="00956BC3" w:rsidRDefault="00956BC3" w:rsidP="00956BC3">
            <w:pPr>
              <w:keepNext/>
              <w:rPr>
                <w:sz w:val="22"/>
                <w:szCs w:val="22"/>
              </w:rPr>
            </w:pPr>
            <w:r>
              <w:rPr>
                <w:sz w:val="22"/>
                <w:szCs w:val="22"/>
              </w:rPr>
              <w:t>-</w:t>
            </w:r>
            <w:r w:rsidRPr="0083412A">
              <w:rPr>
                <w:sz w:val="22"/>
                <w:szCs w:val="22"/>
              </w:rPr>
              <w:t xml:space="preserve">łysienie, </w:t>
            </w:r>
          </w:p>
          <w:p w14:paraId="09722F55" w14:textId="77777777" w:rsidR="00956BC3" w:rsidRDefault="00956BC3" w:rsidP="00956BC3">
            <w:pPr>
              <w:keepNext/>
              <w:rPr>
                <w:sz w:val="22"/>
                <w:szCs w:val="22"/>
              </w:rPr>
            </w:pPr>
            <w:r>
              <w:rPr>
                <w:sz w:val="22"/>
                <w:szCs w:val="22"/>
              </w:rPr>
              <w:t>-</w:t>
            </w:r>
            <w:r w:rsidRPr="0083412A">
              <w:rPr>
                <w:sz w:val="22"/>
                <w:szCs w:val="22"/>
              </w:rPr>
              <w:t xml:space="preserve">odbarwienie lub przebarwienie skóry, </w:t>
            </w:r>
          </w:p>
          <w:p w14:paraId="7C8E8E4A" w14:textId="77777777" w:rsidR="00956BC3" w:rsidRDefault="00956BC3" w:rsidP="00956BC3">
            <w:pPr>
              <w:keepNext/>
              <w:rPr>
                <w:sz w:val="22"/>
                <w:szCs w:val="22"/>
              </w:rPr>
            </w:pPr>
            <w:r>
              <w:rPr>
                <w:sz w:val="22"/>
                <w:szCs w:val="22"/>
              </w:rPr>
              <w:t>-</w:t>
            </w:r>
            <w:r w:rsidRPr="0083412A">
              <w:rPr>
                <w:sz w:val="22"/>
                <w:szCs w:val="22"/>
              </w:rPr>
              <w:t>stan zapalny skóry dookoła ust,</w:t>
            </w:r>
            <w:r w:rsidRPr="0083412A" w:rsidDel="003A4F31">
              <w:rPr>
                <w:sz w:val="22"/>
                <w:szCs w:val="22"/>
              </w:rPr>
              <w:t xml:space="preserve"> </w:t>
            </w:r>
          </w:p>
          <w:p w14:paraId="03F5B8DA" w14:textId="77777777" w:rsidR="00956BC3" w:rsidRDefault="00956BC3" w:rsidP="00956BC3">
            <w:pPr>
              <w:keepNext/>
              <w:rPr>
                <w:sz w:val="22"/>
                <w:szCs w:val="22"/>
              </w:rPr>
            </w:pPr>
            <w:r>
              <w:rPr>
                <w:sz w:val="22"/>
                <w:szCs w:val="22"/>
              </w:rPr>
              <w:t>-</w:t>
            </w:r>
            <w:r w:rsidRPr="00A509DC">
              <w:rPr>
                <w:sz w:val="22"/>
                <w:szCs w:val="22"/>
              </w:rPr>
              <w:t>wykwity wtórne</w:t>
            </w:r>
            <w:r>
              <w:rPr>
                <w:sz w:val="22"/>
                <w:szCs w:val="22"/>
              </w:rPr>
              <w:t>,</w:t>
            </w:r>
          </w:p>
          <w:p w14:paraId="04C1425D" w14:textId="77777777" w:rsidR="00956BC3" w:rsidRDefault="00956BC3" w:rsidP="00956BC3">
            <w:pPr>
              <w:keepNext/>
              <w:rPr>
                <w:sz w:val="22"/>
                <w:szCs w:val="22"/>
              </w:rPr>
            </w:pPr>
            <w:r w:rsidRPr="0083412A">
              <w:rPr>
                <w:sz w:val="22"/>
                <w:szCs w:val="22"/>
              </w:rPr>
              <w:t xml:space="preserve">Niekiedy może wystąpić </w:t>
            </w:r>
            <w:r>
              <w:rPr>
                <w:sz w:val="22"/>
                <w:szCs w:val="22"/>
              </w:rPr>
              <w:t xml:space="preserve"> </w:t>
            </w:r>
          </w:p>
          <w:p w14:paraId="051BA1FC" w14:textId="77777777" w:rsidR="00956BC3" w:rsidRDefault="00956BC3" w:rsidP="00956BC3">
            <w:pPr>
              <w:keepNext/>
              <w:rPr>
                <w:sz w:val="22"/>
                <w:szCs w:val="22"/>
              </w:rPr>
            </w:pPr>
            <w:r>
              <w:rPr>
                <w:sz w:val="22"/>
                <w:szCs w:val="22"/>
              </w:rPr>
              <w:t>-</w:t>
            </w:r>
            <w:r w:rsidRPr="0083412A">
              <w:rPr>
                <w:sz w:val="22"/>
                <w:szCs w:val="22"/>
              </w:rPr>
              <w:t>pokrzywka</w:t>
            </w:r>
            <w:r>
              <w:rPr>
                <w:sz w:val="22"/>
                <w:szCs w:val="22"/>
              </w:rPr>
              <w:t>,</w:t>
            </w:r>
          </w:p>
          <w:p w14:paraId="1021FCDE" w14:textId="77777777" w:rsidR="00956BC3" w:rsidRDefault="00956BC3" w:rsidP="00956BC3">
            <w:pPr>
              <w:keepNext/>
              <w:rPr>
                <w:sz w:val="22"/>
                <w:szCs w:val="22"/>
              </w:rPr>
            </w:pPr>
            <w:r>
              <w:rPr>
                <w:sz w:val="22"/>
                <w:szCs w:val="22"/>
              </w:rPr>
              <w:t>-</w:t>
            </w:r>
            <w:r w:rsidRPr="0083412A">
              <w:rPr>
                <w:sz w:val="22"/>
                <w:szCs w:val="22"/>
              </w:rPr>
              <w:t>wysypka plamisto-grudkowa</w:t>
            </w:r>
            <w:r>
              <w:rPr>
                <w:sz w:val="22"/>
                <w:szCs w:val="22"/>
              </w:rPr>
              <w:t>,</w:t>
            </w:r>
            <w:r w:rsidRPr="0083412A">
              <w:rPr>
                <w:sz w:val="22"/>
                <w:szCs w:val="22"/>
              </w:rPr>
              <w:t xml:space="preserve"> </w:t>
            </w:r>
          </w:p>
          <w:p w14:paraId="2CC4D859" w14:textId="02EE8C98" w:rsidR="00956BC3" w:rsidRPr="009624B6" w:rsidRDefault="00956BC3" w:rsidP="00956BC3">
            <w:pPr>
              <w:keepNext/>
              <w:rPr>
                <w:sz w:val="22"/>
                <w:szCs w:val="22"/>
              </w:rPr>
            </w:pPr>
            <w:r>
              <w:rPr>
                <w:sz w:val="22"/>
                <w:szCs w:val="22"/>
              </w:rPr>
              <w:t>-</w:t>
            </w:r>
            <w:r w:rsidRPr="0083412A">
              <w:rPr>
                <w:sz w:val="22"/>
                <w:szCs w:val="22"/>
              </w:rPr>
              <w:t>zaostrzenie istniejących zmian</w:t>
            </w:r>
            <w:r>
              <w:rPr>
                <w:sz w:val="22"/>
                <w:szCs w:val="22"/>
              </w:rPr>
              <w:t xml:space="preserve"> chorobowych.</w:t>
            </w:r>
          </w:p>
        </w:tc>
      </w:tr>
      <w:tr w:rsidR="00275F97" w:rsidRPr="0083412A" w14:paraId="64EAEAFD" w14:textId="77777777" w:rsidTr="008C0DB9">
        <w:tc>
          <w:tcPr>
            <w:tcW w:w="3014" w:type="dxa"/>
            <w:shd w:val="clear" w:color="auto" w:fill="auto"/>
          </w:tcPr>
          <w:p w14:paraId="64EAEAF8" w14:textId="77777777" w:rsidR="00275F97" w:rsidRPr="00907A1F" w:rsidRDefault="00275F97" w:rsidP="00275F97">
            <w:pPr>
              <w:rPr>
                <w:sz w:val="22"/>
                <w:szCs w:val="22"/>
              </w:rPr>
            </w:pPr>
            <w:r w:rsidRPr="00907A1F">
              <w:rPr>
                <w:sz w:val="22"/>
                <w:szCs w:val="22"/>
              </w:rPr>
              <w:t>Zaburzenia oka</w:t>
            </w:r>
          </w:p>
          <w:p w14:paraId="64EAEAF9" w14:textId="77777777" w:rsidR="00275F97" w:rsidRPr="00041D1A" w:rsidRDefault="00275F97" w:rsidP="00275F97">
            <w:pPr>
              <w:keepNext/>
              <w:rPr>
                <w:sz w:val="22"/>
                <w:szCs w:val="22"/>
                <w:u w:val="single"/>
              </w:rPr>
            </w:pPr>
          </w:p>
        </w:tc>
        <w:tc>
          <w:tcPr>
            <w:tcW w:w="3018" w:type="dxa"/>
            <w:shd w:val="clear" w:color="auto" w:fill="auto"/>
          </w:tcPr>
          <w:p w14:paraId="53C3B463" w14:textId="7F9CAE7D" w:rsidR="00275F97" w:rsidRPr="00F56C68" w:rsidRDefault="00275F97" w:rsidP="00275F97">
            <w:pPr>
              <w:keepNext/>
              <w:rPr>
                <w:rFonts w:eastAsia="MS Mincho"/>
                <w:bCs/>
                <w:sz w:val="22"/>
                <w:szCs w:val="22"/>
                <w:lang w:eastAsia="ja-JP"/>
              </w:rPr>
            </w:pPr>
            <w:r w:rsidRPr="00F56C68">
              <w:rPr>
                <w:rFonts w:eastAsia="MS Mincho"/>
                <w:bCs/>
                <w:sz w:val="22"/>
                <w:szCs w:val="22"/>
                <w:lang w:eastAsia="ja-JP"/>
              </w:rPr>
              <w:t>Niezbyt często</w:t>
            </w:r>
          </w:p>
          <w:p w14:paraId="1D19B380" w14:textId="77777777" w:rsidR="00275F97" w:rsidRPr="00F56C68" w:rsidRDefault="00275F97" w:rsidP="00275F97">
            <w:pPr>
              <w:keepNext/>
              <w:rPr>
                <w:rFonts w:eastAsia="MS Mincho"/>
                <w:bCs/>
                <w:sz w:val="22"/>
                <w:szCs w:val="22"/>
                <w:lang w:eastAsia="ja-JP"/>
              </w:rPr>
            </w:pPr>
          </w:p>
          <w:p w14:paraId="5D3A2DCF" w14:textId="77777777" w:rsidR="00275F97" w:rsidRPr="00F56C68" w:rsidRDefault="00275F97" w:rsidP="00275F97">
            <w:pPr>
              <w:keepNext/>
              <w:rPr>
                <w:rFonts w:eastAsia="MS Mincho"/>
                <w:bCs/>
                <w:sz w:val="22"/>
                <w:szCs w:val="22"/>
                <w:lang w:eastAsia="ja-JP"/>
              </w:rPr>
            </w:pPr>
            <w:r w:rsidRPr="00F56C68">
              <w:rPr>
                <w:rFonts w:eastAsia="MS Mincho"/>
                <w:bCs/>
                <w:sz w:val="22"/>
                <w:szCs w:val="22"/>
                <w:lang w:eastAsia="ja-JP"/>
              </w:rPr>
              <w:t>Nieznana</w:t>
            </w:r>
          </w:p>
          <w:p w14:paraId="64EAEAFA" w14:textId="7C813F0B" w:rsidR="00EB0926" w:rsidRPr="00F56C68" w:rsidRDefault="00EB0926" w:rsidP="00275F97">
            <w:pPr>
              <w:keepNext/>
              <w:rPr>
                <w:rFonts w:eastAsia="MS Mincho"/>
                <w:bCs/>
                <w:sz w:val="22"/>
                <w:szCs w:val="22"/>
                <w:lang w:eastAsia="ja-JP"/>
              </w:rPr>
            </w:pPr>
          </w:p>
        </w:tc>
        <w:tc>
          <w:tcPr>
            <w:tcW w:w="3028" w:type="dxa"/>
            <w:shd w:val="clear" w:color="auto" w:fill="auto"/>
          </w:tcPr>
          <w:p w14:paraId="64EAEAFB" w14:textId="0F1938D4" w:rsidR="00275F97" w:rsidRPr="0083412A" w:rsidRDefault="00275F97" w:rsidP="00275F97">
            <w:pPr>
              <w:rPr>
                <w:sz w:val="22"/>
                <w:szCs w:val="22"/>
              </w:rPr>
            </w:pPr>
            <w:r>
              <w:rPr>
                <w:sz w:val="22"/>
                <w:szCs w:val="22"/>
              </w:rPr>
              <w:t>-Nieostre widzenie</w:t>
            </w:r>
            <w:r w:rsidRPr="0083412A">
              <w:rPr>
                <w:sz w:val="22"/>
                <w:szCs w:val="22"/>
              </w:rPr>
              <w:t xml:space="preserve"> (patrz także punkt 4.4.)</w:t>
            </w:r>
          </w:p>
          <w:p w14:paraId="2210C2FC" w14:textId="77777777" w:rsidR="00EB0926" w:rsidRDefault="00275F97" w:rsidP="00275F97">
            <w:pPr>
              <w:rPr>
                <w:sz w:val="22"/>
                <w:szCs w:val="22"/>
              </w:rPr>
            </w:pPr>
            <w:r>
              <w:rPr>
                <w:sz w:val="22"/>
                <w:szCs w:val="22"/>
              </w:rPr>
              <w:t>-</w:t>
            </w:r>
            <w:r w:rsidRPr="0083412A">
              <w:rPr>
                <w:sz w:val="22"/>
                <w:szCs w:val="22"/>
              </w:rPr>
              <w:t>W razie stosowania miejscowego na skórę powiek, może wystąpić</w:t>
            </w:r>
            <w:r w:rsidR="00EB0926">
              <w:rPr>
                <w:sz w:val="22"/>
                <w:szCs w:val="22"/>
              </w:rPr>
              <w:t>:</w:t>
            </w:r>
          </w:p>
          <w:p w14:paraId="295E7A18" w14:textId="0CCFC0E4" w:rsidR="00EB0926" w:rsidRDefault="00EB0926" w:rsidP="00275F97">
            <w:pPr>
              <w:rPr>
                <w:sz w:val="22"/>
                <w:szCs w:val="22"/>
              </w:rPr>
            </w:pPr>
            <w:r>
              <w:rPr>
                <w:sz w:val="22"/>
                <w:szCs w:val="22"/>
              </w:rPr>
              <w:t>-</w:t>
            </w:r>
            <w:r w:rsidR="00275F97" w:rsidRPr="0083412A">
              <w:rPr>
                <w:sz w:val="22"/>
                <w:szCs w:val="22"/>
              </w:rPr>
              <w:t xml:space="preserve">jaskra lub </w:t>
            </w:r>
          </w:p>
          <w:p w14:paraId="64EAEAFC" w14:textId="287EB965" w:rsidR="00275F97" w:rsidRPr="00041D1A" w:rsidRDefault="00EB0926" w:rsidP="00275F97">
            <w:pPr>
              <w:rPr>
                <w:sz w:val="22"/>
                <w:szCs w:val="22"/>
              </w:rPr>
            </w:pPr>
            <w:r>
              <w:rPr>
                <w:sz w:val="22"/>
                <w:szCs w:val="22"/>
              </w:rPr>
              <w:t>-</w:t>
            </w:r>
            <w:r w:rsidR="00275F97" w:rsidRPr="0083412A">
              <w:rPr>
                <w:sz w:val="22"/>
                <w:szCs w:val="22"/>
              </w:rPr>
              <w:t>zaćma.</w:t>
            </w:r>
          </w:p>
        </w:tc>
      </w:tr>
      <w:tr w:rsidR="006F1A4E" w:rsidRPr="0083412A" w14:paraId="20FA86B8" w14:textId="77777777" w:rsidTr="008C0DB9">
        <w:tc>
          <w:tcPr>
            <w:tcW w:w="3014" w:type="dxa"/>
            <w:shd w:val="clear" w:color="auto" w:fill="auto"/>
          </w:tcPr>
          <w:p w14:paraId="3AC75522" w14:textId="4AAAF253" w:rsidR="006F1A4E" w:rsidRPr="00907A1F" w:rsidRDefault="006F1A4E" w:rsidP="00275F97">
            <w:pPr>
              <w:rPr>
                <w:sz w:val="22"/>
                <w:szCs w:val="22"/>
              </w:rPr>
            </w:pPr>
            <w:r w:rsidRPr="006F1A4E">
              <w:rPr>
                <w:sz w:val="22"/>
                <w:szCs w:val="22"/>
              </w:rPr>
              <w:t>Zaburzenia mięśniowo-szkieletowe i tkanki łącznej</w:t>
            </w:r>
          </w:p>
        </w:tc>
        <w:tc>
          <w:tcPr>
            <w:tcW w:w="3018" w:type="dxa"/>
            <w:shd w:val="clear" w:color="auto" w:fill="auto"/>
          </w:tcPr>
          <w:p w14:paraId="0C19CB67" w14:textId="55EE444B" w:rsidR="006F1A4E" w:rsidRDefault="006F1A4E" w:rsidP="00275F97">
            <w:pPr>
              <w:keepNext/>
              <w:rPr>
                <w:sz w:val="22"/>
                <w:szCs w:val="22"/>
              </w:rPr>
            </w:pPr>
            <w:r w:rsidRPr="00F56C68">
              <w:rPr>
                <w:rFonts w:eastAsia="MS Mincho"/>
                <w:bCs/>
                <w:sz w:val="22"/>
                <w:szCs w:val="22"/>
                <w:lang w:eastAsia="ja-JP"/>
              </w:rPr>
              <w:t>Nieznana</w:t>
            </w:r>
          </w:p>
        </w:tc>
        <w:tc>
          <w:tcPr>
            <w:tcW w:w="3028" w:type="dxa"/>
            <w:shd w:val="clear" w:color="auto" w:fill="auto"/>
          </w:tcPr>
          <w:p w14:paraId="549CDDEC" w14:textId="19279816" w:rsidR="006F1A4E" w:rsidRDefault="006F1A4E">
            <w:pPr>
              <w:rPr>
                <w:sz w:val="22"/>
                <w:szCs w:val="22"/>
              </w:rPr>
            </w:pPr>
            <w:r w:rsidRPr="006F1A4E">
              <w:rPr>
                <w:sz w:val="22"/>
                <w:szCs w:val="22"/>
              </w:rPr>
              <w:t xml:space="preserve">Opóźnienie wzrostu (ogólnoustrojowe działania niepożądane </w:t>
            </w:r>
            <w:r w:rsidR="003C5941" w:rsidRPr="006F1A4E">
              <w:rPr>
                <w:sz w:val="22"/>
                <w:szCs w:val="22"/>
              </w:rPr>
              <w:t xml:space="preserve">fluocinolonu </w:t>
            </w:r>
            <w:r w:rsidRPr="006F1A4E">
              <w:rPr>
                <w:sz w:val="22"/>
                <w:szCs w:val="22"/>
              </w:rPr>
              <w:t>acetonidu typowe dla kortykosteroidów)</w:t>
            </w:r>
          </w:p>
        </w:tc>
      </w:tr>
      <w:tr w:rsidR="00275F97" w:rsidRPr="0083412A" w14:paraId="64EAEB05" w14:textId="77777777" w:rsidTr="008C0DB9">
        <w:tc>
          <w:tcPr>
            <w:tcW w:w="3014" w:type="dxa"/>
            <w:shd w:val="clear" w:color="auto" w:fill="auto"/>
          </w:tcPr>
          <w:p w14:paraId="64EAEAFE" w14:textId="77777777" w:rsidR="00275F97" w:rsidRPr="00956B16" w:rsidRDefault="00275F97" w:rsidP="00275F97">
            <w:pPr>
              <w:rPr>
                <w:sz w:val="22"/>
                <w:szCs w:val="22"/>
                <w:u w:val="single"/>
              </w:rPr>
            </w:pPr>
            <w:r w:rsidRPr="00F56C68">
              <w:rPr>
                <w:sz w:val="22"/>
                <w:szCs w:val="22"/>
              </w:rPr>
              <w:t>Zaburzenia ogóln</w:t>
            </w:r>
            <w:r w:rsidRPr="00956B16">
              <w:rPr>
                <w:rFonts w:eastAsia="MS Mincho"/>
                <w:sz w:val="22"/>
                <w:szCs w:val="22"/>
                <w:lang w:eastAsia="ja-JP"/>
              </w:rPr>
              <w:t>e i stany w miejscu podania</w:t>
            </w:r>
          </w:p>
          <w:p w14:paraId="64EAEAFF" w14:textId="77777777" w:rsidR="00275F97" w:rsidRPr="00ED40DB" w:rsidRDefault="00275F97" w:rsidP="00275F97">
            <w:pPr>
              <w:keepNext/>
              <w:rPr>
                <w:sz w:val="22"/>
                <w:szCs w:val="22"/>
                <w:u w:val="single"/>
              </w:rPr>
            </w:pPr>
          </w:p>
        </w:tc>
        <w:tc>
          <w:tcPr>
            <w:tcW w:w="3018" w:type="dxa"/>
            <w:shd w:val="clear" w:color="auto" w:fill="auto"/>
          </w:tcPr>
          <w:p w14:paraId="64EAEB00" w14:textId="77777777" w:rsidR="00275F97" w:rsidRPr="00041D1A" w:rsidRDefault="00275F97" w:rsidP="00275F97">
            <w:pPr>
              <w:keepNext/>
              <w:rPr>
                <w:sz w:val="22"/>
                <w:szCs w:val="22"/>
                <w:u w:val="single"/>
              </w:rPr>
            </w:pPr>
            <w:r w:rsidRPr="00F56C68">
              <w:rPr>
                <w:rFonts w:eastAsia="MS Mincho"/>
                <w:bCs/>
                <w:sz w:val="22"/>
                <w:szCs w:val="22"/>
                <w:lang w:eastAsia="ja-JP"/>
              </w:rPr>
              <w:t>Nieznana</w:t>
            </w:r>
          </w:p>
        </w:tc>
        <w:tc>
          <w:tcPr>
            <w:tcW w:w="3028" w:type="dxa"/>
            <w:shd w:val="clear" w:color="auto" w:fill="auto"/>
          </w:tcPr>
          <w:p w14:paraId="123AD56F" w14:textId="6F892099" w:rsidR="006F1A4E" w:rsidRDefault="006F1A4E" w:rsidP="00275F97">
            <w:pPr>
              <w:rPr>
                <w:spacing w:val="-3"/>
                <w:kern w:val="2"/>
                <w:sz w:val="22"/>
                <w:szCs w:val="22"/>
              </w:rPr>
            </w:pPr>
            <w:r w:rsidRPr="0083412A">
              <w:rPr>
                <w:spacing w:val="-3"/>
                <w:kern w:val="2"/>
                <w:sz w:val="22"/>
                <w:szCs w:val="22"/>
              </w:rPr>
              <w:t>O</w:t>
            </w:r>
            <w:r w:rsidR="00275F97" w:rsidRPr="0083412A">
              <w:rPr>
                <w:spacing w:val="-3"/>
                <w:kern w:val="2"/>
                <w:sz w:val="22"/>
                <w:szCs w:val="22"/>
              </w:rPr>
              <w:t>brzęki</w:t>
            </w:r>
            <w:r>
              <w:rPr>
                <w:spacing w:val="-3"/>
                <w:kern w:val="2"/>
                <w:sz w:val="22"/>
                <w:szCs w:val="22"/>
              </w:rPr>
              <w:t xml:space="preserve"> </w:t>
            </w:r>
            <w:r w:rsidRPr="006F1A4E">
              <w:rPr>
                <w:spacing w:val="-3"/>
                <w:kern w:val="2"/>
                <w:sz w:val="22"/>
                <w:szCs w:val="22"/>
              </w:rPr>
              <w:t>(działanie ogólnoustrojowe)</w:t>
            </w:r>
            <w:r w:rsidR="00711514">
              <w:rPr>
                <w:spacing w:val="-3"/>
                <w:kern w:val="2"/>
                <w:sz w:val="22"/>
                <w:szCs w:val="22"/>
              </w:rPr>
              <w:t>.</w:t>
            </w:r>
          </w:p>
          <w:p w14:paraId="64EAEB04" w14:textId="59D376BB" w:rsidR="00275F97" w:rsidRPr="00907A1F" w:rsidRDefault="00275F97" w:rsidP="00275F97">
            <w:pPr>
              <w:rPr>
                <w:spacing w:val="-3"/>
                <w:kern w:val="2"/>
                <w:sz w:val="22"/>
                <w:szCs w:val="22"/>
              </w:rPr>
            </w:pPr>
            <w:r w:rsidRPr="0083412A">
              <w:rPr>
                <w:spacing w:val="-3"/>
                <w:kern w:val="2"/>
                <w:sz w:val="22"/>
                <w:szCs w:val="22"/>
              </w:rPr>
              <w:t xml:space="preserve"> </w:t>
            </w:r>
          </w:p>
        </w:tc>
      </w:tr>
    </w:tbl>
    <w:p w14:paraId="64EAEB06" w14:textId="77777777" w:rsidR="006B640E" w:rsidRDefault="006B640E" w:rsidP="00907A1F">
      <w:pPr>
        <w:keepNext/>
        <w:rPr>
          <w:sz w:val="22"/>
          <w:szCs w:val="22"/>
          <w:u w:val="single"/>
        </w:rPr>
      </w:pPr>
    </w:p>
    <w:p w14:paraId="17909FB7" w14:textId="5DBAE5C6" w:rsidR="006F1A4E" w:rsidRDefault="006F1A4E">
      <w:pPr>
        <w:rPr>
          <w:spacing w:val="-3"/>
          <w:kern w:val="2"/>
          <w:sz w:val="22"/>
          <w:szCs w:val="22"/>
        </w:rPr>
      </w:pPr>
    </w:p>
    <w:p w14:paraId="6CADB73D" w14:textId="4CE64890" w:rsidR="006803DB" w:rsidRPr="0083412A" w:rsidRDefault="006803DB" w:rsidP="006803DB">
      <w:pPr>
        <w:overflowPunct w:val="0"/>
        <w:autoSpaceDE w:val="0"/>
        <w:autoSpaceDN w:val="0"/>
        <w:adjustRightInd w:val="0"/>
        <w:rPr>
          <w:spacing w:val="-3"/>
          <w:kern w:val="2"/>
          <w:sz w:val="22"/>
          <w:szCs w:val="22"/>
        </w:rPr>
      </w:pPr>
      <w:r w:rsidRPr="0083412A">
        <w:rPr>
          <w:spacing w:val="-3"/>
          <w:kern w:val="2"/>
          <w:sz w:val="22"/>
          <w:szCs w:val="22"/>
        </w:rPr>
        <w:t>W wyniku wchłaniania substancji czynnych do krwi mogą również wystąpić ogólnoustrojowe działania niepożądane</w:t>
      </w:r>
      <w:r w:rsidR="00B62B32">
        <w:rPr>
          <w:sz w:val="22"/>
          <w:szCs w:val="22"/>
        </w:rPr>
        <w:t xml:space="preserve"> </w:t>
      </w:r>
      <w:r w:rsidR="00780871">
        <w:rPr>
          <w:sz w:val="22"/>
          <w:szCs w:val="22"/>
        </w:rPr>
        <w:t xml:space="preserve">fluocinolonu </w:t>
      </w:r>
      <w:r>
        <w:rPr>
          <w:sz w:val="22"/>
          <w:szCs w:val="22"/>
        </w:rPr>
        <w:t>acetonid</w:t>
      </w:r>
      <w:r w:rsidR="009E0D16">
        <w:rPr>
          <w:sz w:val="22"/>
          <w:szCs w:val="22"/>
        </w:rPr>
        <w:t>u</w:t>
      </w:r>
      <w:r w:rsidRPr="0083412A">
        <w:rPr>
          <w:spacing w:val="-3"/>
          <w:kern w:val="2"/>
          <w:sz w:val="22"/>
          <w:szCs w:val="22"/>
        </w:rPr>
        <w:t>.</w:t>
      </w:r>
    </w:p>
    <w:p w14:paraId="55EFA7B5" w14:textId="56EC4138" w:rsidR="006803DB" w:rsidRPr="00F56C68" w:rsidRDefault="006803DB" w:rsidP="006803DB">
      <w:pPr>
        <w:rPr>
          <w:snapToGrid w:val="0"/>
          <w:sz w:val="22"/>
          <w:szCs w:val="22"/>
        </w:rPr>
      </w:pPr>
      <w:r w:rsidRPr="0083412A">
        <w:rPr>
          <w:sz w:val="22"/>
          <w:szCs w:val="22"/>
        </w:rPr>
        <w:t xml:space="preserve">Występują one </w:t>
      </w:r>
      <w:r w:rsidRPr="0083412A">
        <w:rPr>
          <w:snapToGrid w:val="0"/>
          <w:sz w:val="22"/>
          <w:szCs w:val="22"/>
        </w:rPr>
        <w:t>przede wszystkim w przypadku długotrwałego stosowania produktu leczniczego, stosowania go na dużą powierzchnię skóry, pod opatrunkiem okluzyjnym lub w przypadku stosowania u dzieci.</w:t>
      </w:r>
    </w:p>
    <w:p w14:paraId="6601B380" w14:textId="31EFE489" w:rsidR="006803DB" w:rsidRDefault="006803DB" w:rsidP="006803DB">
      <w:pPr>
        <w:rPr>
          <w:spacing w:val="-3"/>
          <w:kern w:val="2"/>
          <w:sz w:val="22"/>
          <w:szCs w:val="22"/>
        </w:rPr>
      </w:pPr>
      <w:r w:rsidRPr="0083412A">
        <w:rPr>
          <w:sz w:val="22"/>
          <w:szCs w:val="22"/>
        </w:rPr>
        <w:t xml:space="preserve">Ogólnoustrojowe objawy niepożądane </w:t>
      </w:r>
      <w:r w:rsidR="00F80EDC">
        <w:rPr>
          <w:sz w:val="22"/>
          <w:szCs w:val="22"/>
        </w:rPr>
        <w:t xml:space="preserve">fluocinolonu </w:t>
      </w:r>
      <w:r>
        <w:rPr>
          <w:sz w:val="22"/>
          <w:szCs w:val="22"/>
        </w:rPr>
        <w:t>acetonid</w:t>
      </w:r>
      <w:r w:rsidR="00F80EDC">
        <w:rPr>
          <w:sz w:val="22"/>
          <w:szCs w:val="22"/>
        </w:rPr>
        <w:t>u</w:t>
      </w:r>
      <w:r w:rsidRPr="0083412A">
        <w:rPr>
          <w:sz w:val="22"/>
          <w:szCs w:val="22"/>
        </w:rPr>
        <w:t xml:space="preserve"> charakterystyczne dla kortykosteroidów, to m.in. hamowanie wzrostu i rozwoju u dzieci, </w:t>
      </w:r>
      <w:r>
        <w:rPr>
          <w:sz w:val="22"/>
          <w:szCs w:val="22"/>
        </w:rPr>
        <w:t xml:space="preserve">hiperglikemia, </w:t>
      </w:r>
      <w:r w:rsidRPr="0083412A">
        <w:rPr>
          <w:spacing w:val="-3"/>
          <w:kern w:val="2"/>
          <w:sz w:val="22"/>
          <w:szCs w:val="22"/>
        </w:rPr>
        <w:t>cukromocz</w:t>
      </w:r>
      <w:r w:rsidR="00EA0CAE">
        <w:rPr>
          <w:spacing w:val="-3"/>
          <w:kern w:val="2"/>
          <w:sz w:val="22"/>
          <w:szCs w:val="22"/>
        </w:rPr>
        <w:t>.</w:t>
      </w:r>
    </w:p>
    <w:p w14:paraId="660DC80A" w14:textId="39C00764" w:rsidR="006803DB" w:rsidRDefault="006803DB">
      <w:pPr>
        <w:rPr>
          <w:spacing w:val="-3"/>
          <w:kern w:val="2"/>
          <w:sz w:val="22"/>
          <w:szCs w:val="22"/>
        </w:rPr>
      </w:pPr>
    </w:p>
    <w:p w14:paraId="64EAEB08" w14:textId="77777777" w:rsidR="00A92AB6" w:rsidRPr="00996F46" w:rsidRDefault="00A92AB6" w:rsidP="00A92AB6">
      <w:pPr>
        <w:rPr>
          <w:sz w:val="22"/>
          <w:szCs w:val="22"/>
          <w:u w:val="single"/>
        </w:rPr>
      </w:pPr>
      <w:r w:rsidRPr="00996F46">
        <w:rPr>
          <w:sz w:val="22"/>
          <w:szCs w:val="22"/>
          <w:u w:val="single"/>
        </w:rPr>
        <w:t>Zgłaszanie podejrzewanych działań niepożądanych</w:t>
      </w:r>
    </w:p>
    <w:p w14:paraId="64EAEB09" w14:textId="77777777" w:rsidR="00A92AB6" w:rsidRDefault="00A92AB6" w:rsidP="00A92AB6">
      <w:pPr>
        <w:rPr>
          <w:sz w:val="22"/>
          <w:szCs w:val="22"/>
          <w:lang w:val="pt-BR"/>
        </w:rPr>
      </w:pPr>
      <w:r w:rsidRPr="00996F46">
        <w:rPr>
          <w:sz w:val="22"/>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Departamentu Monitorowania </w:t>
      </w:r>
      <w:r w:rsidRPr="00996F46">
        <w:rPr>
          <w:sz w:val="22"/>
          <w:szCs w:val="22"/>
        </w:rPr>
        <w:lastRenderedPageBreak/>
        <w:t xml:space="preserve">Niepożądanych Działań Produktów Leczniczych Urzędu Rejestracji Produktów Leczniczych, Wyrobów Medycznych i Produktów Biobójczych </w:t>
      </w:r>
    </w:p>
    <w:p w14:paraId="64EAEB0A" w14:textId="77777777" w:rsidR="00A92AB6" w:rsidRPr="0034733A" w:rsidRDefault="00A92AB6" w:rsidP="00A92AB6">
      <w:pPr>
        <w:rPr>
          <w:sz w:val="22"/>
          <w:szCs w:val="22"/>
        </w:rPr>
      </w:pPr>
      <w:r w:rsidRPr="0034733A">
        <w:rPr>
          <w:rFonts w:eastAsia="Calibri"/>
          <w:bCs/>
          <w:sz w:val="22"/>
          <w:szCs w:val="22"/>
          <w:lang w:eastAsia="zh-CN"/>
        </w:rPr>
        <w:t xml:space="preserve">Al. Jerozolimskie </w:t>
      </w:r>
      <w:smartTag w:uri="urn:schemas-microsoft-com:office:smarttags" w:element="metricconverter">
        <w:smartTagPr>
          <w:attr w:name="ProductID" w:val="181C"/>
        </w:smartTagPr>
        <w:smartTag w:uri="urn:schemas-microsoft-com:office:smarttags" w:element="metricconverter">
          <w:smartTagPr>
            <w:attr w:name="ProductID" w:val="181C"/>
          </w:smartTagPr>
          <w:r w:rsidRPr="0034733A">
            <w:rPr>
              <w:rFonts w:eastAsia="Calibri"/>
              <w:bCs/>
              <w:sz w:val="22"/>
              <w:szCs w:val="22"/>
              <w:lang w:eastAsia="zh-CN"/>
            </w:rPr>
            <w:t>181C</w:t>
          </w:r>
        </w:smartTag>
        <w:r>
          <w:rPr>
            <w:rFonts w:eastAsia="Calibri"/>
            <w:bCs/>
            <w:sz w:val="22"/>
            <w:szCs w:val="22"/>
            <w:lang w:eastAsia="zh-CN"/>
          </w:rPr>
          <w:t xml:space="preserve"> </w:t>
        </w:r>
      </w:smartTag>
    </w:p>
    <w:p w14:paraId="64EAEB0B" w14:textId="135B307D" w:rsidR="00A92AB6" w:rsidRPr="00BB06F8" w:rsidRDefault="00A92AB6" w:rsidP="00A92AB6">
      <w:pPr>
        <w:rPr>
          <w:rFonts w:eastAsia="Calibri"/>
          <w:bCs/>
          <w:sz w:val="22"/>
          <w:szCs w:val="22"/>
          <w:lang w:eastAsia="zh-CN"/>
        </w:rPr>
      </w:pPr>
      <w:r>
        <w:rPr>
          <w:rFonts w:eastAsia="Calibri"/>
          <w:bCs/>
          <w:sz w:val="22"/>
          <w:szCs w:val="22"/>
          <w:lang w:eastAsia="zh-CN"/>
        </w:rPr>
        <w:t>02</w:t>
      </w:r>
      <w:r w:rsidR="003A4D64">
        <w:rPr>
          <w:rFonts w:eastAsia="Calibri"/>
          <w:bCs/>
          <w:sz w:val="22"/>
          <w:szCs w:val="22"/>
          <w:lang w:eastAsia="zh-CN"/>
        </w:rPr>
        <w:t xml:space="preserve"> -</w:t>
      </w:r>
      <w:r>
        <w:rPr>
          <w:rFonts w:eastAsia="Calibri"/>
          <w:bCs/>
          <w:sz w:val="22"/>
          <w:szCs w:val="22"/>
          <w:lang w:eastAsia="zh-CN"/>
        </w:rPr>
        <w:t xml:space="preserve"> 222</w:t>
      </w:r>
      <w:r w:rsidRPr="00BB06F8">
        <w:rPr>
          <w:rFonts w:eastAsia="Calibri"/>
          <w:bCs/>
          <w:sz w:val="22"/>
          <w:szCs w:val="22"/>
          <w:lang w:eastAsia="zh-CN"/>
        </w:rPr>
        <w:t xml:space="preserve"> Warszawa</w:t>
      </w:r>
    </w:p>
    <w:p w14:paraId="64EAEB0C" w14:textId="77777777" w:rsidR="00A92AB6" w:rsidRPr="00BB06F8" w:rsidRDefault="000169EC" w:rsidP="00A92AB6">
      <w:pPr>
        <w:rPr>
          <w:rFonts w:eastAsia="Calibri"/>
          <w:bCs/>
          <w:sz w:val="22"/>
          <w:szCs w:val="22"/>
          <w:lang w:eastAsia="zh-CN"/>
        </w:rPr>
      </w:pPr>
      <w:r>
        <w:rPr>
          <w:rFonts w:eastAsia="Calibri"/>
          <w:bCs/>
          <w:sz w:val="22"/>
          <w:szCs w:val="22"/>
          <w:lang w:eastAsia="zh-CN"/>
        </w:rPr>
        <w:t>t</w:t>
      </w:r>
      <w:r w:rsidR="00A92AB6" w:rsidRPr="00BB06F8">
        <w:rPr>
          <w:rFonts w:eastAsia="Calibri"/>
          <w:bCs/>
          <w:sz w:val="22"/>
          <w:szCs w:val="22"/>
          <w:lang w:eastAsia="zh-CN"/>
        </w:rPr>
        <w:t>el.: + 48 22 49 21 301</w:t>
      </w:r>
    </w:p>
    <w:p w14:paraId="64EAEB0D" w14:textId="77777777" w:rsidR="00A92AB6" w:rsidRPr="00656D06" w:rsidRDefault="000169EC" w:rsidP="00A92AB6">
      <w:pPr>
        <w:rPr>
          <w:rFonts w:eastAsia="Calibri"/>
          <w:bCs/>
          <w:sz w:val="22"/>
          <w:szCs w:val="22"/>
          <w:lang w:eastAsia="zh-CN"/>
        </w:rPr>
      </w:pPr>
      <w:r w:rsidRPr="00656D06">
        <w:rPr>
          <w:rFonts w:eastAsia="Calibri"/>
          <w:bCs/>
          <w:sz w:val="22"/>
          <w:szCs w:val="22"/>
          <w:lang w:eastAsia="zh-CN"/>
        </w:rPr>
        <w:t>f</w:t>
      </w:r>
      <w:r w:rsidR="00A92AB6" w:rsidRPr="00656D06">
        <w:rPr>
          <w:rFonts w:eastAsia="Calibri"/>
          <w:bCs/>
          <w:sz w:val="22"/>
          <w:szCs w:val="22"/>
          <w:lang w:eastAsia="zh-CN"/>
        </w:rPr>
        <w:t>aks: + 48 22 49 21 309</w:t>
      </w:r>
    </w:p>
    <w:p w14:paraId="64EAEB0E" w14:textId="5AE40893" w:rsidR="00407718" w:rsidRDefault="00407718" w:rsidP="00407718">
      <w:pPr>
        <w:jc w:val="both"/>
        <w:rPr>
          <w:sz w:val="22"/>
          <w:szCs w:val="22"/>
        </w:rPr>
      </w:pPr>
      <w:r w:rsidRPr="005D2A40">
        <w:rPr>
          <w:sz w:val="22"/>
          <w:szCs w:val="22"/>
        </w:rPr>
        <w:t>Strona internetowa:</w:t>
      </w:r>
      <w:r>
        <w:t xml:space="preserve"> </w:t>
      </w:r>
      <w:r w:rsidR="00656D06" w:rsidRPr="00656D06">
        <w:rPr>
          <w:sz w:val="22"/>
          <w:szCs w:val="22"/>
          <w:u w:val="single"/>
        </w:rPr>
        <w:t>https://smz.ezdrowie.gov.pl</w:t>
      </w:r>
      <w:r>
        <w:rPr>
          <w:sz w:val="22"/>
          <w:szCs w:val="22"/>
        </w:rPr>
        <w:t xml:space="preserve"> </w:t>
      </w:r>
    </w:p>
    <w:p w14:paraId="64EAEB0F" w14:textId="7929DCB8" w:rsidR="00A92AB6" w:rsidRPr="00656D06" w:rsidRDefault="00A92AB6" w:rsidP="00A92AB6">
      <w:pPr>
        <w:rPr>
          <w:rFonts w:eastAsia="Calibri"/>
          <w:bCs/>
          <w:sz w:val="22"/>
          <w:szCs w:val="22"/>
          <w:lang w:eastAsia="zh-CN"/>
        </w:rPr>
      </w:pPr>
    </w:p>
    <w:p w14:paraId="64EAEB10" w14:textId="77777777" w:rsidR="00A612B2" w:rsidRPr="00706B5C" w:rsidRDefault="00A612B2" w:rsidP="00A612B2">
      <w:pPr>
        <w:rPr>
          <w:sz w:val="22"/>
          <w:szCs w:val="22"/>
        </w:rPr>
      </w:pPr>
      <w:r w:rsidRPr="00706B5C">
        <w:rPr>
          <w:sz w:val="22"/>
          <w:szCs w:val="22"/>
        </w:rPr>
        <w:t>Działania niepożądane można zgłaszać również podmiotow</w:t>
      </w:r>
      <w:r>
        <w:rPr>
          <w:sz w:val="22"/>
          <w:szCs w:val="22"/>
        </w:rPr>
        <w:t>i odpowiedzialnemu.</w:t>
      </w:r>
    </w:p>
    <w:p w14:paraId="64EAEB11" w14:textId="77777777" w:rsidR="00A92AB6" w:rsidRPr="00907A1F" w:rsidRDefault="00A92AB6">
      <w:pPr>
        <w:rPr>
          <w:snapToGrid w:val="0"/>
          <w:sz w:val="22"/>
          <w:szCs w:val="22"/>
        </w:rPr>
      </w:pPr>
    </w:p>
    <w:p w14:paraId="64EAEB12" w14:textId="77777777" w:rsidR="00257420" w:rsidRPr="00907A1F" w:rsidRDefault="00257420">
      <w:pPr>
        <w:rPr>
          <w:sz w:val="22"/>
          <w:szCs w:val="22"/>
        </w:rPr>
      </w:pPr>
    </w:p>
    <w:p w14:paraId="64EAEB13" w14:textId="77777777" w:rsidR="00257420" w:rsidRPr="00463EE9" w:rsidRDefault="00257420">
      <w:pPr>
        <w:rPr>
          <w:b/>
          <w:sz w:val="22"/>
          <w:szCs w:val="22"/>
        </w:rPr>
      </w:pPr>
      <w:r w:rsidRPr="00463EE9">
        <w:rPr>
          <w:b/>
          <w:sz w:val="22"/>
          <w:szCs w:val="22"/>
        </w:rPr>
        <w:t>4.9 Przedawkowanie</w:t>
      </w:r>
    </w:p>
    <w:p w14:paraId="64EAEB14" w14:textId="77777777" w:rsidR="009D70A2" w:rsidRDefault="009D70A2">
      <w:pPr>
        <w:rPr>
          <w:sz w:val="22"/>
          <w:szCs w:val="22"/>
        </w:rPr>
      </w:pPr>
    </w:p>
    <w:p w14:paraId="64EAEB15" w14:textId="08BF2BB6" w:rsidR="00257420" w:rsidRPr="00463EE9" w:rsidRDefault="00257420">
      <w:pPr>
        <w:rPr>
          <w:sz w:val="22"/>
          <w:szCs w:val="22"/>
        </w:rPr>
      </w:pPr>
      <w:r w:rsidRPr="00463EE9">
        <w:rPr>
          <w:sz w:val="22"/>
          <w:szCs w:val="22"/>
        </w:rPr>
        <w:t xml:space="preserve">Po długotrwałym stosowaniu </w:t>
      </w:r>
      <w:r w:rsidR="004F7333">
        <w:rPr>
          <w:sz w:val="22"/>
          <w:szCs w:val="22"/>
        </w:rPr>
        <w:t xml:space="preserve">produktu leczniczego </w:t>
      </w:r>
      <w:r w:rsidRPr="00463EE9">
        <w:rPr>
          <w:sz w:val="22"/>
          <w:szCs w:val="22"/>
        </w:rPr>
        <w:t>na duże</w:t>
      </w:r>
      <w:r w:rsidR="004F7333">
        <w:rPr>
          <w:sz w:val="22"/>
          <w:szCs w:val="22"/>
        </w:rPr>
        <w:t>j</w:t>
      </w:r>
      <w:r w:rsidRPr="00463EE9">
        <w:rPr>
          <w:sz w:val="22"/>
          <w:szCs w:val="22"/>
        </w:rPr>
        <w:t xml:space="preserve"> powierzchni skóry mogą pojawić się objawy przedawkowania w postaci </w:t>
      </w:r>
      <w:bookmarkStart w:id="0" w:name="_Hlk138409686"/>
      <w:r w:rsidR="00D00CD5">
        <w:rPr>
          <w:sz w:val="22"/>
          <w:szCs w:val="22"/>
        </w:rPr>
        <w:t xml:space="preserve">działań niepożądanych </w:t>
      </w:r>
      <w:r w:rsidR="00D54ACE">
        <w:rPr>
          <w:sz w:val="22"/>
          <w:szCs w:val="22"/>
        </w:rPr>
        <w:t>np</w:t>
      </w:r>
      <w:r w:rsidR="00D00CD5">
        <w:rPr>
          <w:sz w:val="22"/>
          <w:szCs w:val="22"/>
        </w:rPr>
        <w:t xml:space="preserve">.: </w:t>
      </w:r>
      <w:bookmarkEnd w:id="0"/>
      <w:r w:rsidRPr="00463EE9">
        <w:rPr>
          <w:sz w:val="22"/>
          <w:szCs w:val="22"/>
        </w:rPr>
        <w:t>obrzęków, nadciśnieni</w:t>
      </w:r>
      <w:r w:rsidR="00071D2D">
        <w:rPr>
          <w:sz w:val="22"/>
          <w:szCs w:val="22"/>
        </w:rPr>
        <w:t>a</w:t>
      </w:r>
      <w:r w:rsidR="00406DAD">
        <w:rPr>
          <w:sz w:val="22"/>
          <w:szCs w:val="22"/>
        </w:rPr>
        <w:t xml:space="preserve"> tętnicze</w:t>
      </w:r>
      <w:r w:rsidR="00071D2D">
        <w:rPr>
          <w:sz w:val="22"/>
          <w:szCs w:val="22"/>
        </w:rPr>
        <w:t>go</w:t>
      </w:r>
      <w:r w:rsidRPr="00463EE9">
        <w:rPr>
          <w:sz w:val="22"/>
          <w:szCs w:val="22"/>
        </w:rPr>
        <w:t xml:space="preserve">, hiperglikemii, zmniejszenia odporności, a w ciężkich przypadkach choroby Cushinga. Należy wówczas stopniowo odstawiać </w:t>
      </w:r>
      <w:r w:rsidR="00F35DBB">
        <w:rPr>
          <w:sz w:val="22"/>
          <w:szCs w:val="22"/>
        </w:rPr>
        <w:t>produkt leczniczy</w:t>
      </w:r>
      <w:r w:rsidRPr="00463EE9">
        <w:rPr>
          <w:sz w:val="22"/>
          <w:szCs w:val="22"/>
        </w:rPr>
        <w:t xml:space="preserve"> lub zastosować słabiej działające glikokortykosteroidy.</w:t>
      </w:r>
    </w:p>
    <w:p w14:paraId="64EAEB16" w14:textId="77777777" w:rsidR="00257420" w:rsidRPr="00463EE9" w:rsidRDefault="00257420">
      <w:pPr>
        <w:rPr>
          <w:sz w:val="22"/>
          <w:szCs w:val="22"/>
        </w:rPr>
      </w:pPr>
    </w:p>
    <w:p w14:paraId="64EAEB17" w14:textId="77777777" w:rsidR="00257420" w:rsidRPr="00463EE9" w:rsidRDefault="00257420">
      <w:pPr>
        <w:rPr>
          <w:b/>
          <w:caps/>
          <w:sz w:val="22"/>
          <w:szCs w:val="22"/>
        </w:rPr>
      </w:pPr>
    </w:p>
    <w:p w14:paraId="64EAEB18" w14:textId="77777777" w:rsidR="00257420" w:rsidRPr="00463EE9" w:rsidRDefault="00257420" w:rsidP="00907A1F">
      <w:pPr>
        <w:keepNext/>
        <w:rPr>
          <w:b/>
          <w:caps/>
          <w:sz w:val="22"/>
          <w:szCs w:val="22"/>
        </w:rPr>
      </w:pPr>
      <w:r w:rsidRPr="00463EE9">
        <w:rPr>
          <w:b/>
          <w:caps/>
          <w:sz w:val="22"/>
          <w:szCs w:val="22"/>
        </w:rPr>
        <w:t>5. Właściwości farmakologiczne</w:t>
      </w:r>
    </w:p>
    <w:p w14:paraId="64EAEB19" w14:textId="77777777" w:rsidR="00257420" w:rsidRPr="00463EE9" w:rsidRDefault="00257420" w:rsidP="00907A1F">
      <w:pPr>
        <w:keepNext/>
        <w:rPr>
          <w:b/>
          <w:sz w:val="22"/>
          <w:szCs w:val="22"/>
        </w:rPr>
      </w:pPr>
    </w:p>
    <w:p w14:paraId="64EAEB1A" w14:textId="77777777" w:rsidR="00257420" w:rsidRPr="00463EE9" w:rsidRDefault="00257420" w:rsidP="00907A1F">
      <w:pPr>
        <w:keepNext/>
        <w:rPr>
          <w:b/>
          <w:sz w:val="22"/>
          <w:szCs w:val="22"/>
        </w:rPr>
      </w:pPr>
    </w:p>
    <w:p w14:paraId="64EAEB1B" w14:textId="77777777" w:rsidR="00257420" w:rsidRPr="00463EE9" w:rsidRDefault="00257420" w:rsidP="00907A1F">
      <w:pPr>
        <w:keepNext/>
        <w:rPr>
          <w:b/>
          <w:sz w:val="22"/>
          <w:szCs w:val="22"/>
        </w:rPr>
      </w:pPr>
      <w:r w:rsidRPr="00463EE9">
        <w:rPr>
          <w:b/>
          <w:sz w:val="22"/>
          <w:szCs w:val="22"/>
        </w:rPr>
        <w:t>5.1 Właściwości farmakodynamiczne</w:t>
      </w:r>
    </w:p>
    <w:p w14:paraId="64EAEB1C" w14:textId="77777777" w:rsidR="00A92AB6" w:rsidRDefault="00A92AB6" w:rsidP="00907A1F">
      <w:pPr>
        <w:keepNext/>
        <w:rPr>
          <w:b/>
          <w:sz w:val="22"/>
          <w:szCs w:val="22"/>
        </w:rPr>
      </w:pPr>
      <w:r w:rsidRPr="00463EE9">
        <w:rPr>
          <w:b/>
          <w:sz w:val="22"/>
          <w:szCs w:val="22"/>
        </w:rPr>
        <w:t xml:space="preserve">Grupa farmakoterapeutyczna: </w:t>
      </w:r>
      <w:r w:rsidRPr="00463EE9">
        <w:rPr>
          <w:sz w:val="22"/>
          <w:szCs w:val="22"/>
        </w:rPr>
        <w:t>Kortykosteroidy o silnym działaniu do stosowania miejscowego</w:t>
      </w:r>
      <w:r>
        <w:rPr>
          <w:b/>
          <w:sz w:val="22"/>
          <w:szCs w:val="22"/>
        </w:rPr>
        <w:t xml:space="preserve">, </w:t>
      </w:r>
    </w:p>
    <w:p w14:paraId="64EAEB1D" w14:textId="77777777" w:rsidR="00A92AB6" w:rsidRPr="00463EE9" w:rsidRDefault="00A92AB6" w:rsidP="00907A1F">
      <w:pPr>
        <w:keepNext/>
        <w:rPr>
          <w:b/>
          <w:sz w:val="22"/>
          <w:szCs w:val="22"/>
        </w:rPr>
      </w:pPr>
      <w:r>
        <w:rPr>
          <w:b/>
          <w:sz w:val="22"/>
          <w:szCs w:val="22"/>
        </w:rPr>
        <w:t>k</w:t>
      </w:r>
      <w:r w:rsidRPr="00463EE9">
        <w:rPr>
          <w:b/>
          <w:sz w:val="22"/>
          <w:szCs w:val="22"/>
        </w:rPr>
        <w:t xml:space="preserve">od ATC: D </w:t>
      </w:r>
      <w:smartTag w:uri="urn:schemas-microsoft-com:office:smarttags" w:element="metricconverter">
        <w:smartTagPr>
          <w:attr w:name="ProductID" w:val="07 AC"/>
        </w:smartTagPr>
        <w:r w:rsidRPr="00463EE9">
          <w:rPr>
            <w:b/>
            <w:sz w:val="22"/>
            <w:szCs w:val="22"/>
          </w:rPr>
          <w:t>07 AC</w:t>
        </w:r>
      </w:smartTag>
      <w:r w:rsidRPr="00463EE9">
        <w:rPr>
          <w:b/>
          <w:sz w:val="22"/>
          <w:szCs w:val="22"/>
        </w:rPr>
        <w:t xml:space="preserve"> 04</w:t>
      </w:r>
    </w:p>
    <w:p w14:paraId="64EAEB1E" w14:textId="77777777" w:rsidR="009D70A2" w:rsidRDefault="009D70A2" w:rsidP="00907A1F">
      <w:pPr>
        <w:keepNext/>
        <w:rPr>
          <w:sz w:val="22"/>
          <w:szCs w:val="22"/>
        </w:rPr>
      </w:pPr>
    </w:p>
    <w:p w14:paraId="64EAEB1F" w14:textId="47653FFB" w:rsidR="00257420" w:rsidRDefault="00257420" w:rsidP="00907A1F">
      <w:pPr>
        <w:keepNext/>
        <w:rPr>
          <w:sz w:val="22"/>
          <w:szCs w:val="22"/>
        </w:rPr>
      </w:pPr>
      <w:r w:rsidRPr="00463EE9">
        <w:rPr>
          <w:sz w:val="22"/>
          <w:szCs w:val="22"/>
        </w:rPr>
        <w:t xml:space="preserve">Fluocinolonu acetonid jest syntetycznym glikokortykosteroidem o silnym działaniu, do stosowania miejscowego na skórę. Zastosowany w żelu, w stężeniu 0,025% wykazuje silne działanie przeciwzapalne, przeciwświądowe i obkurczające naczynia krwionośne. Żel wykazuje właściwości lipofilne i łatwo przenika przez skórę do organizmu. Już po zastosowaniu </w:t>
      </w:r>
      <w:smartTag w:uri="urn:schemas-microsoft-com:office:smarttags" w:element="metricconverter">
        <w:smartTagPr>
          <w:attr w:name="ProductID" w:val="2 g"/>
        </w:smartTagPr>
        <w:r w:rsidRPr="00463EE9">
          <w:rPr>
            <w:sz w:val="22"/>
            <w:szCs w:val="22"/>
          </w:rPr>
          <w:t>2 g</w:t>
        </w:r>
      </w:smartTag>
      <w:r w:rsidRPr="00463EE9">
        <w:rPr>
          <w:sz w:val="22"/>
          <w:szCs w:val="22"/>
        </w:rPr>
        <w:t xml:space="preserve"> żelu fluocinolonu </w:t>
      </w:r>
      <w:r w:rsidR="002B5E65" w:rsidRPr="00463EE9">
        <w:rPr>
          <w:sz w:val="22"/>
          <w:szCs w:val="22"/>
        </w:rPr>
        <w:t xml:space="preserve">acetonid </w:t>
      </w:r>
      <w:r w:rsidRPr="00463EE9">
        <w:rPr>
          <w:sz w:val="22"/>
          <w:szCs w:val="22"/>
        </w:rPr>
        <w:t>może zmniejszać wydzielanie przez przysadkę hormonu adrenokortykotropowego (ACTH) na skutek hamowania osi nadnerczowo-przysadkowej.</w:t>
      </w:r>
    </w:p>
    <w:p w14:paraId="64CCA6C2" w14:textId="1A265DAF" w:rsidR="00DD06EB" w:rsidRDefault="00DD06EB" w:rsidP="00907A1F">
      <w:pPr>
        <w:keepNext/>
        <w:rPr>
          <w:sz w:val="22"/>
          <w:szCs w:val="22"/>
        </w:rPr>
      </w:pPr>
    </w:p>
    <w:p w14:paraId="08210851" w14:textId="7FC13681" w:rsidR="00DD06EB" w:rsidRPr="00DD06EB" w:rsidRDefault="00DD06EB" w:rsidP="00DD06EB">
      <w:pPr>
        <w:keepNext/>
        <w:rPr>
          <w:sz w:val="22"/>
          <w:szCs w:val="22"/>
        </w:rPr>
      </w:pPr>
      <w:r w:rsidRPr="00DD06EB">
        <w:rPr>
          <w:sz w:val="22"/>
          <w:szCs w:val="22"/>
        </w:rPr>
        <w:t xml:space="preserve">Mechanizm działania przeciwzapalnego </w:t>
      </w:r>
      <w:r w:rsidR="00AA124B" w:rsidRPr="00DD06EB">
        <w:rPr>
          <w:sz w:val="22"/>
          <w:szCs w:val="22"/>
        </w:rPr>
        <w:t xml:space="preserve">fluocinolonu </w:t>
      </w:r>
      <w:r w:rsidRPr="00DD06EB">
        <w:rPr>
          <w:sz w:val="22"/>
          <w:szCs w:val="22"/>
        </w:rPr>
        <w:t xml:space="preserve">acetonidu nie został jeszcze w pełni wyjaśniony, przyjmuje się, że substancja ta zmniejsza procesy zapalne poprzez </w:t>
      </w:r>
      <w:r w:rsidR="0069514E">
        <w:rPr>
          <w:sz w:val="22"/>
          <w:szCs w:val="22"/>
        </w:rPr>
        <w:t>zmniejszenie</w:t>
      </w:r>
      <w:r w:rsidRPr="00DD06EB">
        <w:rPr>
          <w:sz w:val="22"/>
          <w:szCs w:val="22"/>
        </w:rPr>
        <w:t xml:space="preserve"> produkcji prostaglandyn i leukotrienów dzięki hamowaniu aktywności fosfolipazy A2 i zmniejszeniu uwalniania kwasu arachidonowego z fosfolipidów błon komórkowych. Wykazuje również właściwości przeciwalergiczne poprzez hamowanie miejscowych reakcji alergicznych. Ze względu na działanie wazokonstrykcyjne zmniejsza miejscowe odczyny wysiękowe. Zmniejsza syntezę białek i gromadzenie kolagenu. Przyspiesza rozkład białek w skórze i osłabia procesy proliferacyjne.</w:t>
      </w:r>
    </w:p>
    <w:p w14:paraId="64EAEB20" w14:textId="77777777" w:rsidR="00257420" w:rsidRPr="00463EE9" w:rsidRDefault="00257420">
      <w:pPr>
        <w:rPr>
          <w:sz w:val="22"/>
          <w:szCs w:val="22"/>
        </w:rPr>
      </w:pPr>
    </w:p>
    <w:p w14:paraId="64EAEB21" w14:textId="77777777" w:rsidR="00257420" w:rsidRPr="00463EE9" w:rsidRDefault="00257420">
      <w:pPr>
        <w:rPr>
          <w:b/>
          <w:sz w:val="22"/>
          <w:szCs w:val="22"/>
        </w:rPr>
      </w:pPr>
      <w:r w:rsidRPr="00463EE9">
        <w:rPr>
          <w:b/>
          <w:sz w:val="22"/>
          <w:szCs w:val="22"/>
        </w:rPr>
        <w:t>5.2 Właściwości farmakokinetyczne</w:t>
      </w:r>
    </w:p>
    <w:p w14:paraId="64EAEB22" w14:textId="20D9634E" w:rsidR="009D70A2" w:rsidRDefault="009D70A2">
      <w:pPr>
        <w:rPr>
          <w:sz w:val="22"/>
          <w:szCs w:val="22"/>
          <w:u w:val="single"/>
        </w:rPr>
      </w:pPr>
    </w:p>
    <w:p w14:paraId="290C0A1E" w14:textId="77777777" w:rsidR="00D62EB2" w:rsidRPr="00C87862" w:rsidRDefault="00D62EB2" w:rsidP="00D62EB2">
      <w:pPr>
        <w:rPr>
          <w:sz w:val="22"/>
          <w:szCs w:val="22"/>
          <w:u w:val="single"/>
        </w:rPr>
      </w:pPr>
      <w:r w:rsidRPr="00C87862">
        <w:rPr>
          <w:sz w:val="22"/>
          <w:szCs w:val="22"/>
          <w:u w:val="single"/>
        </w:rPr>
        <w:t>Wchłanianie</w:t>
      </w:r>
    </w:p>
    <w:p w14:paraId="4EC358F0" w14:textId="3254F5EA" w:rsidR="00D82EEA" w:rsidRPr="00F56C68" w:rsidRDefault="00D62EB2">
      <w:pPr>
        <w:rPr>
          <w:sz w:val="22"/>
          <w:szCs w:val="22"/>
        </w:rPr>
      </w:pPr>
      <w:r w:rsidRPr="00463EE9">
        <w:rPr>
          <w:sz w:val="22"/>
          <w:szCs w:val="22"/>
        </w:rPr>
        <w:t>Wchłanianie fluocinolonu acetonidu do organizmu zwiększa się po zastosowaniu na delikatną skórę (np. w okolicy fałdów lub na skórę twarzy), na skórę z uszkodzonym naskórkiem lub uszkodzoną procesem zapalnym. Opatrunek okluzyjny powodujący wzrost temperatury i wilgotności skóry</w:t>
      </w:r>
      <w:r>
        <w:rPr>
          <w:sz w:val="22"/>
          <w:szCs w:val="22"/>
        </w:rPr>
        <w:t xml:space="preserve"> tym samym</w:t>
      </w:r>
      <w:r w:rsidRPr="00463EE9">
        <w:rPr>
          <w:sz w:val="22"/>
          <w:szCs w:val="22"/>
        </w:rPr>
        <w:t xml:space="preserve"> również zwiększa wchłanianie fluocinolonu acetonidu. Ponadto wchłanianie fluocinolonu acetonidu ulega zwiększeniu podczas częstego stosowania produktu leczniczego lub podczas stosowania go na dużą powierzchnię skóry. Wchłanianie przez skórę u dzieci jest większe niż u dorosłych.</w:t>
      </w:r>
    </w:p>
    <w:p w14:paraId="739212EB" w14:textId="77777777" w:rsidR="00D82EEA" w:rsidRPr="00F56C68" w:rsidRDefault="00D82EEA">
      <w:pPr>
        <w:rPr>
          <w:sz w:val="22"/>
          <w:szCs w:val="22"/>
          <w:u w:val="single"/>
        </w:rPr>
      </w:pPr>
    </w:p>
    <w:p w14:paraId="245DAA66" w14:textId="006AE003" w:rsidR="00DD06EB" w:rsidRPr="00F56C68" w:rsidRDefault="007414BE">
      <w:pPr>
        <w:rPr>
          <w:sz w:val="22"/>
          <w:szCs w:val="22"/>
          <w:u w:val="single"/>
        </w:rPr>
      </w:pPr>
      <w:r>
        <w:rPr>
          <w:sz w:val="22"/>
          <w:szCs w:val="22"/>
          <w:u w:val="single"/>
        </w:rPr>
        <w:t>Metabolizm</w:t>
      </w:r>
      <w:r w:rsidR="00DD06EB" w:rsidRPr="00F56C68">
        <w:rPr>
          <w:sz w:val="22"/>
          <w:szCs w:val="22"/>
          <w:u w:val="single"/>
        </w:rPr>
        <w:t xml:space="preserve"> i eliminacja</w:t>
      </w:r>
    </w:p>
    <w:p w14:paraId="64EAEB23" w14:textId="4A46915C" w:rsidR="00257420" w:rsidRDefault="00257420">
      <w:pPr>
        <w:rPr>
          <w:sz w:val="22"/>
          <w:szCs w:val="22"/>
        </w:rPr>
      </w:pPr>
      <w:r w:rsidRPr="00463EE9">
        <w:rPr>
          <w:sz w:val="22"/>
          <w:szCs w:val="22"/>
        </w:rPr>
        <w:t xml:space="preserve">Fluocinolonu acetonid łatwo przenika do warstwy rogowej skóry, gdzie ulega kumulacji. Jego obecność w warstwie rogowej skóry, można stwierdzić nawet po 15 dniach po miejscowym zastosowaniu. </w:t>
      </w:r>
      <w:r w:rsidR="00DD06EB" w:rsidRPr="00DD06EB">
        <w:rPr>
          <w:sz w:val="22"/>
          <w:szCs w:val="22"/>
        </w:rPr>
        <w:t xml:space="preserve">Nie jest metabolizowany w skórze. </w:t>
      </w:r>
      <w:r w:rsidRPr="00463EE9">
        <w:rPr>
          <w:sz w:val="22"/>
          <w:szCs w:val="22"/>
        </w:rPr>
        <w:t xml:space="preserve">Po wchłonięciu do organizmu fluocinolonu acetonid </w:t>
      </w:r>
      <w:r w:rsidRPr="00463EE9">
        <w:rPr>
          <w:sz w:val="22"/>
          <w:szCs w:val="22"/>
        </w:rPr>
        <w:lastRenderedPageBreak/>
        <w:t>jest metabolizowany głównie w</w:t>
      </w:r>
      <w:r w:rsidR="002B5E65">
        <w:rPr>
          <w:sz w:val="22"/>
          <w:szCs w:val="22"/>
        </w:rPr>
        <w:t> </w:t>
      </w:r>
      <w:r w:rsidRPr="00463EE9">
        <w:rPr>
          <w:sz w:val="22"/>
          <w:szCs w:val="22"/>
        </w:rPr>
        <w:t>wątrobie, następnie wydalany z moczem i w mniejszej ilości z żółcią - głównie w postaci połączeń z</w:t>
      </w:r>
      <w:r w:rsidR="002B5E65">
        <w:rPr>
          <w:sz w:val="22"/>
          <w:szCs w:val="22"/>
        </w:rPr>
        <w:t> </w:t>
      </w:r>
      <w:r w:rsidRPr="00463EE9">
        <w:rPr>
          <w:sz w:val="22"/>
          <w:szCs w:val="22"/>
        </w:rPr>
        <w:t>kwasem glukuronowym i w niewielkiej ilości w postaci niezmienionej.</w:t>
      </w:r>
    </w:p>
    <w:p w14:paraId="1427792E" w14:textId="496082D9" w:rsidR="00DD06EB" w:rsidRDefault="00DD06EB">
      <w:pPr>
        <w:rPr>
          <w:sz w:val="22"/>
          <w:szCs w:val="22"/>
        </w:rPr>
      </w:pPr>
    </w:p>
    <w:p w14:paraId="64EAEB25" w14:textId="77777777" w:rsidR="00257420" w:rsidRPr="00E97247" w:rsidRDefault="00257420">
      <w:pPr>
        <w:rPr>
          <w:sz w:val="22"/>
          <w:szCs w:val="22"/>
        </w:rPr>
      </w:pPr>
    </w:p>
    <w:p w14:paraId="64EAEB26" w14:textId="77777777" w:rsidR="00257420" w:rsidRPr="00463EE9" w:rsidRDefault="00257420">
      <w:pPr>
        <w:rPr>
          <w:b/>
          <w:sz w:val="22"/>
          <w:szCs w:val="22"/>
        </w:rPr>
      </w:pPr>
      <w:r w:rsidRPr="00463EE9">
        <w:rPr>
          <w:b/>
          <w:sz w:val="22"/>
          <w:szCs w:val="22"/>
        </w:rPr>
        <w:t>5.3 Przedkliniczne dane o bezpieczeństwie</w:t>
      </w:r>
    </w:p>
    <w:p w14:paraId="64EAEB27" w14:textId="77777777" w:rsidR="009D70A2" w:rsidRDefault="009D70A2">
      <w:pPr>
        <w:rPr>
          <w:i/>
          <w:sz w:val="22"/>
          <w:szCs w:val="22"/>
        </w:rPr>
      </w:pPr>
    </w:p>
    <w:p w14:paraId="64EAEB28" w14:textId="77777777" w:rsidR="00257420" w:rsidRPr="00463EE9" w:rsidRDefault="00257420">
      <w:pPr>
        <w:rPr>
          <w:i/>
          <w:sz w:val="22"/>
          <w:szCs w:val="22"/>
        </w:rPr>
      </w:pPr>
      <w:r w:rsidRPr="00463EE9">
        <w:rPr>
          <w:i/>
          <w:sz w:val="22"/>
          <w:szCs w:val="22"/>
        </w:rPr>
        <w:t>Toksyczność ostra</w:t>
      </w:r>
    </w:p>
    <w:p w14:paraId="64EAEB29" w14:textId="3B8538C6" w:rsidR="00257420" w:rsidRDefault="00257420">
      <w:pPr>
        <w:rPr>
          <w:sz w:val="22"/>
          <w:szCs w:val="22"/>
        </w:rPr>
      </w:pPr>
      <w:r w:rsidRPr="00463EE9">
        <w:rPr>
          <w:sz w:val="22"/>
          <w:szCs w:val="22"/>
        </w:rPr>
        <w:t>Fluocinolonu acetonid stosuje się tylko miejscowo</w:t>
      </w:r>
      <w:r w:rsidR="00701F43">
        <w:rPr>
          <w:sz w:val="22"/>
          <w:szCs w:val="22"/>
        </w:rPr>
        <w:t xml:space="preserve"> i dlatego n</w:t>
      </w:r>
      <w:r w:rsidRPr="00463EE9">
        <w:rPr>
          <w:sz w:val="22"/>
          <w:szCs w:val="22"/>
        </w:rPr>
        <w:t>ie badano toksyczności tego związku po stosowaniu doustnym lub parenteralnym. Można przyjąć, że toksyczność fluocinolonu acetonidu nie różni się istotnie od toksyczności innych fluorowanych glikokortykosteroidów.</w:t>
      </w:r>
    </w:p>
    <w:p w14:paraId="64EAEB2A" w14:textId="77777777" w:rsidR="00921CED" w:rsidRPr="00463EE9" w:rsidRDefault="00921CED">
      <w:pPr>
        <w:rPr>
          <w:sz w:val="22"/>
          <w:szCs w:val="22"/>
        </w:rPr>
      </w:pPr>
    </w:p>
    <w:p w14:paraId="64EAEB2B" w14:textId="77777777" w:rsidR="00257420" w:rsidRPr="00463EE9" w:rsidRDefault="00257420">
      <w:pPr>
        <w:rPr>
          <w:sz w:val="22"/>
          <w:szCs w:val="22"/>
        </w:rPr>
      </w:pPr>
      <w:r w:rsidRPr="00463EE9">
        <w:rPr>
          <w:i/>
          <w:sz w:val="22"/>
          <w:szCs w:val="22"/>
        </w:rPr>
        <w:t>Działanie mutagenne</w:t>
      </w:r>
    </w:p>
    <w:p w14:paraId="64EAEB2C" w14:textId="14F540BA" w:rsidR="00257420" w:rsidRPr="00463EE9" w:rsidRDefault="00257420">
      <w:pPr>
        <w:rPr>
          <w:sz w:val="22"/>
          <w:szCs w:val="22"/>
        </w:rPr>
      </w:pPr>
      <w:r w:rsidRPr="00463EE9">
        <w:rPr>
          <w:sz w:val="22"/>
          <w:szCs w:val="22"/>
        </w:rPr>
        <w:t xml:space="preserve">Nie przeprowadzono badań </w:t>
      </w:r>
      <w:r w:rsidR="007537A4">
        <w:rPr>
          <w:sz w:val="22"/>
          <w:szCs w:val="22"/>
        </w:rPr>
        <w:t xml:space="preserve">nad </w:t>
      </w:r>
      <w:r w:rsidRPr="00463EE9">
        <w:rPr>
          <w:sz w:val="22"/>
          <w:szCs w:val="22"/>
        </w:rPr>
        <w:t>mutagenn</w:t>
      </w:r>
      <w:r w:rsidR="007537A4">
        <w:rPr>
          <w:sz w:val="22"/>
          <w:szCs w:val="22"/>
        </w:rPr>
        <w:t>ym</w:t>
      </w:r>
      <w:r w:rsidRPr="00463EE9">
        <w:rPr>
          <w:sz w:val="22"/>
          <w:szCs w:val="22"/>
        </w:rPr>
        <w:t xml:space="preserve"> działani</w:t>
      </w:r>
      <w:r w:rsidR="007537A4">
        <w:rPr>
          <w:sz w:val="22"/>
          <w:szCs w:val="22"/>
        </w:rPr>
        <w:t>em</w:t>
      </w:r>
      <w:r w:rsidRPr="00463EE9">
        <w:rPr>
          <w:sz w:val="22"/>
          <w:szCs w:val="22"/>
        </w:rPr>
        <w:t xml:space="preserve"> fluocinolonu acetonidu</w:t>
      </w:r>
      <w:r w:rsidR="00331C7F">
        <w:rPr>
          <w:sz w:val="22"/>
          <w:szCs w:val="22"/>
        </w:rPr>
        <w:t xml:space="preserve"> </w:t>
      </w:r>
      <w:r w:rsidRPr="00463EE9">
        <w:rPr>
          <w:sz w:val="22"/>
          <w:szCs w:val="22"/>
        </w:rPr>
        <w:t>, przeprowadzono natomiast badania w zakresie oceny działania mutagennego innych glikokortykosteroidów o zbliżonej budowie chemicznej. Flutykazonu propionian nie wykazywał działania mutagennego w teście Ames</w:t>
      </w:r>
      <w:r w:rsidRPr="00463EE9">
        <w:rPr>
          <w:sz w:val="22"/>
          <w:szCs w:val="22"/>
          <w:vertAlign w:val="superscript"/>
        </w:rPr>
        <w:t>’</w:t>
      </w:r>
      <w:r w:rsidRPr="00463EE9">
        <w:rPr>
          <w:sz w:val="22"/>
          <w:szCs w:val="22"/>
        </w:rPr>
        <w:t xml:space="preserve">a wykonanego na bakteriach </w:t>
      </w:r>
      <w:r w:rsidRPr="00463EE9">
        <w:rPr>
          <w:i/>
          <w:sz w:val="22"/>
          <w:szCs w:val="22"/>
        </w:rPr>
        <w:t xml:space="preserve">Escherichia coli, </w:t>
      </w:r>
      <w:r w:rsidRPr="00463EE9">
        <w:rPr>
          <w:sz w:val="22"/>
          <w:szCs w:val="22"/>
        </w:rPr>
        <w:t xml:space="preserve">w teście konwersji genów wykonanych na drożdżach </w:t>
      </w:r>
      <w:r w:rsidRPr="00463EE9">
        <w:rPr>
          <w:i/>
          <w:sz w:val="22"/>
          <w:szCs w:val="22"/>
        </w:rPr>
        <w:t>Saccharomyces cerevisiae,</w:t>
      </w:r>
      <w:r w:rsidRPr="00463EE9">
        <w:rPr>
          <w:sz w:val="22"/>
          <w:szCs w:val="22"/>
        </w:rPr>
        <w:t xml:space="preserve"> oraz w teście działania mutagennego wykonanego na komórkach jajnika chomika chińskiego. Nie </w:t>
      </w:r>
      <w:r w:rsidR="007537A4">
        <w:rPr>
          <w:sz w:val="22"/>
          <w:szCs w:val="22"/>
        </w:rPr>
        <w:t>wykazano</w:t>
      </w:r>
      <w:r w:rsidR="00393F19">
        <w:rPr>
          <w:sz w:val="22"/>
          <w:szCs w:val="22"/>
        </w:rPr>
        <w:t xml:space="preserve"> </w:t>
      </w:r>
      <w:r w:rsidRPr="00463EE9">
        <w:rPr>
          <w:sz w:val="22"/>
          <w:szCs w:val="22"/>
        </w:rPr>
        <w:t xml:space="preserve">również działania mutagennego flutykazonu w badaniach na limfocytach ludzkich </w:t>
      </w:r>
      <w:r w:rsidRPr="00463EE9">
        <w:rPr>
          <w:i/>
          <w:sz w:val="22"/>
          <w:szCs w:val="22"/>
        </w:rPr>
        <w:t>in vitro</w:t>
      </w:r>
      <w:r w:rsidRPr="00463EE9">
        <w:rPr>
          <w:sz w:val="22"/>
          <w:szCs w:val="22"/>
        </w:rPr>
        <w:t xml:space="preserve"> oraz działania klastogenowego w teście mikrojąderkowym na myszach.</w:t>
      </w:r>
    </w:p>
    <w:p w14:paraId="64EAEB2D" w14:textId="1FC0DBF7" w:rsidR="00257420" w:rsidRDefault="00257420">
      <w:pPr>
        <w:rPr>
          <w:i/>
          <w:sz w:val="22"/>
          <w:szCs w:val="22"/>
        </w:rPr>
      </w:pPr>
      <w:r w:rsidRPr="00463EE9">
        <w:rPr>
          <w:sz w:val="22"/>
          <w:szCs w:val="22"/>
        </w:rPr>
        <w:t xml:space="preserve">Badania </w:t>
      </w:r>
      <w:r w:rsidR="007537A4">
        <w:rPr>
          <w:sz w:val="22"/>
          <w:szCs w:val="22"/>
        </w:rPr>
        <w:t>przeprowadzone</w:t>
      </w:r>
      <w:r w:rsidR="00393F19">
        <w:rPr>
          <w:sz w:val="22"/>
          <w:szCs w:val="22"/>
        </w:rPr>
        <w:t xml:space="preserve"> </w:t>
      </w:r>
      <w:r w:rsidRPr="00463EE9">
        <w:rPr>
          <w:sz w:val="22"/>
          <w:szCs w:val="22"/>
        </w:rPr>
        <w:t>z hydrokortyzonem i prednizolonem również nie wykazały działania mutagennego.</w:t>
      </w:r>
      <w:r w:rsidRPr="00463EE9">
        <w:rPr>
          <w:i/>
          <w:sz w:val="22"/>
          <w:szCs w:val="22"/>
        </w:rPr>
        <w:t xml:space="preserve"> </w:t>
      </w:r>
    </w:p>
    <w:p w14:paraId="64EAEB2E" w14:textId="77777777" w:rsidR="00002A89" w:rsidRPr="00463EE9" w:rsidRDefault="00002A89">
      <w:pPr>
        <w:rPr>
          <w:i/>
          <w:sz w:val="22"/>
          <w:szCs w:val="22"/>
        </w:rPr>
      </w:pPr>
    </w:p>
    <w:p w14:paraId="64EAEB2F" w14:textId="77777777" w:rsidR="00257420" w:rsidRPr="00463EE9" w:rsidRDefault="00257420">
      <w:pPr>
        <w:rPr>
          <w:i/>
          <w:sz w:val="22"/>
          <w:szCs w:val="22"/>
        </w:rPr>
      </w:pPr>
      <w:r w:rsidRPr="00463EE9">
        <w:rPr>
          <w:i/>
          <w:sz w:val="22"/>
          <w:szCs w:val="22"/>
        </w:rPr>
        <w:t>Działanie rakotwórcze</w:t>
      </w:r>
    </w:p>
    <w:p w14:paraId="64EAEB30" w14:textId="77777777" w:rsidR="00257420" w:rsidRDefault="00257420">
      <w:pPr>
        <w:rPr>
          <w:sz w:val="22"/>
          <w:szCs w:val="22"/>
        </w:rPr>
      </w:pPr>
      <w:r w:rsidRPr="00463EE9">
        <w:rPr>
          <w:sz w:val="22"/>
          <w:szCs w:val="22"/>
        </w:rPr>
        <w:t>Nie uzyskano danych mogących wskazywać, że miejscowe stosowanie glikokortykosteroidów sprzyja występowaniu raka skóry u ludzi.</w:t>
      </w:r>
    </w:p>
    <w:p w14:paraId="64EAEB31" w14:textId="77777777" w:rsidR="00002A89" w:rsidRPr="00463EE9" w:rsidRDefault="00002A89">
      <w:pPr>
        <w:rPr>
          <w:sz w:val="22"/>
          <w:szCs w:val="22"/>
        </w:rPr>
      </w:pPr>
    </w:p>
    <w:p w14:paraId="64EAEB32" w14:textId="77777777" w:rsidR="00257420" w:rsidRPr="00463EE9" w:rsidRDefault="00257420">
      <w:pPr>
        <w:rPr>
          <w:i/>
          <w:sz w:val="22"/>
          <w:szCs w:val="22"/>
        </w:rPr>
      </w:pPr>
      <w:r w:rsidRPr="00463EE9">
        <w:rPr>
          <w:i/>
          <w:sz w:val="22"/>
          <w:szCs w:val="22"/>
        </w:rPr>
        <w:t>Wpływ na płodność</w:t>
      </w:r>
    </w:p>
    <w:p w14:paraId="64EAEB33" w14:textId="650FD624" w:rsidR="001E268A" w:rsidRDefault="00257420">
      <w:pPr>
        <w:rPr>
          <w:b/>
          <w:sz w:val="22"/>
          <w:szCs w:val="22"/>
        </w:rPr>
      </w:pPr>
      <w:r w:rsidRPr="00463EE9">
        <w:rPr>
          <w:sz w:val="22"/>
          <w:szCs w:val="22"/>
        </w:rPr>
        <w:t>Nie badano wpływu fluocinolonu acetonidu na płodność</w:t>
      </w:r>
      <w:r w:rsidR="00BB04E2">
        <w:rPr>
          <w:sz w:val="22"/>
          <w:szCs w:val="22"/>
        </w:rPr>
        <w:t>.</w:t>
      </w:r>
      <w:r w:rsidR="00487303">
        <w:rPr>
          <w:rFonts w:ascii="sans-serif" w:hAnsi="sans-serif"/>
        </w:rPr>
        <w:t xml:space="preserve"> </w:t>
      </w:r>
      <w:r w:rsidR="001E268A" w:rsidRPr="00FB2414">
        <w:rPr>
          <w:rFonts w:ascii="sans-serif" w:hAnsi="sans-serif"/>
          <w:sz w:val="22"/>
          <w:szCs w:val="22"/>
        </w:rPr>
        <w:t>Wykazano jednak wpływ innych glikokortykosteroidów na płodność.</w:t>
      </w:r>
      <w:r w:rsidR="001E268A">
        <w:rPr>
          <w:rFonts w:ascii="sans-serif" w:hAnsi="sans-serif"/>
        </w:rPr>
        <w:t xml:space="preserve"> </w:t>
      </w:r>
    </w:p>
    <w:p w14:paraId="64EAEB34" w14:textId="77777777" w:rsidR="002B0370" w:rsidRDefault="002B0370">
      <w:pPr>
        <w:rPr>
          <w:b/>
          <w:sz w:val="22"/>
          <w:szCs w:val="22"/>
        </w:rPr>
      </w:pPr>
    </w:p>
    <w:p w14:paraId="64EAEB35" w14:textId="77777777" w:rsidR="002B0370" w:rsidRDefault="002B0370">
      <w:pPr>
        <w:rPr>
          <w:b/>
          <w:sz w:val="22"/>
          <w:szCs w:val="22"/>
        </w:rPr>
      </w:pPr>
    </w:p>
    <w:p w14:paraId="64EAEB36" w14:textId="77777777" w:rsidR="002B0370" w:rsidRDefault="002B0370" w:rsidP="00907A1F">
      <w:pPr>
        <w:keepNext/>
        <w:rPr>
          <w:b/>
          <w:sz w:val="22"/>
          <w:szCs w:val="22"/>
        </w:rPr>
      </w:pPr>
    </w:p>
    <w:p w14:paraId="64EAEB37" w14:textId="77777777" w:rsidR="00257420" w:rsidRPr="00463EE9" w:rsidRDefault="00257420" w:rsidP="00907A1F">
      <w:pPr>
        <w:keepNext/>
        <w:rPr>
          <w:b/>
          <w:sz w:val="22"/>
          <w:szCs w:val="22"/>
        </w:rPr>
      </w:pPr>
      <w:r w:rsidRPr="00463EE9">
        <w:rPr>
          <w:b/>
          <w:sz w:val="22"/>
          <w:szCs w:val="22"/>
        </w:rPr>
        <w:t xml:space="preserve">6. </w:t>
      </w:r>
      <w:r w:rsidRPr="00463EE9">
        <w:rPr>
          <w:b/>
          <w:caps/>
          <w:sz w:val="22"/>
          <w:szCs w:val="22"/>
        </w:rPr>
        <w:t>Dane farmaceutyczne</w:t>
      </w:r>
    </w:p>
    <w:p w14:paraId="64EAEB38" w14:textId="77777777" w:rsidR="00257420" w:rsidRPr="00463EE9" w:rsidRDefault="00257420" w:rsidP="00907A1F">
      <w:pPr>
        <w:keepNext/>
        <w:rPr>
          <w:b/>
          <w:sz w:val="22"/>
          <w:szCs w:val="22"/>
        </w:rPr>
      </w:pPr>
    </w:p>
    <w:p w14:paraId="64EAEB39" w14:textId="77777777" w:rsidR="00257420" w:rsidRPr="00463EE9" w:rsidRDefault="00257420" w:rsidP="00907A1F">
      <w:pPr>
        <w:keepNext/>
        <w:rPr>
          <w:b/>
          <w:sz w:val="22"/>
          <w:szCs w:val="22"/>
        </w:rPr>
      </w:pPr>
      <w:r w:rsidRPr="00463EE9">
        <w:rPr>
          <w:b/>
          <w:sz w:val="22"/>
          <w:szCs w:val="22"/>
        </w:rPr>
        <w:t>6.1 Wykaz substancji pomocniczych</w:t>
      </w:r>
    </w:p>
    <w:p w14:paraId="64EAEB3A" w14:textId="77777777" w:rsidR="009D70A2" w:rsidRDefault="009D70A2" w:rsidP="00907A1F">
      <w:pPr>
        <w:keepNext/>
        <w:rPr>
          <w:sz w:val="22"/>
          <w:szCs w:val="22"/>
        </w:rPr>
      </w:pPr>
    </w:p>
    <w:p w14:paraId="64EAEB3B" w14:textId="77777777" w:rsidR="00257420" w:rsidRPr="00463EE9" w:rsidRDefault="00257420">
      <w:pPr>
        <w:rPr>
          <w:sz w:val="22"/>
          <w:szCs w:val="22"/>
        </w:rPr>
      </w:pPr>
      <w:r w:rsidRPr="00463EE9">
        <w:rPr>
          <w:sz w:val="22"/>
          <w:szCs w:val="22"/>
        </w:rPr>
        <w:t>Glikol propylenowy, etanol 96%, disodu edetynian, kwas cytrynowy jednowodny, propylu parahydroksybenzoesan</w:t>
      </w:r>
      <w:r w:rsidR="00827CD5">
        <w:rPr>
          <w:sz w:val="22"/>
          <w:szCs w:val="22"/>
        </w:rPr>
        <w:t xml:space="preserve"> (E216)</w:t>
      </w:r>
      <w:r w:rsidRPr="00463EE9">
        <w:rPr>
          <w:sz w:val="22"/>
          <w:szCs w:val="22"/>
        </w:rPr>
        <w:t>, metylu parahydroksybenzoesan</w:t>
      </w:r>
      <w:r w:rsidR="00827CD5">
        <w:rPr>
          <w:sz w:val="22"/>
          <w:szCs w:val="22"/>
        </w:rPr>
        <w:t xml:space="preserve"> (E218)</w:t>
      </w:r>
      <w:r w:rsidRPr="00463EE9">
        <w:rPr>
          <w:sz w:val="22"/>
          <w:szCs w:val="22"/>
        </w:rPr>
        <w:t>, karbomer 980, trolamina, woda oczyszczona.</w:t>
      </w:r>
    </w:p>
    <w:p w14:paraId="64EAEB3C" w14:textId="77777777" w:rsidR="00257420" w:rsidRPr="00463EE9" w:rsidRDefault="00257420">
      <w:pPr>
        <w:rPr>
          <w:sz w:val="22"/>
          <w:szCs w:val="22"/>
        </w:rPr>
      </w:pPr>
    </w:p>
    <w:p w14:paraId="64EAEB3D" w14:textId="77777777" w:rsidR="00257420" w:rsidRPr="00463EE9" w:rsidRDefault="00257420">
      <w:pPr>
        <w:rPr>
          <w:b/>
          <w:sz w:val="22"/>
          <w:szCs w:val="22"/>
        </w:rPr>
      </w:pPr>
      <w:r w:rsidRPr="00463EE9">
        <w:rPr>
          <w:b/>
          <w:sz w:val="22"/>
          <w:szCs w:val="22"/>
        </w:rPr>
        <w:t>6.2 Niezgodności farmaceutyczne</w:t>
      </w:r>
    </w:p>
    <w:p w14:paraId="64EAEB3E" w14:textId="77777777" w:rsidR="009D70A2" w:rsidRDefault="009D70A2">
      <w:pPr>
        <w:rPr>
          <w:sz w:val="22"/>
          <w:szCs w:val="22"/>
        </w:rPr>
      </w:pPr>
    </w:p>
    <w:p w14:paraId="64EAEB3F" w14:textId="77777777" w:rsidR="00257420" w:rsidRPr="00463EE9" w:rsidRDefault="009D70A2">
      <w:pPr>
        <w:rPr>
          <w:sz w:val="22"/>
          <w:szCs w:val="22"/>
        </w:rPr>
      </w:pPr>
      <w:r>
        <w:rPr>
          <w:sz w:val="22"/>
          <w:szCs w:val="22"/>
        </w:rPr>
        <w:t>Jed</w:t>
      </w:r>
      <w:r w:rsidR="00257420" w:rsidRPr="00463EE9">
        <w:rPr>
          <w:sz w:val="22"/>
          <w:szCs w:val="22"/>
        </w:rPr>
        <w:t>nocześnie nie stosować żelu z innymi lekami stosowanymi miejscowo.</w:t>
      </w:r>
    </w:p>
    <w:p w14:paraId="64EAEB40" w14:textId="77777777" w:rsidR="00257420" w:rsidRPr="00463EE9" w:rsidRDefault="00257420">
      <w:pPr>
        <w:rPr>
          <w:sz w:val="22"/>
          <w:szCs w:val="22"/>
        </w:rPr>
      </w:pPr>
    </w:p>
    <w:p w14:paraId="64EAEB41" w14:textId="77777777" w:rsidR="00257420" w:rsidRPr="00463EE9" w:rsidRDefault="00257420">
      <w:pPr>
        <w:rPr>
          <w:b/>
          <w:sz w:val="22"/>
          <w:szCs w:val="22"/>
        </w:rPr>
      </w:pPr>
      <w:r w:rsidRPr="00463EE9">
        <w:rPr>
          <w:b/>
          <w:sz w:val="22"/>
          <w:szCs w:val="22"/>
        </w:rPr>
        <w:t>6.3 Okres ważności</w:t>
      </w:r>
    </w:p>
    <w:p w14:paraId="64EAEB42" w14:textId="77777777" w:rsidR="009D70A2" w:rsidRDefault="009D70A2">
      <w:pPr>
        <w:rPr>
          <w:sz w:val="22"/>
          <w:szCs w:val="22"/>
        </w:rPr>
      </w:pPr>
    </w:p>
    <w:p w14:paraId="64EAEB43" w14:textId="77777777" w:rsidR="00257420" w:rsidRPr="00463EE9" w:rsidRDefault="00257420">
      <w:pPr>
        <w:rPr>
          <w:sz w:val="22"/>
          <w:szCs w:val="22"/>
        </w:rPr>
      </w:pPr>
      <w:r w:rsidRPr="00463EE9">
        <w:rPr>
          <w:sz w:val="22"/>
          <w:szCs w:val="22"/>
        </w:rPr>
        <w:t>3 lata.</w:t>
      </w:r>
    </w:p>
    <w:p w14:paraId="64EAEB44" w14:textId="77777777" w:rsidR="00257420" w:rsidRPr="00463EE9" w:rsidRDefault="00257420">
      <w:pPr>
        <w:rPr>
          <w:sz w:val="22"/>
          <w:szCs w:val="22"/>
        </w:rPr>
      </w:pPr>
    </w:p>
    <w:p w14:paraId="64EAEB45" w14:textId="77777777" w:rsidR="00257420" w:rsidRPr="00463EE9" w:rsidRDefault="00257420">
      <w:pPr>
        <w:rPr>
          <w:b/>
          <w:sz w:val="22"/>
          <w:szCs w:val="22"/>
        </w:rPr>
      </w:pPr>
      <w:r w:rsidRPr="00463EE9">
        <w:rPr>
          <w:b/>
          <w:sz w:val="22"/>
          <w:szCs w:val="22"/>
        </w:rPr>
        <w:t>6.4 Specjalne środki ostrożności p</w:t>
      </w:r>
      <w:r w:rsidR="00BB04E2">
        <w:rPr>
          <w:b/>
          <w:sz w:val="22"/>
          <w:szCs w:val="22"/>
        </w:rPr>
        <w:t>odczas</w:t>
      </w:r>
      <w:r w:rsidRPr="00463EE9">
        <w:rPr>
          <w:b/>
          <w:sz w:val="22"/>
          <w:szCs w:val="22"/>
        </w:rPr>
        <w:t xml:space="preserve"> przechowywani</w:t>
      </w:r>
      <w:r w:rsidR="00BB04E2">
        <w:rPr>
          <w:b/>
          <w:sz w:val="22"/>
          <w:szCs w:val="22"/>
        </w:rPr>
        <w:t>a</w:t>
      </w:r>
    </w:p>
    <w:p w14:paraId="64EAEB46" w14:textId="77777777" w:rsidR="009D70A2" w:rsidRDefault="009D70A2">
      <w:pPr>
        <w:rPr>
          <w:sz w:val="22"/>
          <w:szCs w:val="22"/>
        </w:rPr>
      </w:pPr>
    </w:p>
    <w:p w14:paraId="64EAEB47" w14:textId="77777777" w:rsidR="00257420" w:rsidRPr="00463EE9" w:rsidRDefault="00257420">
      <w:pPr>
        <w:rPr>
          <w:sz w:val="22"/>
          <w:szCs w:val="22"/>
        </w:rPr>
      </w:pPr>
      <w:r w:rsidRPr="00463EE9">
        <w:rPr>
          <w:sz w:val="22"/>
          <w:szCs w:val="22"/>
        </w:rPr>
        <w:t>Przechowywać w temperaturze poniżej 25</w:t>
      </w:r>
      <w:r w:rsidRPr="00463EE9">
        <w:rPr>
          <w:sz w:val="22"/>
          <w:szCs w:val="22"/>
          <w:vertAlign w:val="superscript"/>
        </w:rPr>
        <w:t>o</w:t>
      </w:r>
      <w:r w:rsidRPr="00463EE9">
        <w:rPr>
          <w:sz w:val="22"/>
          <w:szCs w:val="22"/>
        </w:rPr>
        <w:t>C. Nie zamrażać.</w:t>
      </w:r>
    </w:p>
    <w:p w14:paraId="64EAEB48" w14:textId="77777777" w:rsidR="00257420" w:rsidRPr="00463EE9" w:rsidRDefault="00257420">
      <w:pPr>
        <w:rPr>
          <w:sz w:val="22"/>
          <w:szCs w:val="22"/>
        </w:rPr>
      </w:pPr>
    </w:p>
    <w:p w14:paraId="64EAEB49" w14:textId="77777777" w:rsidR="00257420" w:rsidRPr="00463EE9" w:rsidRDefault="00257420">
      <w:pPr>
        <w:rPr>
          <w:b/>
          <w:sz w:val="22"/>
          <w:szCs w:val="22"/>
        </w:rPr>
      </w:pPr>
      <w:r w:rsidRPr="00463EE9">
        <w:rPr>
          <w:b/>
          <w:sz w:val="22"/>
          <w:szCs w:val="22"/>
        </w:rPr>
        <w:t>6.5 Rodzaj i zawartość opakowania</w:t>
      </w:r>
    </w:p>
    <w:p w14:paraId="64EAEB4A" w14:textId="77777777" w:rsidR="009D70A2" w:rsidRDefault="009D70A2">
      <w:pPr>
        <w:rPr>
          <w:sz w:val="22"/>
          <w:szCs w:val="22"/>
        </w:rPr>
      </w:pPr>
    </w:p>
    <w:p w14:paraId="64EAEB4B" w14:textId="77777777" w:rsidR="00257420" w:rsidRDefault="00257420">
      <w:pPr>
        <w:rPr>
          <w:sz w:val="22"/>
          <w:szCs w:val="22"/>
        </w:rPr>
      </w:pPr>
      <w:r w:rsidRPr="00463EE9">
        <w:rPr>
          <w:sz w:val="22"/>
          <w:szCs w:val="22"/>
        </w:rPr>
        <w:t xml:space="preserve">Tuba aluminiowa membranowa, wewnątrz lakierowana, z membraną zabezpieczającą i zakrętką, zawierająca </w:t>
      </w:r>
      <w:smartTag w:uri="urn:schemas-microsoft-com:office:smarttags" w:element="metricconverter">
        <w:smartTagPr>
          <w:attr w:name="ProductID" w:val="15 g"/>
        </w:smartTagPr>
        <w:r w:rsidRPr="00463EE9">
          <w:rPr>
            <w:sz w:val="22"/>
            <w:szCs w:val="22"/>
          </w:rPr>
          <w:t>15 g</w:t>
        </w:r>
      </w:smartTag>
      <w:r w:rsidRPr="00463EE9">
        <w:rPr>
          <w:sz w:val="22"/>
          <w:szCs w:val="22"/>
        </w:rPr>
        <w:t xml:space="preserve"> żelu, umieszczona w tekturowym pudełku. </w:t>
      </w:r>
    </w:p>
    <w:p w14:paraId="64EAEB4C" w14:textId="77777777" w:rsidR="009D70A2" w:rsidRPr="00463EE9" w:rsidRDefault="009D70A2">
      <w:pPr>
        <w:rPr>
          <w:sz w:val="22"/>
          <w:szCs w:val="22"/>
        </w:rPr>
      </w:pPr>
    </w:p>
    <w:p w14:paraId="64EAEB4D" w14:textId="77777777" w:rsidR="00257420" w:rsidRPr="00463EE9" w:rsidRDefault="00257420" w:rsidP="00907A1F">
      <w:pPr>
        <w:keepNext/>
        <w:keepLines/>
        <w:rPr>
          <w:b/>
          <w:sz w:val="22"/>
          <w:szCs w:val="22"/>
        </w:rPr>
      </w:pPr>
      <w:r w:rsidRPr="00463EE9">
        <w:rPr>
          <w:b/>
          <w:sz w:val="22"/>
          <w:szCs w:val="22"/>
        </w:rPr>
        <w:lastRenderedPageBreak/>
        <w:t>6.6</w:t>
      </w:r>
      <w:r w:rsidR="00BB04E2">
        <w:rPr>
          <w:b/>
          <w:sz w:val="22"/>
          <w:szCs w:val="22"/>
        </w:rPr>
        <w:t xml:space="preserve"> </w:t>
      </w:r>
      <w:r w:rsidRPr="00463EE9">
        <w:rPr>
          <w:b/>
          <w:bCs/>
          <w:noProof/>
          <w:sz w:val="22"/>
          <w:szCs w:val="22"/>
        </w:rPr>
        <w:t>Szczególne środki ostrożności dotyczące usuwania</w:t>
      </w:r>
    </w:p>
    <w:p w14:paraId="64EAEB4E" w14:textId="77777777" w:rsidR="009D70A2" w:rsidRDefault="009D70A2" w:rsidP="00907A1F">
      <w:pPr>
        <w:keepNext/>
        <w:keepLines/>
        <w:rPr>
          <w:sz w:val="22"/>
          <w:szCs w:val="22"/>
        </w:rPr>
      </w:pPr>
    </w:p>
    <w:p w14:paraId="64EAEB4F" w14:textId="7E5EF3DA" w:rsidR="00257420" w:rsidRPr="00002A89" w:rsidRDefault="00002A89" w:rsidP="00907A1F">
      <w:pPr>
        <w:keepNext/>
        <w:keepLines/>
        <w:rPr>
          <w:sz w:val="22"/>
          <w:szCs w:val="22"/>
        </w:rPr>
      </w:pPr>
      <w:r>
        <w:rPr>
          <w:sz w:val="22"/>
          <w:szCs w:val="22"/>
        </w:rPr>
        <w:t>Bez</w:t>
      </w:r>
      <w:r w:rsidRPr="00463EE9">
        <w:rPr>
          <w:sz w:val="22"/>
          <w:szCs w:val="22"/>
        </w:rPr>
        <w:t xml:space="preserve"> </w:t>
      </w:r>
      <w:r w:rsidR="00257420" w:rsidRPr="00463EE9">
        <w:rPr>
          <w:sz w:val="22"/>
          <w:szCs w:val="22"/>
        </w:rPr>
        <w:t>s</w:t>
      </w:r>
      <w:r>
        <w:rPr>
          <w:sz w:val="22"/>
          <w:szCs w:val="22"/>
        </w:rPr>
        <w:t>pecjalnych</w:t>
      </w:r>
      <w:r w:rsidR="00257420" w:rsidRPr="00463EE9">
        <w:rPr>
          <w:sz w:val="22"/>
          <w:szCs w:val="22"/>
        </w:rPr>
        <w:t xml:space="preserve"> wymagań.</w:t>
      </w:r>
      <w:r>
        <w:rPr>
          <w:sz w:val="22"/>
          <w:szCs w:val="22"/>
        </w:rPr>
        <w:t xml:space="preserve"> </w:t>
      </w:r>
      <w:r w:rsidRPr="00907A1F">
        <w:rPr>
          <w:sz w:val="22"/>
          <w:szCs w:val="22"/>
        </w:rPr>
        <w:t>Wszelkie niewykorzystane resztki produktu leczniczego lub jego odpady należy usunąć zgodnie z lokalnymi przepisami</w:t>
      </w:r>
      <w:r w:rsidR="00273A37">
        <w:rPr>
          <w:sz w:val="22"/>
          <w:szCs w:val="22"/>
        </w:rPr>
        <w:t>.</w:t>
      </w:r>
    </w:p>
    <w:p w14:paraId="64EAEB50" w14:textId="77777777" w:rsidR="00257420" w:rsidRPr="00002A89" w:rsidRDefault="00257420">
      <w:pPr>
        <w:rPr>
          <w:sz w:val="22"/>
          <w:szCs w:val="22"/>
        </w:rPr>
      </w:pPr>
    </w:p>
    <w:p w14:paraId="64EAEB51" w14:textId="77777777" w:rsidR="00257420" w:rsidRPr="00463EE9" w:rsidRDefault="00257420">
      <w:pPr>
        <w:ind w:left="180" w:hanging="180"/>
        <w:rPr>
          <w:b/>
          <w:sz w:val="22"/>
          <w:szCs w:val="22"/>
        </w:rPr>
      </w:pPr>
    </w:p>
    <w:p w14:paraId="64EAEB52" w14:textId="77777777" w:rsidR="00257420" w:rsidRPr="00463EE9" w:rsidRDefault="00257420">
      <w:pPr>
        <w:ind w:left="180" w:hanging="180"/>
        <w:rPr>
          <w:b/>
          <w:sz w:val="22"/>
          <w:szCs w:val="22"/>
        </w:rPr>
      </w:pPr>
      <w:r w:rsidRPr="00463EE9">
        <w:rPr>
          <w:b/>
          <w:sz w:val="22"/>
          <w:szCs w:val="22"/>
        </w:rPr>
        <w:t xml:space="preserve">7. PODMIOT ODPOWIEDZIALNY POSIADAJĄCY POZWOLENIE NA </w:t>
      </w:r>
    </w:p>
    <w:p w14:paraId="64EAEB53" w14:textId="77777777" w:rsidR="00257420" w:rsidRPr="00463EE9" w:rsidRDefault="00257420">
      <w:pPr>
        <w:ind w:left="180" w:hanging="180"/>
        <w:rPr>
          <w:b/>
          <w:sz w:val="22"/>
          <w:szCs w:val="22"/>
        </w:rPr>
      </w:pPr>
      <w:r w:rsidRPr="00463EE9">
        <w:rPr>
          <w:b/>
          <w:sz w:val="22"/>
          <w:szCs w:val="22"/>
        </w:rPr>
        <w:t xml:space="preserve">    DOPUSZCZENIE DO OBROTU</w:t>
      </w:r>
    </w:p>
    <w:p w14:paraId="64EAEB54" w14:textId="77777777" w:rsidR="00257420" w:rsidRPr="00463EE9" w:rsidRDefault="00257420">
      <w:pPr>
        <w:rPr>
          <w:sz w:val="22"/>
          <w:szCs w:val="22"/>
        </w:rPr>
      </w:pPr>
    </w:p>
    <w:p w14:paraId="64EAEB55" w14:textId="77777777" w:rsidR="00E914E4" w:rsidRPr="00B129C9" w:rsidRDefault="00E914E4" w:rsidP="00E914E4">
      <w:pPr>
        <w:ind w:right="-1134"/>
        <w:rPr>
          <w:rFonts w:eastAsia="SimSun"/>
          <w:sz w:val="22"/>
          <w:szCs w:val="22"/>
          <w:lang w:val="en-US" w:eastAsia="zh-CN"/>
        </w:rPr>
      </w:pPr>
      <w:r w:rsidRPr="00B129C9">
        <w:rPr>
          <w:rFonts w:eastAsia="SimSun"/>
          <w:sz w:val="22"/>
          <w:szCs w:val="22"/>
          <w:lang w:val="en-US" w:eastAsia="zh-CN"/>
        </w:rPr>
        <w:t>Bausch Health Ireland Limited</w:t>
      </w:r>
    </w:p>
    <w:p w14:paraId="64EAEB56" w14:textId="77777777" w:rsidR="00E914E4" w:rsidRDefault="00E914E4" w:rsidP="00E914E4">
      <w:pPr>
        <w:ind w:right="-1134"/>
        <w:rPr>
          <w:rFonts w:eastAsia="SimSun"/>
          <w:sz w:val="22"/>
          <w:szCs w:val="22"/>
          <w:lang w:val="en-US" w:eastAsia="zh-CN"/>
        </w:rPr>
      </w:pPr>
      <w:r>
        <w:rPr>
          <w:rFonts w:eastAsia="SimSun"/>
          <w:sz w:val="22"/>
          <w:szCs w:val="22"/>
          <w:lang w:val="en-US" w:eastAsia="zh-CN"/>
        </w:rPr>
        <w:t>3013 Lake Drive</w:t>
      </w:r>
    </w:p>
    <w:p w14:paraId="64EAEB57" w14:textId="77777777" w:rsidR="00E914E4" w:rsidRDefault="00E914E4" w:rsidP="00E914E4">
      <w:pPr>
        <w:ind w:right="-1134"/>
        <w:rPr>
          <w:rFonts w:eastAsia="SimSun"/>
          <w:sz w:val="22"/>
          <w:szCs w:val="22"/>
          <w:lang w:val="en-US" w:eastAsia="zh-CN"/>
        </w:rPr>
      </w:pPr>
      <w:r>
        <w:rPr>
          <w:rFonts w:eastAsia="SimSun"/>
          <w:sz w:val="22"/>
          <w:szCs w:val="22"/>
          <w:lang w:val="en-US" w:eastAsia="zh-CN"/>
        </w:rPr>
        <w:t>Citywest Business Campus</w:t>
      </w:r>
    </w:p>
    <w:p w14:paraId="64EAEB58" w14:textId="77777777" w:rsidR="00E914E4" w:rsidRDefault="00E914E4" w:rsidP="00E914E4">
      <w:pPr>
        <w:ind w:right="-1134"/>
        <w:rPr>
          <w:rFonts w:eastAsia="SimSun"/>
          <w:sz w:val="22"/>
          <w:szCs w:val="22"/>
          <w:lang w:val="en-US" w:eastAsia="zh-CN"/>
        </w:rPr>
      </w:pPr>
      <w:r>
        <w:rPr>
          <w:rFonts w:eastAsia="SimSun"/>
          <w:sz w:val="22"/>
          <w:szCs w:val="22"/>
          <w:lang w:val="en-US" w:eastAsia="zh-CN"/>
        </w:rPr>
        <w:t>Dublin 24, D24PPT3</w:t>
      </w:r>
    </w:p>
    <w:p w14:paraId="64EAEB59" w14:textId="77777777" w:rsidR="00E914E4" w:rsidRPr="00B129C9" w:rsidRDefault="00E914E4" w:rsidP="00E914E4">
      <w:pPr>
        <w:rPr>
          <w:rFonts w:eastAsia="SimSun"/>
          <w:sz w:val="22"/>
          <w:szCs w:val="22"/>
          <w:lang w:val="en-US" w:eastAsia="zh-CN"/>
        </w:rPr>
      </w:pPr>
      <w:r w:rsidRPr="00B129C9">
        <w:rPr>
          <w:rFonts w:eastAsia="SimSun"/>
          <w:sz w:val="22"/>
          <w:szCs w:val="22"/>
          <w:lang w:val="en-US" w:eastAsia="zh-CN"/>
        </w:rPr>
        <w:t>Irlandia</w:t>
      </w:r>
    </w:p>
    <w:p w14:paraId="64EAEB5A" w14:textId="77777777" w:rsidR="00257420" w:rsidRPr="00B129C9" w:rsidRDefault="00257420">
      <w:pPr>
        <w:rPr>
          <w:sz w:val="22"/>
          <w:szCs w:val="22"/>
          <w:lang w:val="en-US"/>
        </w:rPr>
      </w:pPr>
    </w:p>
    <w:p w14:paraId="64EAEB5B" w14:textId="77777777" w:rsidR="00257420" w:rsidRPr="00B129C9" w:rsidRDefault="00257420">
      <w:pPr>
        <w:rPr>
          <w:sz w:val="22"/>
          <w:szCs w:val="22"/>
          <w:lang w:val="en-US"/>
        </w:rPr>
      </w:pPr>
    </w:p>
    <w:p w14:paraId="64EAEB5C" w14:textId="77777777" w:rsidR="00257420" w:rsidRPr="00463EE9" w:rsidRDefault="00257420">
      <w:pPr>
        <w:rPr>
          <w:b/>
          <w:sz w:val="22"/>
          <w:szCs w:val="22"/>
        </w:rPr>
      </w:pPr>
      <w:r w:rsidRPr="00463EE9">
        <w:rPr>
          <w:b/>
          <w:sz w:val="22"/>
          <w:szCs w:val="22"/>
        </w:rPr>
        <w:t>8. NUMER POZWOLENIA NA DOPUSZCZENIE DO OBROTU</w:t>
      </w:r>
    </w:p>
    <w:p w14:paraId="64EAEB5D" w14:textId="77777777" w:rsidR="00257420" w:rsidRPr="00463EE9" w:rsidRDefault="00257420">
      <w:pPr>
        <w:rPr>
          <w:sz w:val="22"/>
          <w:szCs w:val="22"/>
        </w:rPr>
      </w:pPr>
    </w:p>
    <w:p w14:paraId="64EAEB5E" w14:textId="77777777" w:rsidR="00257420" w:rsidRPr="00463EE9" w:rsidRDefault="00257420">
      <w:pPr>
        <w:rPr>
          <w:sz w:val="22"/>
          <w:szCs w:val="22"/>
        </w:rPr>
      </w:pPr>
      <w:r w:rsidRPr="00463EE9">
        <w:rPr>
          <w:sz w:val="22"/>
          <w:szCs w:val="22"/>
        </w:rPr>
        <w:t xml:space="preserve">Pozwolenie </w:t>
      </w:r>
      <w:r w:rsidR="00F010A0">
        <w:rPr>
          <w:sz w:val="22"/>
          <w:szCs w:val="22"/>
        </w:rPr>
        <w:t>n</w:t>
      </w:r>
      <w:r w:rsidRPr="00463EE9">
        <w:rPr>
          <w:sz w:val="22"/>
          <w:szCs w:val="22"/>
        </w:rPr>
        <w:t>r</w:t>
      </w:r>
      <w:r w:rsidR="00F010A0">
        <w:rPr>
          <w:sz w:val="22"/>
          <w:szCs w:val="22"/>
        </w:rPr>
        <w:t xml:space="preserve"> </w:t>
      </w:r>
      <w:r w:rsidRPr="00463EE9">
        <w:rPr>
          <w:sz w:val="22"/>
          <w:szCs w:val="22"/>
        </w:rPr>
        <w:t>R/2287</w:t>
      </w:r>
    </w:p>
    <w:p w14:paraId="64EAEB5F" w14:textId="77777777" w:rsidR="00257420" w:rsidRPr="00463EE9" w:rsidRDefault="00257420">
      <w:pPr>
        <w:rPr>
          <w:sz w:val="22"/>
          <w:szCs w:val="22"/>
        </w:rPr>
      </w:pPr>
    </w:p>
    <w:p w14:paraId="64EAEB60" w14:textId="77777777" w:rsidR="00257420" w:rsidRPr="00463EE9" w:rsidRDefault="00257420">
      <w:pPr>
        <w:rPr>
          <w:b/>
          <w:sz w:val="22"/>
          <w:szCs w:val="22"/>
        </w:rPr>
      </w:pPr>
    </w:p>
    <w:p w14:paraId="64EAEB61" w14:textId="77777777" w:rsidR="00257420" w:rsidRPr="00463EE9" w:rsidRDefault="00257420">
      <w:pPr>
        <w:rPr>
          <w:b/>
          <w:sz w:val="22"/>
          <w:szCs w:val="22"/>
        </w:rPr>
      </w:pPr>
      <w:r w:rsidRPr="00463EE9">
        <w:rPr>
          <w:b/>
          <w:sz w:val="22"/>
          <w:szCs w:val="22"/>
        </w:rPr>
        <w:t xml:space="preserve">9. DATA WYDANIA PIERWSZEGO POZWOLENIA NA DOPUSZCZENIE DO OBROTU </w:t>
      </w:r>
      <w:r w:rsidR="00002A89">
        <w:rPr>
          <w:b/>
          <w:sz w:val="22"/>
          <w:szCs w:val="22"/>
        </w:rPr>
        <w:t>I</w:t>
      </w:r>
      <w:r w:rsidRPr="00463EE9">
        <w:rPr>
          <w:b/>
          <w:sz w:val="22"/>
          <w:szCs w:val="22"/>
        </w:rPr>
        <w:t xml:space="preserve"> DATA PRZEDŁUŻENIA POZWOLENIA</w:t>
      </w:r>
    </w:p>
    <w:p w14:paraId="64EAEB62" w14:textId="77777777" w:rsidR="00257420" w:rsidRPr="00463EE9" w:rsidRDefault="00257420">
      <w:pPr>
        <w:rPr>
          <w:sz w:val="22"/>
          <w:szCs w:val="22"/>
        </w:rPr>
      </w:pPr>
    </w:p>
    <w:p w14:paraId="64EAEB63" w14:textId="77777777" w:rsidR="00A92AB6" w:rsidRDefault="00A92AB6">
      <w:pPr>
        <w:rPr>
          <w:sz w:val="22"/>
          <w:szCs w:val="22"/>
        </w:rPr>
      </w:pPr>
      <w:r>
        <w:rPr>
          <w:sz w:val="22"/>
          <w:szCs w:val="22"/>
        </w:rPr>
        <w:t xml:space="preserve">Data wydania pierwszego pozwolenia na dopuszczenia do obrotu: </w:t>
      </w:r>
      <w:r w:rsidR="00232489">
        <w:rPr>
          <w:sz w:val="22"/>
          <w:szCs w:val="22"/>
        </w:rPr>
        <w:t>28 sierpnia 1990r.</w:t>
      </w:r>
      <w:r w:rsidR="00232489">
        <w:rPr>
          <w:sz w:val="22"/>
          <w:szCs w:val="22"/>
        </w:rPr>
        <w:tab/>
      </w:r>
    </w:p>
    <w:p w14:paraId="64EAEB64" w14:textId="77777777" w:rsidR="00257420" w:rsidRPr="00463EE9" w:rsidRDefault="00A92AB6">
      <w:pPr>
        <w:rPr>
          <w:sz w:val="22"/>
          <w:szCs w:val="22"/>
        </w:rPr>
      </w:pPr>
      <w:r>
        <w:rPr>
          <w:sz w:val="22"/>
          <w:szCs w:val="22"/>
        </w:rPr>
        <w:t xml:space="preserve">Data ostatniego przedłużenia pozwolenia: </w:t>
      </w:r>
      <w:r w:rsidR="00232489">
        <w:rPr>
          <w:sz w:val="22"/>
          <w:szCs w:val="22"/>
        </w:rPr>
        <w:t>18 lipca 2013r.</w:t>
      </w:r>
    </w:p>
    <w:p w14:paraId="64EAEB65" w14:textId="77777777" w:rsidR="00257420" w:rsidRPr="00463EE9" w:rsidRDefault="00257420">
      <w:pPr>
        <w:rPr>
          <w:sz w:val="22"/>
          <w:szCs w:val="22"/>
        </w:rPr>
      </w:pPr>
    </w:p>
    <w:p w14:paraId="64EAEB66" w14:textId="77777777" w:rsidR="00257420" w:rsidRPr="00463EE9" w:rsidRDefault="00257420">
      <w:pPr>
        <w:pStyle w:val="Tekstpodstawowy"/>
        <w:spacing w:line="240" w:lineRule="auto"/>
        <w:rPr>
          <w:caps/>
          <w:sz w:val="22"/>
          <w:szCs w:val="22"/>
        </w:rPr>
      </w:pPr>
      <w:r w:rsidRPr="00463EE9">
        <w:rPr>
          <w:sz w:val="22"/>
          <w:szCs w:val="22"/>
        </w:rPr>
        <w:t xml:space="preserve">10. </w:t>
      </w:r>
      <w:r w:rsidRPr="00463EE9">
        <w:rPr>
          <w:caps/>
          <w:sz w:val="22"/>
          <w:szCs w:val="22"/>
        </w:rPr>
        <w:t xml:space="preserve">Data zatwierdzenia lub częściowej zmiany tekstu </w:t>
      </w:r>
    </w:p>
    <w:p w14:paraId="64EAEB67" w14:textId="77777777" w:rsidR="00257420" w:rsidRDefault="00257420">
      <w:pPr>
        <w:pStyle w:val="Tekstpodstawowy"/>
        <w:spacing w:line="240" w:lineRule="auto"/>
        <w:rPr>
          <w:caps/>
          <w:sz w:val="22"/>
          <w:szCs w:val="22"/>
        </w:rPr>
      </w:pPr>
      <w:r w:rsidRPr="00463EE9">
        <w:rPr>
          <w:caps/>
          <w:sz w:val="22"/>
          <w:szCs w:val="22"/>
        </w:rPr>
        <w:t xml:space="preserve">      Charakterystyki produktu leczniczego</w:t>
      </w:r>
    </w:p>
    <w:p w14:paraId="64EAEB69" w14:textId="093624A0" w:rsidR="00BB04E2" w:rsidRDefault="00BB04E2">
      <w:pPr>
        <w:pStyle w:val="Tekstpodstawowy"/>
        <w:spacing w:line="240" w:lineRule="auto"/>
        <w:rPr>
          <w:b w:val="0"/>
          <w:sz w:val="22"/>
          <w:szCs w:val="22"/>
        </w:rPr>
      </w:pPr>
    </w:p>
    <w:p w14:paraId="7D27BC47" w14:textId="7C55C448" w:rsidR="008C1E75" w:rsidRPr="00FB2414" w:rsidRDefault="008C1E75">
      <w:pPr>
        <w:pStyle w:val="Tekstpodstawowy"/>
        <w:spacing w:line="240" w:lineRule="auto"/>
        <w:rPr>
          <w:b w:val="0"/>
          <w:sz w:val="22"/>
          <w:szCs w:val="22"/>
        </w:rPr>
      </w:pPr>
      <w:r>
        <w:rPr>
          <w:b w:val="0"/>
          <w:sz w:val="22"/>
          <w:szCs w:val="22"/>
        </w:rPr>
        <w:t>06.10.2023</w:t>
      </w:r>
    </w:p>
    <w:sectPr w:rsidR="008C1E75" w:rsidRPr="00FB2414" w:rsidSect="00463EE9">
      <w:footerReference w:type="even"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950F" w14:textId="77777777" w:rsidR="00C8643E" w:rsidRDefault="00C8643E">
      <w:r>
        <w:separator/>
      </w:r>
    </w:p>
  </w:endnote>
  <w:endnote w:type="continuationSeparator" w:id="0">
    <w:p w14:paraId="6C406164" w14:textId="77777777" w:rsidR="00C8643E" w:rsidRDefault="00C8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ans-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EB6E" w14:textId="77777777" w:rsidR="00622147" w:rsidRDefault="0062214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4EAEB6F" w14:textId="77777777" w:rsidR="00622147" w:rsidRDefault="0062214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EB70" w14:textId="7EB12033" w:rsidR="00622147" w:rsidRPr="002B5E65" w:rsidRDefault="00622147">
    <w:pPr>
      <w:pStyle w:val="Stopka"/>
      <w:framePr w:wrap="around" w:vAnchor="text" w:hAnchor="margin" w:xAlign="right" w:y="1"/>
      <w:rPr>
        <w:rStyle w:val="Numerstrony"/>
        <w:sz w:val="22"/>
        <w:szCs w:val="22"/>
      </w:rPr>
    </w:pPr>
    <w:r w:rsidRPr="002B5E65">
      <w:rPr>
        <w:rStyle w:val="Numerstrony"/>
        <w:sz w:val="22"/>
        <w:szCs w:val="22"/>
      </w:rPr>
      <w:fldChar w:fldCharType="begin"/>
    </w:r>
    <w:r w:rsidRPr="002B5E65">
      <w:rPr>
        <w:rStyle w:val="Numerstrony"/>
        <w:sz w:val="22"/>
        <w:szCs w:val="22"/>
      </w:rPr>
      <w:instrText xml:space="preserve">PAGE  </w:instrText>
    </w:r>
    <w:r w:rsidRPr="002B5E65">
      <w:rPr>
        <w:rStyle w:val="Numerstrony"/>
        <w:sz w:val="22"/>
        <w:szCs w:val="22"/>
      </w:rPr>
      <w:fldChar w:fldCharType="separate"/>
    </w:r>
    <w:r w:rsidR="00021C5E">
      <w:rPr>
        <w:rStyle w:val="Numerstrony"/>
        <w:noProof/>
        <w:sz w:val="22"/>
        <w:szCs w:val="22"/>
      </w:rPr>
      <w:t>7</w:t>
    </w:r>
    <w:r w:rsidRPr="002B5E65">
      <w:rPr>
        <w:rStyle w:val="Numerstrony"/>
        <w:sz w:val="22"/>
        <w:szCs w:val="22"/>
      </w:rPr>
      <w:fldChar w:fldCharType="end"/>
    </w:r>
  </w:p>
  <w:p w14:paraId="64EAEB71" w14:textId="77777777" w:rsidR="00622147" w:rsidRDefault="0062214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74077" w14:textId="77777777" w:rsidR="00C8643E" w:rsidRDefault="00C8643E">
      <w:r>
        <w:separator/>
      </w:r>
    </w:p>
  </w:footnote>
  <w:footnote w:type="continuationSeparator" w:id="0">
    <w:p w14:paraId="27AC217D" w14:textId="77777777" w:rsidR="00C8643E" w:rsidRDefault="00C8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E42CE"/>
    <w:multiLevelType w:val="hybridMultilevel"/>
    <w:tmpl w:val="13A2916A"/>
    <w:lvl w:ilvl="0" w:tplc="9DB00B32">
      <w:start w:val="1"/>
      <w:numFmt w:val="decimal"/>
      <w:lvlText w:val="%1."/>
      <w:lvlJc w:val="left"/>
      <w:pPr>
        <w:tabs>
          <w:tab w:val="num" w:pos="720"/>
        </w:tabs>
        <w:ind w:left="720" w:hanging="360"/>
      </w:pPr>
      <w:rPr>
        <w:rFonts w:hint="default"/>
      </w:rPr>
    </w:lvl>
    <w:lvl w:ilvl="1" w:tplc="DCECF2A4" w:tentative="1">
      <w:start w:val="1"/>
      <w:numFmt w:val="lowerLetter"/>
      <w:lvlText w:val="%2."/>
      <w:lvlJc w:val="left"/>
      <w:pPr>
        <w:tabs>
          <w:tab w:val="num" w:pos="1440"/>
        </w:tabs>
        <w:ind w:left="1440" w:hanging="360"/>
      </w:pPr>
    </w:lvl>
    <w:lvl w:ilvl="2" w:tplc="0BC4B17C" w:tentative="1">
      <w:start w:val="1"/>
      <w:numFmt w:val="lowerRoman"/>
      <w:lvlText w:val="%3."/>
      <w:lvlJc w:val="right"/>
      <w:pPr>
        <w:tabs>
          <w:tab w:val="num" w:pos="2160"/>
        </w:tabs>
        <w:ind w:left="2160" w:hanging="180"/>
      </w:pPr>
    </w:lvl>
    <w:lvl w:ilvl="3" w:tplc="6D421B16" w:tentative="1">
      <w:start w:val="1"/>
      <w:numFmt w:val="decimal"/>
      <w:lvlText w:val="%4."/>
      <w:lvlJc w:val="left"/>
      <w:pPr>
        <w:tabs>
          <w:tab w:val="num" w:pos="2880"/>
        </w:tabs>
        <w:ind w:left="2880" w:hanging="360"/>
      </w:pPr>
    </w:lvl>
    <w:lvl w:ilvl="4" w:tplc="5CFE0C18" w:tentative="1">
      <w:start w:val="1"/>
      <w:numFmt w:val="lowerLetter"/>
      <w:lvlText w:val="%5."/>
      <w:lvlJc w:val="left"/>
      <w:pPr>
        <w:tabs>
          <w:tab w:val="num" w:pos="3600"/>
        </w:tabs>
        <w:ind w:left="3600" w:hanging="360"/>
      </w:pPr>
    </w:lvl>
    <w:lvl w:ilvl="5" w:tplc="536015EC" w:tentative="1">
      <w:start w:val="1"/>
      <w:numFmt w:val="lowerRoman"/>
      <w:lvlText w:val="%6."/>
      <w:lvlJc w:val="right"/>
      <w:pPr>
        <w:tabs>
          <w:tab w:val="num" w:pos="4320"/>
        </w:tabs>
        <w:ind w:left="4320" w:hanging="180"/>
      </w:pPr>
    </w:lvl>
    <w:lvl w:ilvl="6" w:tplc="5480204C" w:tentative="1">
      <w:start w:val="1"/>
      <w:numFmt w:val="decimal"/>
      <w:lvlText w:val="%7."/>
      <w:lvlJc w:val="left"/>
      <w:pPr>
        <w:tabs>
          <w:tab w:val="num" w:pos="5040"/>
        </w:tabs>
        <w:ind w:left="5040" w:hanging="360"/>
      </w:pPr>
    </w:lvl>
    <w:lvl w:ilvl="7" w:tplc="8868A4CC" w:tentative="1">
      <w:start w:val="1"/>
      <w:numFmt w:val="lowerLetter"/>
      <w:lvlText w:val="%8."/>
      <w:lvlJc w:val="left"/>
      <w:pPr>
        <w:tabs>
          <w:tab w:val="num" w:pos="5760"/>
        </w:tabs>
        <w:ind w:left="5760" w:hanging="360"/>
      </w:pPr>
    </w:lvl>
    <w:lvl w:ilvl="8" w:tplc="A8B0F10C" w:tentative="1">
      <w:start w:val="1"/>
      <w:numFmt w:val="lowerRoman"/>
      <w:lvlText w:val="%9."/>
      <w:lvlJc w:val="right"/>
      <w:pPr>
        <w:tabs>
          <w:tab w:val="num" w:pos="6480"/>
        </w:tabs>
        <w:ind w:left="6480" w:hanging="180"/>
      </w:pPr>
    </w:lvl>
  </w:abstractNum>
  <w:abstractNum w:abstractNumId="1" w15:restartNumberingAfterBreak="0">
    <w:nsid w:val="6F294D41"/>
    <w:multiLevelType w:val="hybridMultilevel"/>
    <w:tmpl w:val="5CE29C80"/>
    <w:lvl w:ilvl="0" w:tplc="7D3494B6">
      <w:start w:val="4"/>
      <w:numFmt w:val="bullet"/>
      <w:lvlText w:val="-"/>
      <w:lvlJc w:val="left"/>
      <w:pPr>
        <w:tabs>
          <w:tab w:val="num" w:pos="720"/>
        </w:tabs>
        <w:ind w:left="720" w:hanging="360"/>
      </w:pPr>
      <w:rPr>
        <w:rFonts w:ascii="Times New Roman" w:eastAsia="Times New Roman" w:hAnsi="Times New Roman" w:cs="Times New Roman" w:hint="default"/>
      </w:rPr>
    </w:lvl>
    <w:lvl w:ilvl="1" w:tplc="7A3244E2" w:tentative="1">
      <w:start w:val="1"/>
      <w:numFmt w:val="bullet"/>
      <w:lvlText w:val="o"/>
      <w:lvlJc w:val="left"/>
      <w:pPr>
        <w:tabs>
          <w:tab w:val="num" w:pos="1440"/>
        </w:tabs>
        <w:ind w:left="1440" w:hanging="360"/>
      </w:pPr>
      <w:rPr>
        <w:rFonts w:ascii="Courier New" w:hAnsi="Courier New" w:hint="default"/>
      </w:rPr>
    </w:lvl>
    <w:lvl w:ilvl="2" w:tplc="EC1A20A4" w:tentative="1">
      <w:start w:val="1"/>
      <w:numFmt w:val="bullet"/>
      <w:lvlText w:val=""/>
      <w:lvlJc w:val="left"/>
      <w:pPr>
        <w:tabs>
          <w:tab w:val="num" w:pos="2160"/>
        </w:tabs>
        <w:ind w:left="2160" w:hanging="360"/>
      </w:pPr>
      <w:rPr>
        <w:rFonts w:ascii="Wingdings" w:hAnsi="Wingdings" w:hint="default"/>
      </w:rPr>
    </w:lvl>
    <w:lvl w:ilvl="3" w:tplc="9B2A10A0" w:tentative="1">
      <w:start w:val="1"/>
      <w:numFmt w:val="bullet"/>
      <w:lvlText w:val=""/>
      <w:lvlJc w:val="left"/>
      <w:pPr>
        <w:tabs>
          <w:tab w:val="num" w:pos="2880"/>
        </w:tabs>
        <w:ind w:left="2880" w:hanging="360"/>
      </w:pPr>
      <w:rPr>
        <w:rFonts w:ascii="Symbol" w:hAnsi="Symbol" w:hint="default"/>
      </w:rPr>
    </w:lvl>
    <w:lvl w:ilvl="4" w:tplc="4A16A09C" w:tentative="1">
      <w:start w:val="1"/>
      <w:numFmt w:val="bullet"/>
      <w:lvlText w:val="o"/>
      <w:lvlJc w:val="left"/>
      <w:pPr>
        <w:tabs>
          <w:tab w:val="num" w:pos="3600"/>
        </w:tabs>
        <w:ind w:left="3600" w:hanging="360"/>
      </w:pPr>
      <w:rPr>
        <w:rFonts w:ascii="Courier New" w:hAnsi="Courier New" w:hint="default"/>
      </w:rPr>
    </w:lvl>
    <w:lvl w:ilvl="5" w:tplc="EBD618B8" w:tentative="1">
      <w:start w:val="1"/>
      <w:numFmt w:val="bullet"/>
      <w:lvlText w:val=""/>
      <w:lvlJc w:val="left"/>
      <w:pPr>
        <w:tabs>
          <w:tab w:val="num" w:pos="4320"/>
        </w:tabs>
        <w:ind w:left="4320" w:hanging="360"/>
      </w:pPr>
      <w:rPr>
        <w:rFonts w:ascii="Wingdings" w:hAnsi="Wingdings" w:hint="default"/>
      </w:rPr>
    </w:lvl>
    <w:lvl w:ilvl="6" w:tplc="C17422DC" w:tentative="1">
      <w:start w:val="1"/>
      <w:numFmt w:val="bullet"/>
      <w:lvlText w:val=""/>
      <w:lvlJc w:val="left"/>
      <w:pPr>
        <w:tabs>
          <w:tab w:val="num" w:pos="5040"/>
        </w:tabs>
        <w:ind w:left="5040" w:hanging="360"/>
      </w:pPr>
      <w:rPr>
        <w:rFonts w:ascii="Symbol" w:hAnsi="Symbol" w:hint="default"/>
      </w:rPr>
    </w:lvl>
    <w:lvl w:ilvl="7" w:tplc="DCAEA02E" w:tentative="1">
      <w:start w:val="1"/>
      <w:numFmt w:val="bullet"/>
      <w:lvlText w:val="o"/>
      <w:lvlJc w:val="left"/>
      <w:pPr>
        <w:tabs>
          <w:tab w:val="num" w:pos="5760"/>
        </w:tabs>
        <w:ind w:left="5760" w:hanging="360"/>
      </w:pPr>
      <w:rPr>
        <w:rFonts w:ascii="Courier New" w:hAnsi="Courier New" w:hint="default"/>
      </w:rPr>
    </w:lvl>
    <w:lvl w:ilvl="8" w:tplc="B38695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60471C"/>
    <w:multiLevelType w:val="hybridMultilevel"/>
    <w:tmpl w:val="EA42A628"/>
    <w:lvl w:ilvl="0" w:tplc="971C8F60">
      <w:start w:val="1"/>
      <w:numFmt w:val="decimal"/>
      <w:lvlText w:val="%1."/>
      <w:lvlJc w:val="left"/>
      <w:pPr>
        <w:tabs>
          <w:tab w:val="num" w:pos="720"/>
        </w:tabs>
        <w:ind w:left="720" w:hanging="360"/>
      </w:pPr>
      <w:rPr>
        <w:rFonts w:hint="default"/>
      </w:rPr>
    </w:lvl>
    <w:lvl w:ilvl="1" w:tplc="E5D4B5E8" w:tentative="1">
      <w:start w:val="1"/>
      <w:numFmt w:val="lowerLetter"/>
      <w:lvlText w:val="%2."/>
      <w:lvlJc w:val="left"/>
      <w:pPr>
        <w:tabs>
          <w:tab w:val="num" w:pos="1440"/>
        </w:tabs>
        <w:ind w:left="1440" w:hanging="360"/>
      </w:pPr>
    </w:lvl>
    <w:lvl w:ilvl="2" w:tplc="0F160664" w:tentative="1">
      <w:start w:val="1"/>
      <w:numFmt w:val="lowerRoman"/>
      <w:lvlText w:val="%3."/>
      <w:lvlJc w:val="right"/>
      <w:pPr>
        <w:tabs>
          <w:tab w:val="num" w:pos="2160"/>
        </w:tabs>
        <w:ind w:left="2160" w:hanging="180"/>
      </w:pPr>
    </w:lvl>
    <w:lvl w:ilvl="3" w:tplc="A63A99FA" w:tentative="1">
      <w:start w:val="1"/>
      <w:numFmt w:val="decimal"/>
      <w:lvlText w:val="%4."/>
      <w:lvlJc w:val="left"/>
      <w:pPr>
        <w:tabs>
          <w:tab w:val="num" w:pos="2880"/>
        </w:tabs>
        <w:ind w:left="2880" w:hanging="360"/>
      </w:pPr>
    </w:lvl>
    <w:lvl w:ilvl="4" w:tplc="92B4727C" w:tentative="1">
      <w:start w:val="1"/>
      <w:numFmt w:val="lowerLetter"/>
      <w:lvlText w:val="%5."/>
      <w:lvlJc w:val="left"/>
      <w:pPr>
        <w:tabs>
          <w:tab w:val="num" w:pos="3600"/>
        </w:tabs>
        <w:ind w:left="3600" w:hanging="360"/>
      </w:pPr>
    </w:lvl>
    <w:lvl w:ilvl="5" w:tplc="681A101A" w:tentative="1">
      <w:start w:val="1"/>
      <w:numFmt w:val="lowerRoman"/>
      <w:lvlText w:val="%6."/>
      <w:lvlJc w:val="right"/>
      <w:pPr>
        <w:tabs>
          <w:tab w:val="num" w:pos="4320"/>
        </w:tabs>
        <w:ind w:left="4320" w:hanging="180"/>
      </w:pPr>
    </w:lvl>
    <w:lvl w:ilvl="6" w:tplc="154A06BA" w:tentative="1">
      <w:start w:val="1"/>
      <w:numFmt w:val="decimal"/>
      <w:lvlText w:val="%7."/>
      <w:lvlJc w:val="left"/>
      <w:pPr>
        <w:tabs>
          <w:tab w:val="num" w:pos="5040"/>
        </w:tabs>
        <w:ind w:left="5040" w:hanging="360"/>
      </w:pPr>
    </w:lvl>
    <w:lvl w:ilvl="7" w:tplc="7878126C" w:tentative="1">
      <w:start w:val="1"/>
      <w:numFmt w:val="lowerLetter"/>
      <w:lvlText w:val="%8."/>
      <w:lvlJc w:val="left"/>
      <w:pPr>
        <w:tabs>
          <w:tab w:val="num" w:pos="5760"/>
        </w:tabs>
        <w:ind w:left="5760" w:hanging="360"/>
      </w:pPr>
    </w:lvl>
    <w:lvl w:ilvl="8" w:tplc="F51E37D4" w:tentative="1">
      <w:start w:val="1"/>
      <w:numFmt w:val="lowerRoman"/>
      <w:lvlText w:val="%9."/>
      <w:lvlJc w:val="right"/>
      <w:pPr>
        <w:tabs>
          <w:tab w:val="num" w:pos="6480"/>
        </w:tabs>
        <w:ind w:left="6480" w:hanging="180"/>
      </w:pPr>
    </w:lvl>
  </w:abstractNum>
  <w:num w:numId="1" w16cid:durableId="908344419">
    <w:abstractNumId w:val="2"/>
  </w:num>
  <w:num w:numId="2" w16cid:durableId="1922106476">
    <w:abstractNumId w:val="0"/>
  </w:num>
  <w:num w:numId="3" w16cid:durableId="14732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EE9"/>
    <w:rsid w:val="0000277F"/>
    <w:rsid w:val="00002A89"/>
    <w:rsid w:val="00015075"/>
    <w:rsid w:val="00015177"/>
    <w:rsid w:val="000169EC"/>
    <w:rsid w:val="00021C5E"/>
    <w:rsid w:val="00023A84"/>
    <w:rsid w:val="00041037"/>
    <w:rsid w:val="00041D1A"/>
    <w:rsid w:val="00060FA2"/>
    <w:rsid w:val="00071D2D"/>
    <w:rsid w:val="000763D3"/>
    <w:rsid w:val="00081BF5"/>
    <w:rsid w:val="00082702"/>
    <w:rsid w:val="0009311B"/>
    <w:rsid w:val="00097D65"/>
    <w:rsid w:val="000A1CE2"/>
    <w:rsid w:val="000B0785"/>
    <w:rsid w:val="000C2872"/>
    <w:rsid w:val="00101B36"/>
    <w:rsid w:val="00107FC4"/>
    <w:rsid w:val="00113EFA"/>
    <w:rsid w:val="0011710F"/>
    <w:rsid w:val="0012389E"/>
    <w:rsid w:val="00147A72"/>
    <w:rsid w:val="00147BE4"/>
    <w:rsid w:val="00151C7B"/>
    <w:rsid w:val="001636B0"/>
    <w:rsid w:val="00177016"/>
    <w:rsid w:val="001E14C3"/>
    <w:rsid w:val="001E18F0"/>
    <w:rsid w:val="001E268A"/>
    <w:rsid w:val="001E3AB1"/>
    <w:rsid w:val="00205A19"/>
    <w:rsid w:val="00224EEA"/>
    <w:rsid w:val="00225A56"/>
    <w:rsid w:val="00231406"/>
    <w:rsid w:val="00232489"/>
    <w:rsid w:val="00234D6F"/>
    <w:rsid w:val="00235A1E"/>
    <w:rsid w:val="00237FF9"/>
    <w:rsid w:val="0025196F"/>
    <w:rsid w:val="002528F0"/>
    <w:rsid w:val="00257420"/>
    <w:rsid w:val="00262D8F"/>
    <w:rsid w:val="00266804"/>
    <w:rsid w:val="00273A37"/>
    <w:rsid w:val="00275F97"/>
    <w:rsid w:val="00283C00"/>
    <w:rsid w:val="00293E35"/>
    <w:rsid w:val="002A04F1"/>
    <w:rsid w:val="002A0E3D"/>
    <w:rsid w:val="002A1ECA"/>
    <w:rsid w:val="002A7BB7"/>
    <w:rsid w:val="002B0370"/>
    <w:rsid w:val="002B5E65"/>
    <w:rsid w:val="002E0B6A"/>
    <w:rsid w:val="002E44AA"/>
    <w:rsid w:val="002F7DB5"/>
    <w:rsid w:val="003033B8"/>
    <w:rsid w:val="00317B4D"/>
    <w:rsid w:val="00320B66"/>
    <w:rsid w:val="003250E4"/>
    <w:rsid w:val="00331C7F"/>
    <w:rsid w:val="00334B23"/>
    <w:rsid w:val="003356A9"/>
    <w:rsid w:val="00335B5A"/>
    <w:rsid w:val="00345170"/>
    <w:rsid w:val="00347A4A"/>
    <w:rsid w:val="00362FC7"/>
    <w:rsid w:val="00363C58"/>
    <w:rsid w:val="00376F71"/>
    <w:rsid w:val="00384280"/>
    <w:rsid w:val="00393F19"/>
    <w:rsid w:val="003A205C"/>
    <w:rsid w:val="003A4D64"/>
    <w:rsid w:val="003A4F31"/>
    <w:rsid w:val="003C5941"/>
    <w:rsid w:val="003C7E56"/>
    <w:rsid w:val="00401948"/>
    <w:rsid w:val="00406DAD"/>
    <w:rsid w:val="00407718"/>
    <w:rsid w:val="004165DA"/>
    <w:rsid w:val="004203BA"/>
    <w:rsid w:val="00423967"/>
    <w:rsid w:val="0044222E"/>
    <w:rsid w:val="004604BF"/>
    <w:rsid w:val="004638A7"/>
    <w:rsid w:val="00463EE9"/>
    <w:rsid w:val="00487303"/>
    <w:rsid w:val="004B6A84"/>
    <w:rsid w:val="004E5C6E"/>
    <w:rsid w:val="004F7333"/>
    <w:rsid w:val="00531692"/>
    <w:rsid w:val="00536104"/>
    <w:rsid w:val="00536A1C"/>
    <w:rsid w:val="00566EA8"/>
    <w:rsid w:val="00573437"/>
    <w:rsid w:val="00582603"/>
    <w:rsid w:val="005844B9"/>
    <w:rsid w:val="00587D2B"/>
    <w:rsid w:val="00591A45"/>
    <w:rsid w:val="005B0493"/>
    <w:rsid w:val="005B550A"/>
    <w:rsid w:val="005B6DC0"/>
    <w:rsid w:val="005B7CB7"/>
    <w:rsid w:val="005D2A40"/>
    <w:rsid w:val="005D4488"/>
    <w:rsid w:val="005E0015"/>
    <w:rsid w:val="005E41BF"/>
    <w:rsid w:val="005E4F5E"/>
    <w:rsid w:val="00622147"/>
    <w:rsid w:val="00640511"/>
    <w:rsid w:val="00641AD3"/>
    <w:rsid w:val="00644BC8"/>
    <w:rsid w:val="00645F86"/>
    <w:rsid w:val="00656D06"/>
    <w:rsid w:val="00667668"/>
    <w:rsid w:val="00670FCD"/>
    <w:rsid w:val="00677C3B"/>
    <w:rsid w:val="006803DB"/>
    <w:rsid w:val="006806FC"/>
    <w:rsid w:val="0069514E"/>
    <w:rsid w:val="00695EBB"/>
    <w:rsid w:val="006B640E"/>
    <w:rsid w:val="006C39B9"/>
    <w:rsid w:val="006C6D34"/>
    <w:rsid w:val="006C77F6"/>
    <w:rsid w:val="006F1A4E"/>
    <w:rsid w:val="006F5CDC"/>
    <w:rsid w:val="00700953"/>
    <w:rsid w:val="00701F43"/>
    <w:rsid w:val="00707E53"/>
    <w:rsid w:val="00711514"/>
    <w:rsid w:val="007142F0"/>
    <w:rsid w:val="007353DF"/>
    <w:rsid w:val="007414BE"/>
    <w:rsid w:val="007451A6"/>
    <w:rsid w:val="007537A4"/>
    <w:rsid w:val="00756B6D"/>
    <w:rsid w:val="007617B7"/>
    <w:rsid w:val="00766285"/>
    <w:rsid w:val="00780871"/>
    <w:rsid w:val="007F3A1B"/>
    <w:rsid w:val="00801CA3"/>
    <w:rsid w:val="00813E65"/>
    <w:rsid w:val="00817642"/>
    <w:rsid w:val="0082168D"/>
    <w:rsid w:val="00827CD5"/>
    <w:rsid w:val="0083412A"/>
    <w:rsid w:val="0085349F"/>
    <w:rsid w:val="00867A39"/>
    <w:rsid w:val="00870A2D"/>
    <w:rsid w:val="00871BDB"/>
    <w:rsid w:val="00875B6C"/>
    <w:rsid w:val="00895645"/>
    <w:rsid w:val="008A3996"/>
    <w:rsid w:val="008C0DB9"/>
    <w:rsid w:val="008C1E75"/>
    <w:rsid w:val="008C32A4"/>
    <w:rsid w:val="008C571E"/>
    <w:rsid w:val="008D4CC8"/>
    <w:rsid w:val="008D56C3"/>
    <w:rsid w:val="008F0210"/>
    <w:rsid w:val="008F2AD8"/>
    <w:rsid w:val="009012B3"/>
    <w:rsid w:val="0090699A"/>
    <w:rsid w:val="009079A4"/>
    <w:rsid w:val="00907A1F"/>
    <w:rsid w:val="00907E68"/>
    <w:rsid w:val="00921A1D"/>
    <w:rsid w:val="00921CED"/>
    <w:rsid w:val="009322D2"/>
    <w:rsid w:val="0094234F"/>
    <w:rsid w:val="00953FA7"/>
    <w:rsid w:val="00955E00"/>
    <w:rsid w:val="00956B16"/>
    <w:rsid w:val="00956BC3"/>
    <w:rsid w:val="00956FBD"/>
    <w:rsid w:val="00964590"/>
    <w:rsid w:val="009653E2"/>
    <w:rsid w:val="0099667C"/>
    <w:rsid w:val="009C043A"/>
    <w:rsid w:val="009D0E71"/>
    <w:rsid w:val="009D43EB"/>
    <w:rsid w:val="009D70A2"/>
    <w:rsid w:val="009E0D16"/>
    <w:rsid w:val="009F003A"/>
    <w:rsid w:val="009F74F7"/>
    <w:rsid w:val="00A10129"/>
    <w:rsid w:val="00A154AE"/>
    <w:rsid w:val="00A41FBB"/>
    <w:rsid w:val="00A612B2"/>
    <w:rsid w:val="00A64A53"/>
    <w:rsid w:val="00A6580D"/>
    <w:rsid w:val="00A741FA"/>
    <w:rsid w:val="00A867A3"/>
    <w:rsid w:val="00A92AB6"/>
    <w:rsid w:val="00A95791"/>
    <w:rsid w:val="00AA124B"/>
    <w:rsid w:val="00AA25B5"/>
    <w:rsid w:val="00AB37E7"/>
    <w:rsid w:val="00AB7BA8"/>
    <w:rsid w:val="00AC3CFD"/>
    <w:rsid w:val="00AD1CA8"/>
    <w:rsid w:val="00AD36B4"/>
    <w:rsid w:val="00AE2B18"/>
    <w:rsid w:val="00AE665C"/>
    <w:rsid w:val="00AF5CC6"/>
    <w:rsid w:val="00B03440"/>
    <w:rsid w:val="00B05ED2"/>
    <w:rsid w:val="00B07700"/>
    <w:rsid w:val="00B129C9"/>
    <w:rsid w:val="00B132FE"/>
    <w:rsid w:val="00B1365D"/>
    <w:rsid w:val="00B145B9"/>
    <w:rsid w:val="00B27F50"/>
    <w:rsid w:val="00B307DF"/>
    <w:rsid w:val="00B3636A"/>
    <w:rsid w:val="00B56F32"/>
    <w:rsid w:val="00B62B32"/>
    <w:rsid w:val="00B64BE2"/>
    <w:rsid w:val="00B65317"/>
    <w:rsid w:val="00B653D8"/>
    <w:rsid w:val="00B7218A"/>
    <w:rsid w:val="00B76D97"/>
    <w:rsid w:val="00BA2F3D"/>
    <w:rsid w:val="00BA4E0C"/>
    <w:rsid w:val="00BB04E2"/>
    <w:rsid w:val="00BB2BA6"/>
    <w:rsid w:val="00BC10D5"/>
    <w:rsid w:val="00BC1513"/>
    <w:rsid w:val="00BC2008"/>
    <w:rsid w:val="00BD505A"/>
    <w:rsid w:val="00BE122E"/>
    <w:rsid w:val="00BE39C7"/>
    <w:rsid w:val="00BE49CA"/>
    <w:rsid w:val="00BE6278"/>
    <w:rsid w:val="00BF5F3B"/>
    <w:rsid w:val="00C07C5D"/>
    <w:rsid w:val="00C200AC"/>
    <w:rsid w:val="00C25587"/>
    <w:rsid w:val="00C55C38"/>
    <w:rsid w:val="00C71321"/>
    <w:rsid w:val="00C71A42"/>
    <w:rsid w:val="00C73B8D"/>
    <w:rsid w:val="00C7681A"/>
    <w:rsid w:val="00C82158"/>
    <w:rsid w:val="00C85742"/>
    <w:rsid w:val="00C8643E"/>
    <w:rsid w:val="00C9180D"/>
    <w:rsid w:val="00C92893"/>
    <w:rsid w:val="00CA14ED"/>
    <w:rsid w:val="00CA33E7"/>
    <w:rsid w:val="00CA3886"/>
    <w:rsid w:val="00CB1622"/>
    <w:rsid w:val="00CD2B8D"/>
    <w:rsid w:val="00CD5FDC"/>
    <w:rsid w:val="00D00CD5"/>
    <w:rsid w:val="00D114FD"/>
    <w:rsid w:val="00D13ACC"/>
    <w:rsid w:val="00D43642"/>
    <w:rsid w:val="00D505D4"/>
    <w:rsid w:val="00D5196B"/>
    <w:rsid w:val="00D54ACE"/>
    <w:rsid w:val="00D54F15"/>
    <w:rsid w:val="00D62EB2"/>
    <w:rsid w:val="00D64180"/>
    <w:rsid w:val="00D66070"/>
    <w:rsid w:val="00D6648E"/>
    <w:rsid w:val="00D66D20"/>
    <w:rsid w:val="00D70DE8"/>
    <w:rsid w:val="00D756FE"/>
    <w:rsid w:val="00D82EEA"/>
    <w:rsid w:val="00DB5280"/>
    <w:rsid w:val="00DD06EB"/>
    <w:rsid w:val="00DD3FEE"/>
    <w:rsid w:val="00DD762C"/>
    <w:rsid w:val="00DF3FF1"/>
    <w:rsid w:val="00DF4FD0"/>
    <w:rsid w:val="00E17BAE"/>
    <w:rsid w:val="00E30121"/>
    <w:rsid w:val="00E53CC6"/>
    <w:rsid w:val="00E6081A"/>
    <w:rsid w:val="00E627E9"/>
    <w:rsid w:val="00E64F2E"/>
    <w:rsid w:val="00E75D85"/>
    <w:rsid w:val="00E77BA5"/>
    <w:rsid w:val="00E8379A"/>
    <w:rsid w:val="00E84345"/>
    <w:rsid w:val="00E912F8"/>
    <w:rsid w:val="00E914E4"/>
    <w:rsid w:val="00E92316"/>
    <w:rsid w:val="00E93106"/>
    <w:rsid w:val="00E93902"/>
    <w:rsid w:val="00E97247"/>
    <w:rsid w:val="00EA0CAE"/>
    <w:rsid w:val="00EA5DBA"/>
    <w:rsid w:val="00EB0926"/>
    <w:rsid w:val="00EB3DCE"/>
    <w:rsid w:val="00EB3FDE"/>
    <w:rsid w:val="00EB709D"/>
    <w:rsid w:val="00EC0394"/>
    <w:rsid w:val="00EC68AB"/>
    <w:rsid w:val="00ED0500"/>
    <w:rsid w:val="00ED40DB"/>
    <w:rsid w:val="00ED7D6D"/>
    <w:rsid w:val="00F010A0"/>
    <w:rsid w:val="00F27A47"/>
    <w:rsid w:val="00F35DBB"/>
    <w:rsid w:val="00F431B1"/>
    <w:rsid w:val="00F521EF"/>
    <w:rsid w:val="00F52CE7"/>
    <w:rsid w:val="00F56C68"/>
    <w:rsid w:val="00F60A68"/>
    <w:rsid w:val="00F611FC"/>
    <w:rsid w:val="00F80EDC"/>
    <w:rsid w:val="00FB2414"/>
    <w:rsid w:val="00FC0A0D"/>
    <w:rsid w:val="00FE7E34"/>
    <w:rsid w:val="00FF2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4EAEA70"/>
  <w15:docId w15:val="{4D96D0A4-17AA-4EB9-AAEB-0192299E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line="360" w:lineRule="auto"/>
    </w:pPr>
    <w:rPr>
      <w:b/>
      <w:bCs/>
    </w:rPr>
  </w:style>
  <w:style w:type="paragraph" w:styleId="Stopka">
    <w:name w:val="footer"/>
    <w:basedOn w:val="Normalny"/>
    <w:pPr>
      <w:tabs>
        <w:tab w:val="center" w:pos="4536"/>
        <w:tab w:val="right" w:pos="9072"/>
      </w:tabs>
    </w:pPr>
  </w:style>
  <w:style w:type="character" w:styleId="Numerstrony">
    <w:name w:val="page number"/>
    <w:basedOn w:val="Domylnaczcionkaakapitu"/>
    <w:uiPriority w:val="99"/>
  </w:style>
  <w:style w:type="paragraph" w:styleId="Tekstdymka">
    <w:name w:val="Balloon Text"/>
    <w:basedOn w:val="Normalny"/>
    <w:semiHidden/>
    <w:rPr>
      <w:rFonts w:ascii="Tahoma" w:hAnsi="Tahoma" w:cs="Tahoma"/>
      <w:sz w:val="16"/>
      <w:szCs w:val="16"/>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semiHidden/>
    <w:rPr>
      <w:sz w:val="20"/>
      <w:szCs w:val="20"/>
    </w:rPr>
  </w:style>
  <w:style w:type="paragraph" w:styleId="Tematkomentarza">
    <w:name w:val="annotation subject"/>
    <w:basedOn w:val="Tekstkomentarza"/>
    <w:next w:val="Tekstkomentarza"/>
    <w:semiHidden/>
    <w:rPr>
      <w:b/>
      <w:bCs/>
    </w:rPr>
  </w:style>
  <w:style w:type="paragraph" w:styleId="Nagwek">
    <w:name w:val="header"/>
    <w:basedOn w:val="Normalny"/>
    <w:pPr>
      <w:tabs>
        <w:tab w:val="center" w:pos="4536"/>
        <w:tab w:val="right" w:pos="9072"/>
      </w:tabs>
    </w:pPr>
  </w:style>
  <w:style w:type="table" w:styleId="Tabela-Siatka">
    <w:name w:val="Table Grid"/>
    <w:basedOn w:val="Standardowy"/>
    <w:rsid w:val="006B6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B129C9"/>
    <w:rPr>
      <w:color w:val="0000FF" w:themeColor="hyperlink"/>
      <w:u w:val="single"/>
    </w:rPr>
  </w:style>
  <w:style w:type="character" w:customStyle="1" w:styleId="TekstkomentarzaZnak">
    <w:name w:val="Tekst komentarza Znak"/>
    <w:basedOn w:val="Domylnaczcionkaakapitu"/>
    <w:link w:val="Tekstkomentarza"/>
    <w:uiPriority w:val="99"/>
    <w:semiHidden/>
    <w:rsid w:val="002E0B6A"/>
  </w:style>
  <w:style w:type="character" w:customStyle="1" w:styleId="markedcontent">
    <w:name w:val="markedcontent"/>
    <w:basedOn w:val="Domylnaczcionkaakapitu"/>
    <w:rsid w:val="00CA14ED"/>
  </w:style>
  <w:style w:type="paragraph" w:customStyle="1" w:styleId="Default">
    <w:name w:val="Default"/>
    <w:rsid w:val="00275F97"/>
    <w:pPr>
      <w:autoSpaceDE w:val="0"/>
      <w:autoSpaceDN w:val="0"/>
      <w:adjustRightInd w:val="0"/>
    </w:pPr>
    <w:rPr>
      <w:color w:val="000000"/>
      <w:sz w:val="24"/>
      <w:szCs w:val="24"/>
    </w:rPr>
  </w:style>
  <w:style w:type="paragraph" w:styleId="Poprawka">
    <w:name w:val="Revision"/>
    <w:hidden/>
    <w:uiPriority w:val="99"/>
    <w:semiHidden/>
    <w:rsid w:val="00317B4D"/>
    <w:rPr>
      <w:sz w:val="24"/>
      <w:szCs w:val="24"/>
    </w:rPr>
  </w:style>
  <w:style w:type="character" w:customStyle="1" w:styleId="ui-provider">
    <w:name w:val="ui-provider"/>
    <w:basedOn w:val="Domylnaczcionkaakapitu"/>
    <w:rsid w:val="004F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3746">
      <w:bodyDiv w:val="1"/>
      <w:marLeft w:val="0"/>
      <w:marRight w:val="0"/>
      <w:marTop w:val="0"/>
      <w:marBottom w:val="0"/>
      <w:divBdr>
        <w:top w:val="none" w:sz="0" w:space="0" w:color="auto"/>
        <w:left w:val="none" w:sz="0" w:space="0" w:color="auto"/>
        <w:bottom w:val="none" w:sz="0" w:space="0" w:color="auto"/>
        <w:right w:val="none" w:sz="0" w:space="0" w:color="auto"/>
      </w:divBdr>
    </w:div>
    <w:div w:id="709917333">
      <w:bodyDiv w:val="1"/>
      <w:marLeft w:val="0"/>
      <w:marRight w:val="0"/>
      <w:marTop w:val="0"/>
      <w:marBottom w:val="0"/>
      <w:divBdr>
        <w:top w:val="none" w:sz="0" w:space="0" w:color="auto"/>
        <w:left w:val="none" w:sz="0" w:space="0" w:color="auto"/>
        <w:bottom w:val="none" w:sz="0" w:space="0" w:color="auto"/>
        <w:right w:val="none" w:sz="0" w:space="0" w:color="auto"/>
      </w:divBdr>
    </w:div>
    <w:div w:id="1347442365">
      <w:bodyDiv w:val="1"/>
      <w:marLeft w:val="0"/>
      <w:marRight w:val="0"/>
      <w:marTop w:val="0"/>
      <w:marBottom w:val="0"/>
      <w:divBdr>
        <w:top w:val="none" w:sz="0" w:space="0" w:color="auto"/>
        <w:left w:val="none" w:sz="0" w:space="0" w:color="auto"/>
        <w:bottom w:val="none" w:sz="0" w:space="0" w:color="auto"/>
        <w:right w:val="none" w:sz="0" w:space="0" w:color="auto"/>
      </w:divBdr>
    </w:div>
    <w:div w:id="17929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0CBC6229CE8148915ED73EA7400DF9" ma:contentTypeVersion="15" ma:contentTypeDescription="Create a new document." ma:contentTypeScope="" ma:versionID="5f716564e7c99762586765a8f1f95e20">
  <xsd:schema xmlns:xsd="http://www.w3.org/2001/XMLSchema" xmlns:xs="http://www.w3.org/2001/XMLSchema" xmlns:p="http://schemas.microsoft.com/office/2006/metadata/properties" xmlns:ns1="http://schemas.microsoft.com/sharepoint/v3" xmlns:ns3="034a8883-5c1d-4e02-b006-f88ad9776d4c" xmlns:ns4="b150c548-124d-4602-81b7-7973f41314bf" targetNamespace="http://schemas.microsoft.com/office/2006/metadata/properties" ma:root="true" ma:fieldsID="3ffac77418f93da37eb86accff3b8b1d" ns1:_="" ns3:_="" ns4:_="">
    <xsd:import namespace="http://schemas.microsoft.com/sharepoint/v3"/>
    <xsd:import namespace="034a8883-5c1d-4e02-b006-f88ad9776d4c"/>
    <xsd:import namespace="b150c548-124d-4602-81b7-7973f41314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a8883-5c1d-4e02-b006-f88ad9776d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0c548-124d-4602-81b7-7973f41314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5C354-9D87-4A5D-BF02-E2045313945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15A31F-4A33-4CBF-B0A2-7742B3DD0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a8883-5c1d-4e02-b006-f88ad9776d4c"/>
    <ds:schemaRef ds:uri="b150c548-124d-4602-81b7-7973f4131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EB05B-1BEF-4320-B53B-3DC582E90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2183</Words>
  <Characters>15612</Characters>
  <Application>Microsoft Office Word</Application>
  <DocSecurity>0</DocSecurity>
  <Lines>130</Lines>
  <Paragraphs>35</Paragraphs>
  <ScaleCrop>false</ScaleCrop>
  <HeadingPairs>
    <vt:vector size="2" baseType="variant">
      <vt:variant>
        <vt:lpstr>Tytuł</vt:lpstr>
      </vt:variant>
      <vt:variant>
        <vt:i4>1</vt:i4>
      </vt:variant>
    </vt:vector>
  </HeadingPairs>
  <TitlesOfParts>
    <vt:vector size="1" baseType="lpstr">
      <vt:lpstr>CHARAKTERYSTYKA  PRODUKTU  LECZNICZEGO</vt:lpstr>
    </vt:vector>
  </TitlesOfParts>
  <Company>P.F. JELFA</Company>
  <LinksUpToDate>false</LinksUpToDate>
  <CharactersWithSpaces>17760</CharactersWithSpaces>
  <SharedDoc>false</SharedDoc>
  <HLinks>
    <vt:vector size="12" baseType="variant">
      <vt:variant>
        <vt:i4>6684689</vt:i4>
      </vt:variant>
      <vt:variant>
        <vt:i4>3</vt:i4>
      </vt:variant>
      <vt:variant>
        <vt:i4>0</vt:i4>
      </vt:variant>
      <vt:variant>
        <vt:i4>5</vt:i4>
      </vt:variant>
      <vt:variant>
        <vt:lpwstr>mailto:ndl@urpl.gov.pl</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PRODUKTU  LECZNICZEGO</dc:title>
  <dc:creator>ri6</dc:creator>
  <cp:lastModifiedBy>Jankowska, Malgorzata</cp:lastModifiedBy>
  <cp:revision>3</cp:revision>
  <cp:lastPrinted>2008-03-26T07:39:00Z</cp:lastPrinted>
  <dcterms:created xsi:type="dcterms:W3CDTF">2023-09-24T20:32:00Z</dcterms:created>
  <dcterms:modified xsi:type="dcterms:W3CDTF">2023-10-11T07:53:00Z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0x010100DF0CBC6229CE8148915ED73EA7400DF9</vt:lpwstr>
  </property>
</Properties>
</file>