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27EB2" w14:textId="77777777" w:rsidR="00D33C5F" w:rsidRPr="00374609" w:rsidRDefault="00D33C5F" w:rsidP="00C51997">
      <w:pPr>
        <w:pStyle w:val="Tytu"/>
        <w:rPr>
          <w:szCs w:val="22"/>
          <w:lang w:val="pl-PL"/>
        </w:rPr>
      </w:pPr>
      <w:r w:rsidRPr="00374609">
        <w:rPr>
          <w:szCs w:val="22"/>
          <w:lang w:val="pl-PL"/>
        </w:rPr>
        <w:t>CHARAKTERYSTYKA PRODUKTU LECZNICZEGO</w:t>
      </w:r>
    </w:p>
    <w:p w14:paraId="57B34682" w14:textId="77777777" w:rsidR="00D33C5F" w:rsidRPr="00374609" w:rsidRDefault="00D33C5F" w:rsidP="00C51997">
      <w:pPr>
        <w:autoSpaceDE w:val="0"/>
        <w:autoSpaceDN w:val="0"/>
        <w:adjustRightInd w:val="0"/>
        <w:rPr>
          <w:b/>
          <w:bCs/>
          <w:sz w:val="22"/>
          <w:szCs w:val="22"/>
          <w:lang w:val="pl-PL"/>
        </w:rPr>
      </w:pPr>
    </w:p>
    <w:p w14:paraId="13A4CCE2" w14:textId="77777777" w:rsidR="00D33C5F" w:rsidRPr="00374609" w:rsidRDefault="00D33C5F" w:rsidP="00C51997">
      <w:pPr>
        <w:autoSpaceDE w:val="0"/>
        <w:autoSpaceDN w:val="0"/>
        <w:adjustRightInd w:val="0"/>
        <w:rPr>
          <w:b/>
          <w:bCs/>
          <w:sz w:val="22"/>
          <w:szCs w:val="22"/>
          <w:lang w:val="pl-PL"/>
        </w:rPr>
      </w:pPr>
    </w:p>
    <w:p w14:paraId="3454C3E8" w14:textId="77777777" w:rsidR="00D33C5F" w:rsidRPr="00374609" w:rsidRDefault="00D33C5F" w:rsidP="00C51997">
      <w:pPr>
        <w:autoSpaceDE w:val="0"/>
        <w:autoSpaceDN w:val="0"/>
        <w:adjustRightInd w:val="0"/>
        <w:rPr>
          <w:b/>
          <w:bCs/>
          <w:sz w:val="22"/>
          <w:szCs w:val="22"/>
          <w:lang w:val="pl-PL"/>
        </w:rPr>
      </w:pPr>
    </w:p>
    <w:p w14:paraId="32EC71E6" w14:textId="77777777" w:rsidR="00D33C5F" w:rsidRPr="00374609" w:rsidRDefault="00D33C5F" w:rsidP="00F05A4A">
      <w:pPr>
        <w:widowControl w:val="0"/>
        <w:tabs>
          <w:tab w:val="left" w:pos="540"/>
        </w:tabs>
        <w:rPr>
          <w:b/>
          <w:sz w:val="22"/>
          <w:szCs w:val="22"/>
          <w:lang w:val="pl-PL"/>
        </w:rPr>
      </w:pPr>
      <w:r w:rsidRPr="00374609">
        <w:rPr>
          <w:b/>
          <w:bCs/>
          <w:iCs/>
          <w:sz w:val="22"/>
          <w:szCs w:val="22"/>
          <w:lang w:val="pl-PL"/>
        </w:rPr>
        <w:t>1.</w:t>
      </w:r>
      <w:r w:rsidRPr="00374609">
        <w:rPr>
          <w:b/>
          <w:bCs/>
          <w:iCs/>
          <w:sz w:val="22"/>
          <w:szCs w:val="22"/>
          <w:lang w:val="pl-PL"/>
        </w:rPr>
        <w:tab/>
      </w:r>
      <w:r w:rsidRPr="00374609">
        <w:rPr>
          <w:b/>
          <w:bCs/>
          <w:sz w:val="22"/>
          <w:szCs w:val="22"/>
          <w:lang w:val="pl-PL"/>
        </w:rPr>
        <w:t>NAZWA PRODUKTU LECZNICZEGO</w:t>
      </w:r>
    </w:p>
    <w:p w14:paraId="33DA5D7F" w14:textId="77777777" w:rsidR="00D33C5F" w:rsidRPr="00374609" w:rsidRDefault="00D33C5F" w:rsidP="00C51997">
      <w:pPr>
        <w:autoSpaceDE w:val="0"/>
        <w:autoSpaceDN w:val="0"/>
        <w:adjustRightInd w:val="0"/>
        <w:rPr>
          <w:sz w:val="22"/>
          <w:szCs w:val="22"/>
          <w:lang w:val="pl-PL"/>
        </w:rPr>
      </w:pPr>
    </w:p>
    <w:p w14:paraId="5B419BEA"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Hydroxyzinum VP, 2 mg/ml, syrop </w:t>
      </w:r>
    </w:p>
    <w:p w14:paraId="7F07447C" w14:textId="77777777" w:rsidR="00D33C5F" w:rsidRPr="00374609" w:rsidRDefault="00D33C5F" w:rsidP="00C51997">
      <w:pPr>
        <w:autoSpaceDE w:val="0"/>
        <w:autoSpaceDN w:val="0"/>
        <w:adjustRightInd w:val="0"/>
        <w:rPr>
          <w:b/>
          <w:bCs/>
          <w:sz w:val="22"/>
          <w:szCs w:val="22"/>
          <w:lang w:val="pl-PL"/>
        </w:rPr>
      </w:pPr>
    </w:p>
    <w:p w14:paraId="54DB3923" w14:textId="77777777" w:rsidR="00D33C5F" w:rsidRPr="00374609" w:rsidRDefault="00D33C5F" w:rsidP="00C51997">
      <w:pPr>
        <w:autoSpaceDE w:val="0"/>
        <w:autoSpaceDN w:val="0"/>
        <w:adjustRightInd w:val="0"/>
        <w:rPr>
          <w:b/>
          <w:bCs/>
          <w:sz w:val="22"/>
          <w:szCs w:val="22"/>
          <w:lang w:val="pl-PL"/>
        </w:rPr>
      </w:pPr>
    </w:p>
    <w:p w14:paraId="792BE9B9" w14:textId="77777777" w:rsidR="00D33C5F" w:rsidRPr="00374609" w:rsidRDefault="00D33C5F" w:rsidP="00F05A4A">
      <w:pPr>
        <w:widowControl w:val="0"/>
        <w:tabs>
          <w:tab w:val="left" w:pos="540"/>
        </w:tabs>
        <w:rPr>
          <w:b/>
          <w:sz w:val="22"/>
          <w:szCs w:val="22"/>
          <w:lang w:val="pl-PL"/>
        </w:rPr>
      </w:pPr>
      <w:r w:rsidRPr="00374609">
        <w:rPr>
          <w:b/>
          <w:bCs/>
          <w:iCs/>
          <w:sz w:val="22"/>
          <w:szCs w:val="22"/>
          <w:lang w:val="pl-PL"/>
        </w:rPr>
        <w:t>2.</w:t>
      </w:r>
      <w:r w:rsidRPr="00374609">
        <w:rPr>
          <w:b/>
          <w:bCs/>
          <w:iCs/>
          <w:sz w:val="22"/>
          <w:szCs w:val="22"/>
          <w:lang w:val="pl-PL"/>
        </w:rPr>
        <w:tab/>
      </w:r>
      <w:r w:rsidRPr="00374609">
        <w:rPr>
          <w:b/>
          <w:bCs/>
          <w:sz w:val="22"/>
          <w:szCs w:val="22"/>
          <w:lang w:val="pl-PL"/>
        </w:rPr>
        <w:t>SKŁAD JAKOŚCIOWY I ILOŚCIOWY</w:t>
      </w:r>
    </w:p>
    <w:p w14:paraId="24B261A2" w14:textId="77777777" w:rsidR="00D33C5F" w:rsidRPr="00374609" w:rsidRDefault="00D33C5F" w:rsidP="00C51997">
      <w:pPr>
        <w:autoSpaceDE w:val="0"/>
        <w:autoSpaceDN w:val="0"/>
        <w:adjustRightInd w:val="0"/>
        <w:rPr>
          <w:sz w:val="22"/>
          <w:szCs w:val="22"/>
          <w:lang w:val="pl-PL"/>
        </w:rPr>
      </w:pPr>
    </w:p>
    <w:p w14:paraId="6A584E67"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1 ml syropu zawiera 2 mg hydroksyzyny chlorowodorku </w:t>
      </w:r>
      <w:r w:rsidRPr="00374609">
        <w:rPr>
          <w:i/>
          <w:sz w:val="22"/>
          <w:szCs w:val="22"/>
          <w:lang w:val="pl-PL"/>
        </w:rPr>
        <w:t>(</w:t>
      </w:r>
      <w:r w:rsidRPr="00374609">
        <w:rPr>
          <w:i/>
          <w:iCs/>
          <w:sz w:val="22"/>
          <w:szCs w:val="22"/>
          <w:lang w:val="pl-PL"/>
        </w:rPr>
        <w:t>Hydroxyzini hydrochloridum</w:t>
      </w:r>
      <w:r w:rsidRPr="00374609">
        <w:rPr>
          <w:i/>
          <w:sz w:val="22"/>
          <w:szCs w:val="22"/>
          <w:lang w:val="pl-PL"/>
        </w:rPr>
        <w:t>)</w:t>
      </w:r>
      <w:r w:rsidRPr="00374609">
        <w:rPr>
          <w:sz w:val="22"/>
          <w:szCs w:val="22"/>
          <w:lang w:val="pl-PL"/>
        </w:rPr>
        <w:t>.</w:t>
      </w:r>
    </w:p>
    <w:p w14:paraId="58C4BB5B" w14:textId="77777777" w:rsidR="00D33C5F" w:rsidRPr="00374609" w:rsidRDefault="00D33C5F" w:rsidP="00C51997">
      <w:pPr>
        <w:autoSpaceDE w:val="0"/>
        <w:autoSpaceDN w:val="0"/>
        <w:adjustRightInd w:val="0"/>
        <w:rPr>
          <w:sz w:val="22"/>
          <w:szCs w:val="22"/>
          <w:lang w:val="pl-PL"/>
        </w:rPr>
      </w:pPr>
    </w:p>
    <w:p w14:paraId="0E546828" w14:textId="77777777" w:rsidR="001810EC" w:rsidRDefault="00D33C5F" w:rsidP="00C51997">
      <w:pPr>
        <w:autoSpaceDE w:val="0"/>
        <w:autoSpaceDN w:val="0"/>
        <w:adjustRightInd w:val="0"/>
        <w:rPr>
          <w:sz w:val="22"/>
          <w:szCs w:val="22"/>
          <w:lang w:val="pl-PL"/>
        </w:rPr>
      </w:pPr>
      <w:r w:rsidRPr="00374609">
        <w:rPr>
          <w:sz w:val="22"/>
          <w:szCs w:val="22"/>
          <w:lang w:val="pl-PL"/>
        </w:rPr>
        <w:t>Substancja pomocnicza o znanym działaniu: maltitol ciekły 640 mg/</w:t>
      </w:r>
      <w:r w:rsidRPr="00374609">
        <w:rPr>
          <w:snapToGrid w:val="0"/>
          <w:sz w:val="22"/>
          <w:szCs w:val="22"/>
          <w:lang w:val="pl-PL"/>
        </w:rPr>
        <w:t>ml</w:t>
      </w:r>
      <w:r w:rsidR="00227B58">
        <w:rPr>
          <w:snapToGrid w:val="0"/>
          <w:sz w:val="22"/>
          <w:szCs w:val="22"/>
          <w:lang w:val="pl-PL"/>
        </w:rPr>
        <w:t xml:space="preserve">, </w:t>
      </w:r>
      <w:r w:rsidR="00227B58">
        <w:rPr>
          <w:sz w:val="22"/>
          <w:szCs w:val="22"/>
          <w:lang w:val="pl-PL"/>
        </w:rPr>
        <w:t xml:space="preserve">glikol propylenowy </w:t>
      </w:r>
    </w:p>
    <w:p w14:paraId="572C6EB1" w14:textId="77777777" w:rsidR="00D33C5F" w:rsidRDefault="001810EC" w:rsidP="00C51997">
      <w:pPr>
        <w:autoSpaceDE w:val="0"/>
        <w:autoSpaceDN w:val="0"/>
        <w:adjustRightInd w:val="0"/>
        <w:rPr>
          <w:snapToGrid w:val="0"/>
          <w:color w:val="000000"/>
          <w:sz w:val="22"/>
          <w:szCs w:val="22"/>
          <w:lang w:val="en-US"/>
        </w:rPr>
      </w:pPr>
      <w:r w:rsidRPr="003E277A">
        <w:rPr>
          <w:sz w:val="22"/>
          <w:szCs w:val="22"/>
          <w:lang w:val="en-US"/>
        </w:rPr>
        <w:t xml:space="preserve">5,16 </w:t>
      </w:r>
      <w:r w:rsidR="00227B58" w:rsidRPr="003E277A">
        <w:rPr>
          <w:sz w:val="22"/>
          <w:szCs w:val="22"/>
          <w:lang w:val="en-US"/>
        </w:rPr>
        <w:t>mg/ml, benzoesan sodu 2 mg/ml</w:t>
      </w:r>
      <w:r w:rsidR="00D33C5F" w:rsidRPr="003E277A">
        <w:rPr>
          <w:snapToGrid w:val="0"/>
          <w:color w:val="000000"/>
          <w:sz w:val="22"/>
          <w:szCs w:val="22"/>
          <w:lang w:val="en-US"/>
        </w:rPr>
        <w:t>.</w:t>
      </w:r>
    </w:p>
    <w:p w14:paraId="6BA6C26F" w14:textId="77777777" w:rsidR="00F80DBB" w:rsidRPr="003E277A" w:rsidRDefault="00F80DBB" w:rsidP="00C51997">
      <w:pPr>
        <w:autoSpaceDE w:val="0"/>
        <w:autoSpaceDN w:val="0"/>
        <w:adjustRightInd w:val="0"/>
        <w:rPr>
          <w:sz w:val="22"/>
          <w:szCs w:val="22"/>
          <w:lang w:val="en-US"/>
        </w:rPr>
      </w:pPr>
    </w:p>
    <w:p w14:paraId="5E9F63ED" w14:textId="77777777" w:rsidR="00D33C5F" w:rsidRPr="00374609" w:rsidRDefault="00D33C5F" w:rsidP="00C51997">
      <w:pPr>
        <w:autoSpaceDE w:val="0"/>
        <w:autoSpaceDN w:val="0"/>
        <w:adjustRightInd w:val="0"/>
        <w:rPr>
          <w:sz w:val="22"/>
          <w:szCs w:val="22"/>
          <w:lang w:val="pl-PL"/>
        </w:rPr>
      </w:pPr>
      <w:r w:rsidRPr="00374609">
        <w:rPr>
          <w:sz w:val="22"/>
          <w:szCs w:val="22"/>
          <w:lang w:val="pl-PL"/>
        </w:rPr>
        <w:t>Pełny wykaz substancji pomocniczych, patrz punkt 6.1.</w:t>
      </w:r>
    </w:p>
    <w:p w14:paraId="23C95CF5" w14:textId="77777777" w:rsidR="00D33C5F" w:rsidRPr="00374609" w:rsidRDefault="00D33C5F" w:rsidP="00C51997">
      <w:pPr>
        <w:autoSpaceDE w:val="0"/>
        <w:autoSpaceDN w:val="0"/>
        <w:adjustRightInd w:val="0"/>
        <w:rPr>
          <w:b/>
          <w:bCs/>
          <w:sz w:val="22"/>
          <w:szCs w:val="22"/>
          <w:lang w:val="pl-PL"/>
        </w:rPr>
      </w:pPr>
    </w:p>
    <w:p w14:paraId="7EFFDF05" w14:textId="77777777" w:rsidR="00D33C5F" w:rsidRPr="00374609" w:rsidRDefault="00D33C5F" w:rsidP="00C51997">
      <w:pPr>
        <w:autoSpaceDE w:val="0"/>
        <w:autoSpaceDN w:val="0"/>
        <w:adjustRightInd w:val="0"/>
        <w:rPr>
          <w:b/>
          <w:bCs/>
          <w:sz w:val="22"/>
          <w:szCs w:val="22"/>
          <w:lang w:val="pl-PL"/>
        </w:rPr>
      </w:pPr>
    </w:p>
    <w:p w14:paraId="391BAF9D" w14:textId="77777777" w:rsidR="00D33C5F" w:rsidRPr="00374609" w:rsidRDefault="00D33C5F" w:rsidP="00F05A4A">
      <w:pPr>
        <w:widowControl w:val="0"/>
        <w:tabs>
          <w:tab w:val="left" w:pos="540"/>
        </w:tabs>
        <w:rPr>
          <w:b/>
          <w:sz w:val="22"/>
          <w:szCs w:val="22"/>
          <w:lang w:val="pl-PL"/>
        </w:rPr>
      </w:pPr>
      <w:r w:rsidRPr="00374609">
        <w:rPr>
          <w:b/>
          <w:bCs/>
          <w:iCs/>
          <w:sz w:val="22"/>
          <w:szCs w:val="22"/>
          <w:lang w:val="pl-PL"/>
        </w:rPr>
        <w:t>3.</w:t>
      </w:r>
      <w:r w:rsidRPr="00374609">
        <w:rPr>
          <w:b/>
          <w:bCs/>
          <w:iCs/>
          <w:sz w:val="22"/>
          <w:szCs w:val="22"/>
          <w:lang w:val="pl-PL"/>
        </w:rPr>
        <w:tab/>
      </w:r>
      <w:r w:rsidRPr="00374609">
        <w:rPr>
          <w:b/>
          <w:bCs/>
          <w:sz w:val="22"/>
          <w:szCs w:val="22"/>
          <w:lang w:val="pl-PL"/>
        </w:rPr>
        <w:t>POSTAĆ FARMACEUTYCZNA</w:t>
      </w:r>
    </w:p>
    <w:p w14:paraId="762CE9FB" w14:textId="77777777" w:rsidR="00D33C5F" w:rsidRPr="00374609" w:rsidRDefault="00D33C5F" w:rsidP="00C51997">
      <w:pPr>
        <w:autoSpaceDE w:val="0"/>
        <w:autoSpaceDN w:val="0"/>
        <w:adjustRightInd w:val="0"/>
        <w:rPr>
          <w:sz w:val="22"/>
          <w:szCs w:val="22"/>
          <w:lang w:val="pl-PL"/>
        </w:rPr>
      </w:pPr>
    </w:p>
    <w:p w14:paraId="34193B1E" w14:textId="77777777" w:rsidR="00D33C5F" w:rsidRPr="00374609" w:rsidRDefault="00D33C5F" w:rsidP="00C51997">
      <w:pPr>
        <w:autoSpaceDE w:val="0"/>
        <w:autoSpaceDN w:val="0"/>
        <w:adjustRightInd w:val="0"/>
        <w:rPr>
          <w:sz w:val="22"/>
          <w:szCs w:val="22"/>
          <w:lang w:val="pl-PL"/>
        </w:rPr>
      </w:pPr>
      <w:r w:rsidRPr="00374609">
        <w:rPr>
          <w:sz w:val="22"/>
          <w:szCs w:val="22"/>
          <w:lang w:val="pl-PL"/>
        </w:rPr>
        <w:t>Syrop.</w:t>
      </w:r>
    </w:p>
    <w:p w14:paraId="46FDCE55" w14:textId="77777777" w:rsidR="00D33C5F" w:rsidRPr="00374609" w:rsidRDefault="00D33C5F" w:rsidP="00C51997">
      <w:pPr>
        <w:autoSpaceDE w:val="0"/>
        <w:autoSpaceDN w:val="0"/>
        <w:adjustRightInd w:val="0"/>
        <w:rPr>
          <w:sz w:val="22"/>
          <w:szCs w:val="22"/>
          <w:lang w:val="pl-PL"/>
        </w:rPr>
      </w:pPr>
      <w:r w:rsidRPr="00374609">
        <w:rPr>
          <w:sz w:val="22"/>
          <w:szCs w:val="22"/>
          <w:lang w:val="pl-PL"/>
        </w:rPr>
        <w:t>Przejrzysty roztwór o świeżym owocowym zapachu.</w:t>
      </w:r>
    </w:p>
    <w:p w14:paraId="11E163F4" w14:textId="77777777" w:rsidR="00D33C5F" w:rsidRPr="00374609" w:rsidRDefault="00D33C5F" w:rsidP="00C51997">
      <w:pPr>
        <w:autoSpaceDE w:val="0"/>
        <w:autoSpaceDN w:val="0"/>
        <w:adjustRightInd w:val="0"/>
        <w:rPr>
          <w:b/>
          <w:bCs/>
          <w:sz w:val="22"/>
          <w:szCs w:val="22"/>
          <w:lang w:val="pl-PL"/>
        </w:rPr>
      </w:pPr>
    </w:p>
    <w:p w14:paraId="0EC44FA6" w14:textId="77777777" w:rsidR="00D33C5F" w:rsidRPr="00374609" w:rsidRDefault="00D33C5F" w:rsidP="00C51997">
      <w:pPr>
        <w:autoSpaceDE w:val="0"/>
        <w:autoSpaceDN w:val="0"/>
        <w:adjustRightInd w:val="0"/>
        <w:rPr>
          <w:b/>
          <w:bCs/>
          <w:sz w:val="22"/>
          <w:szCs w:val="22"/>
          <w:lang w:val="pl-PL"/>
        </w:rPr>
      </w:pPr>
    </w:p>
    <w:p w14:paraId="1C305C23" w14:textId="77777777" w:rsidR="00D33C5F" w:rsidRPr="00374609" w:rsidRDefault="00D33C5F" w:rsidP="00F05A4A">
      <w:pPr>
        <w:widowControl w:val="0"/>
        <w:tabs>
          <w:tab w:val="left" w:pos="540"/>
        </w:tabs>
        <w:rPr>
          <w:b/>
          <w:sz w:val="22"/>
          <w:szCs w:val="22"/>
          <w:lang w:val="pl-PL"/>
        </w:rPr>
      </w:pPr>
      <w:r w:rsidRPr="00374609">
        <w:rPr>
          <w:b/>
          <w:bCs/>
          <w:iCs/>
          <w:sz w:val="22"/>
          <w:szCs w:val="22"/>
          <w:lang w:val="pl-PL"/>
        </w:rPr>
        <w:t>4.</w:t>
      </w:r>
      <w:r w:rsidRPr="00374609">
        <w:rPr>
          <w:b/>
          <w:bCs/>
          <w:iCs/>
          <w:sz w:val="22"/>
          <w:szCs w:val="22"/>
          <w:lang w:val="pl-PL"/>
        </w:rPr>
        <w:tab/>
      </w:r>
      <w:r w:rsidRPr="00374609">
        <w:rPr>
          <w:b/>
          <w:bCs/>
          <w:sz w:val="22"/>
          <w:szCs w:val="22"/>
          <w:lang w:val="pl-PL"/>
        </w:rPr>
        <w:t>SZCZEGÓŁOWE DANE KLINICZNE</w:t>
      </w:r>
    </w:p>
    <w:p w14:paraId="064B7379" w14:textId="77777777" w:rsidR="00D33C5F" w:rsidRPr="00374609" w:rsidRDefault="00D33C5F" w:rsidP="00C51997">
      <w:pPr>
        <w:autoSpaceDE w:val="0"/>
        <w:autoSpaceDN w:val="0"/>
        <w:adjustRightInd w:val="0"/>
        <w:rPr>
          <w:b/>
          <w:bCs/>
          <w:sz w:val="22"/>
          <w:szCs w:val="22"/>
          <w:lang w:val="pl-PL"/>
        </w:rPr>
      </w:pPr>
    </w:p>
    <w:p w14:paraId="1799AABF" w14:textId="77777777" w:rsidR="00D33C5F" w:rsidRPr="00374609" w:rsidRDefault="00D33C5F" w:rsidP="00F05A4A">
      <w:pPr>
        <w:widowControl w:val="0"/>
        <w:tabs>
          <w:tab w:val="left" w:pos="540"/>
        </w:tabs>
        <w:rPr>
          <w:b/>
          <w:bCs/>
          <w:sz w:val="22"/>
          <w:szCs w:val="22"/>
          <w:lang w:val="pl-PL"/>
        </w:rPr>
      </w:pPr>
      <w:r w:rsidRPr="00374609">
        <w:rPr>
          <w:b/>
          <w:bCs/>
          <w:iCs/>
          <w:sz w:val="22"/>
          <w:szCs w:val="22"/>
          <w:lang w:val="pl-PL"/>
        </w:rPr>
        <w:t>4.1</w:t>
      </w:r>
      <w:r w:rsidRPr="00374609">
        <w:rPr>
          <w:b/>
          <w:bCs/>
          <w:iCs/>
          <w:sz w:val="22"/>
          <w:szCs w:val="22"/>
          <w:lang w:val="pl-PL"/>
        </w:rPr>
        <w:tab/>
      </w:r>
      <w:r w:rsidRPr="00374609">
        <w:rPr>
          <w:b/>
          <w:bCs/>
          <w:sz w:val="22"/>
          <w:szCs w:val="22"/>
          <w:lang w:val="pl-PL"/>
        </w:rPr>
        <w:t>Wskazania do stosowania</w:t>
      </w:r>
    </w:p>
    <w:p w14:paraId="7D38274B" w14:textId="77777777" w:rsidR="00D33C5F" w:rsidRPr="00374609" w:rsidRDefault="00D33C5F" w:rsidP="00C51997">
      <w:pPr>
        <w:autoSpaceDE w:val="0"/>
        <w:autoSpaceDN w:val="0"/>
        <w:adjustRightInd w:val="0"/>
        <w:rPr>
          <w:b/>
          <w:bCs/>
          <w:sz w:val="22"/>
          <w:szCs w:val="22"/>
          <w:lang w:val="pl-PL"/>
        </w:rPr>
      </w:pPr>
    </w:p>
    <w:p w14:paraId="6E485424" w14:textId="77777777" w:rsidR="00D33C5F" w:rsidRPr="003E6209" w:rsidRDefault="00D33C5F" w:rsidP="00840AEB">
      <w:pPr>
        <w:autoSpaceDE w:val="0"/>
        <w:autoSpaceDN w:val="0"/>
        <w:adjustRightInd w:val="0"/>
        <w:rPr>
          <w:sz w:val="22"/>
          <w:szCs w:val="22"/>
          <w:lang w:val="pl-PL" w:eastAsia="en-US"/>
        </w:rPr>
      </w:pPr>
      <w:r w:rsidRPr="003E6209">
        <w:rPr>
          <w:sz w:val="22"/>
          <w:szCs w:val="22"/>
          <w:lang w:val="pl-PL" w:eastAsia="en-US"/>
        </w:rPr>
        <w:t>Leczenie lęku.</w:t>
      </w:r>
    </w:p>
    <w:p w14:paraId="67D0D87F" w14:textId="77777777" w:rsidR="00D33C5F" w:rsidRPr="002C446B" w:rsidRDefault="00D33C5F" w:rsidP="00840AEB">
      <w:pPr>
        <w:autoSpaceDE w:val="0"/>
        <w:autoSpaceDN w:val="0"/>
        <w:adjustRightInd w:val="0"/>
        <w:rPr>
          <w:lang w:val="pl-PL"/>
        </w:rPr>
      </w:pPr>
      <w:r w:rsidRPr="003E6209">
        <w:rPr>
          <w:sz w:val="22"/>
          <w:szCs w:val="22"/>
          <w:lang w:val="pl-PL" w:eastAsia="en-US"/>
        </w:rPr>
        <w:t>Objawowe leczenie świądu.</w:t>
      </w:r>
    </w:p>
    <w:p w14:paraId="520E5DDF" w14:textId="77777777" w:rsidR="00D33C5F" w:rsidRPr="002C446B" w:rsidRDefault="00D33C5F" w:rsidP="00840AEB">
      <w:pPr>
        <w:autoSpaceDE w:val="0"/>
        <w:autoSpaceDN w:val="0"/>
        <w:adjustRightInd w:val="0"/>
        <w:rPr>
          <w:lang w:val="pl-PL"/>
        </w:rPr>
      </w:pPr>
      <w:r w:rsidRPr="003E6209">
        <w:rPr>
          <w:sz w:val="22"/>
          <w:szCs w:val="22"/>
          <w:lang w:val="pl-PL" w:eastAsia="en-US"/>
        </w:rPr>
        <w:t>Premedykacja przed zabiegami chirurgicznymi.</w:t>
      </w:r>
    </w:p>
    <w:p w14:paraId="455A467A" w14:textId="77777777" w:rsidR="00D33C5F" w:rsidRPr="00374609" w:rsidRDefault="00D33C5F" w:rsidP="00C51997">
      <w:pPr>
        <w:autoSpaceDE w:val="0"/>
        <w:autoSpaceDN w:val="0"/>
        <w:adjustRightInd w:val="0"/>
        <w:rPr>
          <w:b/>
          <w:bCs/>
          <w:sz w:val="22"/>
          <w:szCs w:val="22"/>
          <w:lang w:val="pl-PL"/>
        </w:rPr>
      </w:pPr>
    </w:p>
    <w:p w14:paraId="334E9807" w14:textId="77777777" w:rsidR="00D33C5F" w:rsidRPr="00374609" w:rsidRDefault="00D33C5F" w:rsidP="00F05A4A">
      <w:pPr>
        <w:widowControl w:val="0"/>
        <w:tabs>
          <w:tab w:val="left" w:pos="540"/>
        </w:tabs>
        <w:rPr>
          <w:b/>
          <w:bCs/>
          <w:sz w:val="22"/>
          <w:szCs w:val="22"/>
          <w:lang w:val="pl-PL"/>
        </w:rPr>
      </w:pPr>
      <w:r w:rsidRPr="00374609">
        <w:rPr>
          <w:b/>
          <w:bCs/>
          <w:iCs/>
          <w:sz w:val="22"/>
          <w:szCs w:val="22"/>
          <w:lang w:val="pl-PL"/>
        </w:rPr>
        <w:t>4.2</w:t>
      </w:r>
      <w:r w:rsidRPr="00374609">
        <w:rPr>
          <w:b/>
          <w:bCs/>
          <w:iCs/>
          <w:sz w:val="22"/>
          <w:szCs w:val="22"/>
          <w:lang w:val="pl-PL"/>
        </w:rPr>
        <w:tab/>
      </w:r>
      <w:r w:rsidRPr="00374609">
        <w:rPr>
          <w:b/>
          <w:bCs/>
          <w:sz w:val="22"/>
          <w:szCs w:val="22"/>
          <w:lang w:val="pl-PL"/>
        </w:rPr>
        <w:t>Dawkowanie i sposób podawania</w:t>
      </w:r>
    </w:p>
    <w:p w14:paraId="692B18FC" w14:textId="77777777" w:rsidR="00D33C5F" w:rsidRPr="00374609" w:rsidRDefault="00D33C5F" w:rsidP="00C51997">
      <w:pPr>
        <w:autoSpaceDE w:val="0"/>
        <w:autoSpaceDN w:val="0"/>
        <w:adjustRightInd w:val="0"/>
        <w:rPr>
          <w:b/>
          <w:bCs/>
          <w:sz w:val="22"/>
          <w:szCs w:val="22"/>
          <w:lang w:val="pl-PL"/>
        </w:rPr>
      </w:pPr>
    </w:p>
    <w:p w14:paraId="356A7096" w14:textId="77777777" w:rsidR="00D33C5F" w:rsidRPr="003E6209" w:rsidRDefault="00D33C5F" w:rsidP="003E6209">
      <w:pPr>
        <w:ind w:right="-20"/>
        <w:rPr>
          <w:b/>
          <w:sz w:val="22"/>
          <w:szCs w:val="22"/>
          <w:u w:val="single"/>
          <w:lang w:val="pl-PL"/>
        </w:rPr>
      </w:pPr>
      <w:r w:rsidRPr="003E6209">
        <w:rPr>
          <w:b/>
          <w:sz w:val="22"/>
          <w:szCs w:val="22"/>
          <w:u w:val="single"/>
          <w:lang w:val="pl-PL"/>
        </w:rPr>
        <w:t>Dawkowanie</w:t>
      </w:r>
    </w:p>
    <w:p w14:paraId="4F6DF9B1" w14:textId="77777777" w:rsidR="00D33C5F" w:rsidRPr="003E6209" w:rsidRDefault="00D33C5F" w:rsidP="00C51997">
      <w:pPr>
        <w:pStyle w:val="Tekstpodstawowy2"/>
      </w:pPr>
      <w:r w:rsidRPr="007F2887">
        <w:t>Produkt leczniczy Hydroxyzinum VP należy stosować w najmniejszej skutecznej dawce. Czas leczenia powinien być możliwie jak najkrótszy.</w:t>
      </w:r>
    </w:p>
    <w:p w14:paraId="4910D4EA" w14:textId="77777777" w:rsidR="00D33C5F" w:rsidRPr="003E6209" w:rsidRDefault="00D33C5F" w:rsidP="00C51997">
      <w:pPr>
        <w:pStyle w:val="Tekstpodstawowy2"/>
        <w:rPr>
          <w:b/>
        </w:rPr>
      </w:pPr>
    </w:p>
    <w:p w14:paraId="25C4F824" w14:textId="77777777" w:rsidR="00D33C5F" w:rsidRPr="003E6209" w:rsidRDefault="00D33C5F" w:rsidP="00C51997">
      <w:pPr>
        <w:pStyle w:val="Nagwek2"/>
        <w:spacing w:before="0"/>
        <w:rPr>
          <w:b w:val="0"/>
        </w:rPr>
      </w:pPr>
      <w:r w:rsidRPr="003E6209">
        <w:rPr>
          <w:b w:val="0"/>
        </w:rPr>
        <w:t xml:space="preserve">U dorosłych i dzieci o masie ciała powyżej </w:t>
      </w:r>
      <w:smartTag w:uri="urn:schemas-microsoft-com:office:smarttags" w:element="metricconverter">
        <w:smartTagPr>
          <w:attr w:name="ProductID" w:val="40 kg"/>
        </w:smartTagPr>
        <w:r w:rsidRPr="003E6209">
          <w:rPr>
            <w:b w:val="0"/>
          </w:rPr>
          <w:t>40 kg</w:t>
        </w:r>
      </w:smartTag>
      <w:r w:rsidRPr="003E6209">
        <w:rPr>
          <w:b w:val="0"/>
        </w:rPr>
        <w:t>, maksymalna dawka dobowa wynosi 100 mg.</w:t>
      </w:r>
    </w:p>
    <w:p w14:paraId="10703C78" w14:textId="77777777" w:rsidR="00D33C5F" w:rsidRPr="00374609" w:rsidRDefault="00D33C5F" w:rsidP="00AA308C">
      <w:pPr>
        <w:pStyle w:val="Nagwek2"/>
        <w:spacing w:before="0"/>
        <w:rPr>
          <w:i/>
        </w:rPr>
      </w:pPr>
    </w:p>
    <w:p w14:paraId="3CCC94B2" w14:textId="77777777" w:rsidR="00D33C5F" w:rsidRPr="003E6209" w:rsidRDefault="00D33C5F" w:rsidP="00AA308C">
      <w:pPr>
        <w:pStyle w:val="Nagwek2"/>
        <w:spacing w:before="0"/>
        <w:rPr>
          <w:i/>
        </w:rPr>
      </w:pPr>
      <w:r w:rsidRPr="003E6209">
        <w:rPr>
          <w:i/>
        </w:rPr>
        <w:t>Dorośli</w:t>
      </w:r>
    </w:p>
    <w:p w14:paraId="0F7146FC" w14:textId="77777777" w:rsidR="00D33C5F" w:rsidRPr="00374609" w:rsidRDefault="00D33C5F" w:rsidP="00C51997">
      <w:pPr>
        <w:autoSpaceDE w:val="0"/>
        <w:autoSpaceDN w:val="0"/>
        <w:adjustRightInd w:val="0"/>
        <w:rPr>
          <w:sz w:val="22"/>
          <w:szCs w:val="22"/>
          <w:lang w:val="pl-PL"/>
        </w:rPr>
      </w:pPr>
      <w:r w:rsidRPr="003E6209">
        <w:rPr>
          <w:sz w:val="22"/>
          <w:szCs w:val="22"/>
          <w:u w:val="single"/>
          <w:lang w:val="pl-PL"/>
        </w:rPr>
        <w:t xml:space="preserve">Objawowe </w:t>
      </w:r>
      <w:r w:rsidRPr="00374609">
        <w:rPr>
          <w:sz w:val="22"/>
          <w:szCs w:val="22"/>
          <w:u w:val="single"/>
          <w:lang w:val="pl-PL"/>
        </w:rPr>
        <w:t>leczenie lęku:</w:t>
      </w:r>
      <w:r w:rsidRPr="00374609">
        <w:rPr>
          <w:sz w:val="22"/>
          <w:szCs w:val="22"/>
          <w:lang w:val="pl-PL"/>
        </w:rPr>
        <w:t xml:space="preserve"> </w:t>
      </w:r>
    </w:p>
    <w:p w14:paraId="07BCEE9E"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50 mg/dobę w 2-3 dawkach podzielonych. </w:t>
      </w:r>
    </w:p>
    <w:p w14:paraId="761AD84B" w14:textId="77777777" w:rsidR="00D33C5F" w:rsidRPr="00374609" w:rsidRDefault="00D33C5F" w:rsidP="00C51997">
      <w:pPr>
        <w:autoSpaceDE w:val="0"/>
        <w:autoSpaceDN w:val="0"/>
        <w:adjustRightInd w:val="0"/>
        <w:rPr>
          <w:sz w:val="22"/>
          <w:szCs w:val="22"/>
          <w:lang w:val="pl-PL"/>
        </w:rPr>
      </w:pPr>
      <w:r w:rsidRPr="00374609">
        <w:rPr>
          <w:sz w:val="22"/>
          <w:szCs w:val="22"/>
          <w:lang w:val="pl-PL"/>
        </w:rPr>
        <w:t>W ciężkich przypadkach można stosować doustnie dawki do 100 mg/dobę.</w:t>
      </w:r>
    </w:p>
    <w:p w14:paraId="7EE8BE96" w14:textId="77777777" w:rsidR="00D33C5F" w:rsidRPr="00374609" w:rsidRDefault="00D33C5F" w:rsidP="00C51997">
      <w:pPr>
        <w:autoSpaceDE w:val="0"/>
        <w:autoSpaceDN w:val="0"/>
        <w:adjustRightInd w:val="0"/>
        <w:rPr>
          <w:sz w:val="22"/>
          <w:szCs w:val="22"/>
          <w:highlight w:val="green"/>
          <w:lang w:val="pl-PL"/>
        </w:rPr>
      </w:pPr>
    </w:p>
    <w:p w14:paraId="41E47EBF" w14:textId="77777777" w:rsidR="00D33C5F" w:rsidRPr="00374609" w:rsidRDefault="00D33C5F" w:rsidP="00C51997">
      <w:pPr>
        <w:autoSpaceDE w:val="0"/>
        <w:autoSpaceDN w:val="0"/>
        <w:adjustRightInd w:val="0"/>
        <w:rPr>
          <w:sz w:val="22"/>
          <w:szCs w:val="22"/>
          <w:lang w:val="pl-PL"/>
        </w:rPr>
      </w:pPr>
      <w:r w:rsidRPr="00374609">
        <w:rPr>
          <w:sz w:val="22"/>
          <w:szCs w:val="22"/>
          <w:u w:val="single"/>
          <w:lang w:val="pl-PL"/>
        </w:rPr>
        <w:t>Objawowe leczenie świądu:</w:t>
      </w:r>
    </w:p>
    <w:p w14:paraId="75DF41C5" w14:textId="77777777" w:rsidR="00D33C5F" w:rsidRPr="00374609" w:rsidRDefault="00D33C5F" w:rsidP="00C51997">
      <w:pPr>
        <w:autoSpaceDE w:val="0"/>
        <w:autoSpaceDN w:val="0"/>
        <w:adjustRightInd w:val="0"/>
        <w:rPr>
          <w:sz w:val="22"/>
          <w:szCs w:val="22"/>
          <w:lang w:val="pl-PL"/>
        </w:rPr>
      </w:pPr>
      <w:r w:rsidRPr="00374609">
        <w:rPr>
          <w:sz w:val="22"/>
          <w:szCs w:val="22"/>
          <w:lang w:val="pl-PL"/>
        </w:rPr>
        <w:t>Leczenie należy rozpocząć od dawki 25 mg przed snem. W późniejszym okresie, w razie</w:t>
      </w:r>
      <w:r w:rsidR="003E6209">
        <w:rPr>
          <w:sz w:val="22"/>
          <w:szCs w:val="22"/>
          <w:lang w:val="pl-PL"/>
        </w:rPr>
        <w:t xml:space="preserve"> </w:t>
      </w:r>
      <w:r w:rsidRPr="00374609">
        <w:rPr>
          <w:sz w:val="22"/>
          <w:szCs w:val="22"/>
          <w:lang w:val="pl-PL"/>
        </w:rPr>
        <w:t>konieczności, dawkę można zwiększyć do 25 mg, 3</w:t>
      </w:r>
      <w:r>
        <w:rPr>
          <w:sz w:val="22"/>
          <w:szCs w:val="22"/>
          <w:lang w:val="pl-PL"/>
        </w:rPr>
        <w:t xml:space="preserve"> </w:t>
      </w:r>
      <w:r w:rsidRPr="00374609">
        <w:rPr>
          <w:sz w:val="22"/>
          <w:szCs w:val="22"/>
          <w:lang w:val="pl-PL"/>
        </w:rPr>
        <w:t>do 4 razy na dobę.</w:t>
      </w:r>
    </w:p>
    <w:p w14:paraId="10EB2159" w14:textId="77777777" w:rsidR="00D33C5F" w:rsidRPr="00374609" w:rsidRDefault="00D33C5F" w:rsidP="00C51997">
      <w:pPr>
        <w:autoSpaceDE w:val="0"/>
        <w:autoSpaceDN w:val="0"/>
        <w:adjustRightInd w:val="0"/>
        <w:rPr>
          <w:sz w:val="22"/>
          <w:szCs w:val="22"/>
          <w:u w:val="single"/>
          <w:lang w:val="pl-PL"/>
        </w:rPr>
      </w:pPr>
    </w:p>
    <w:p w14:paraId="276B13B2" w14:textId="77777777" w:rsidR="00D33C5F" w:rsidRPr="00374609" w:rsidRDefault="00D33C5F" w:rsidP="00C51997">
      <w:pPr>
        <w:autoSpaceDE w:val="0"/>
        <w:autoSpaceDN w:val="0"/>
        <w:adjustRightInd w:val="0"/>
        <w:rPr>
          <w:sz w:val="22"/>
          <w:szCs w:val="22"/>
          <w:lang w:val="pl-PL"/>
        </w:rPr>
      </w:pPr>
      <w:r w:rsidRPr="00374609">
        <w:rPr>
          <w:sz w:val="22"/>
          <w:szCs w:val="22"/>
          <w:u w:val="single"/>
          <w:lang w:val="pl-PL"/>
        </w:rPr>
        <w:t>Premedykacja przed zabiegami chirurgicznymi:</w:t>
      </w:r>
      <w:r w:rsidRPr="00374609">
        <w:rPr>
          <w:sz w:val="22"/>
          <w:szCs w:val="22"/>
          <w:lang w:val="pl-PL"/>
        </w:rPr>
        <w:t xml:space="preserve"> </w:t>
      </w:r>
    </w:p>
    <w:p w14:paraId="51DF6EA0" w14:textId="77777777" w:rsidR="00D33C5F" w:rsidRPr="00374609" w:rsidRDefault="00D33C5F" w:rsidP="00C51997">
      <w:pPr>
        <w:autoSpaceDE w:val="0"/>
        <w:autoSpaceDN w:val="0"/>
        <w:adjustRightInd w:val="0"/>
        <w:rPr>
          <w:sz w:val="22"/>
          <w:szCs w:val="22"/>
          <w:lang w:val="pl-PL"/>
        </w:rPr>
      </w:pPr>
      <w:r w:rsidRPr="00374609">
        <w:rPr>
          <w:sz w:val="22"/>
          <w:szCs w:val="22"/>
          <w:lang w:val="pl-PL"/>
        </w:rPr>
        <w:t>Po 50</w:t>
      </w:r>
      <w:r w:rsidR="003E6209">
        <w:rPr>
          <w:sz w:val="22"/>
          <w:szCs w:val="22"/>
          <w:lang w:val="pl-PL"/>
        </w:rPr>
        <w:t xml:space="preserve"> </w:t>
      </w:r>
      <w:r w:rsidRPr="00374609">
        <w:rPr>
          <w:sz w:val="22"/>
          <w:szCs w:val="22"/>
          <w:lang w:val="pl-PL"/>
        </w:rPr>
        <w:t>mg w dwóch podaniach lub 100 mg w pojedynczej dawce doustnie.</w:t>
      </w:r>
    </w:p>
    <w:p w14:paraId="03A3DD99" w14:textId="77777777" w:rsidR="00D33C5F" w:rsidRPr="00374609" w:rsidRDefault="00D33C5F" w:rsidP="00C51997">
      <w:pPr>
        <w:autoSpaceDE w:val="0"/>
        <w:autoSpaceDN w:val="0"/>
        <w:adjustRightInd w:val="0"/>
        <w:rPr>
          <w:sz w:val="22"/>
          <w:szCs w:val="22"/>
          <w:lang w:val="pl-PL"/>
        </w:rPr>
      </w:pPr>
    </w:p>
    <w:p w14:paraId="4078F885" w14:textId="77777777" w:rsidR="00D33C5F" w:rsidRPr="007F2887" w:rsidRDefault="00D33C5F" w:rsidP="00C51997">
      <w:pPr>
        <w:autoSpaceDE w:val="0"/>
        <w:autoSpaceDN w:val="0"/>
        <w:adjustRightInd w:val="0"/>
        <w:rPr>
          <w:b/>
          <w:sz w:val="22"/>
          <w:szCs w:val="22"/>
          <w:u w:val="single"/>
          <w:lang w:val="pl-PL"/>
        </w:rPr>
      </w:pPr>
      <w:r w:rsidRPr="003E6209">
        <w:rPr>
          <w:b/>
          <w:sz w:val="22"/>
          <w:szCs w:val="22"/>
          <w:u w:val="single"/>
          <w:lang w:val="pl-PL"/>
        </w:rPr>
        <w:t>Szczególne grupy pacjentów</w:t>
      </w:r>
    </w:p>
    <w:p w14:paraId="7BE2DA28" w14:textId="77777777" w:rsidR="00D33C5F" w:rsidRDefault="00D33C5F" w:rsidP="00C51997">
      <w:pPr>
        <w:autoSpaceDE w:val="0"/>
        <w:autoSpaceDN w:val="0"/>
        <w:adjustRightInd w:val="0"/>
        <w:rPr>
          <w:sz w:val="22"/>
          <w:szCs w:val="22"/>
          <w:lang w:val="pl-PL"/>
        </w:rPr>
      </w:pPr>
      <w:r w:rsidRPr="007F2887">
        <w:rPr>
          <w:sz w:val="22"/>
          <w:szCs w:val="22"/>
          <w:lang w:val="pl-PL"/>
        </w:rPr>
        <w:lastRenderedPageBreak/>
        <w:t>Dawkowanie należy dostosowywać indywidualnie, w zakresie zalecanych dawek, zależnie od reakcji pacjenta na leczenie</w:t>
      </w:r>
      <w:r w:rsidRPr="003E6209">
        <w:rPr>
          <w:sz w:val="22"/>
          <w:szCs w:val="22"/>
          <w:lang w:val="pl-PL"/>
        </w:rPr>
        <w:t>.</w:t>
      </w:r>
    </w:p>
    <w:p w14:paraId="43925225" w14:textId="77777777" w:rsidR="00393851" w:rsidRPr="003E6209" w:rsidRDefault="00393851" w:rsidP="00C51997">
      <w:pPr>
        <w:autoSpaceDE w:val="0"/>
        <w:autoSpaceDN w:val="0"/>
        <w:adjustRightInd w:val="0"/>
        <w:rPr>
          <w:b/>
          <w:sz w:val="22"/>
          <w:szCs w:val="22"/>
          <w:u w:val="single"/>
          <w:lang w:val="pl-PL"/>
        </w:rPr>
      </w:pPr>
    </w:p>
    <w:p w14:paraId="48D83A8D" w14:textId="77777777" w:rsidR="00D33C5F" w:rsidRPr="007F2887" w:rsidRDefault="00D33C5F" w:rsidP="00C51997">
      <w:pPr>
        <w:autoSpaceDE w:val="0"/>
        <w:autoSpaceDN w:val="0"/>
        <w:adjustRightInd w:val="0"/>
        <w:rPr>
          <w:b/>
          <w:bCs/>
          <w:i/>
          <w:sz w:val="22"/>
          <w:szCs w:val="22"/>
          <w:lang w:val="pl-PL"/>
        </w:rPr>
      </w:pPr>
      <w:r w:rsidRPr="003E6209">
        <w:rPr>
          <w:b/>
          <w:bCs/>
          <w:i/>
          <w:sz w:val="22"/>
          <w:szCs w:val="22"/>
          <w:lang w:val="pl-PL"/>
        </w:rPr>
        <w:t>Dzieci i młodzież</w:t>
      </w:r>
    </w:p>
    <w:p w14:paraId="2A4AFD2E" w14:textId="77777777" w:rsidR="00D33C5F" w:rsidRPr="007F2887" w:rsidRDefault="00D33C5F" w:rsidP="00536105">
      <w:pPr>
        <w:autoSpaceDE w:val="0"/>
        <w:autoSpaceDN w:val="0"/>
        <w:adjustRightInd w:val="0"/>
        <w:rPr>
          <w:sz w:val="22"/>
          <w:szCs w:val="22"/>
          <w:lang w:val="pl-PL"/>
        </w:rPr>
      </w:pPr>
      <w:r w:rsidRPr="003E6209">
        <w:rPr>
          <w:sz w:val="22"/>
          <w:szCs w:val="22"/>
          <w:lang w:val="pl-PL"/>
        </w:rPr>
        <w:t xml:space="preserve">U dzieci o masie ciała powyżej </w:t>
      </w:r>
      <w:smartTag w:uri="urn:schemas-microsoft-com:office:smarttags" w:element="metricconverter">
        <w:smartTagPr>
          <w:attr w:name="ProductID" w:val="12,0 kg"/>
        </w:smartTagPr>
        <w:r w:rsidRPr="003E6209">
          <w:rPr>
            <w:sz w:val="22"/>
            <w:szCs w:val="22"/>
            <w:lang w:val="pl-PL"/>
          </w:rPr>
          <w:t>40 kg</w:t>
        </w:r>
      </w:smartTag>
      <w:r w:rsidRPr="003E6209">
        <w:rPr>
          <w:sz w:val="22"/>
          <w:szCs w:val="22"/>
          <w:lang w:val="pl-PL"/>
        </w:rPr>
        <w:t>, maksymalna dawka dobowa wynosi 100 mg.</w:t>
      </w:r>
    </w:p>
    <w:p w14:paraId="19DF8BE7" w14:textId="77777777" w:rsidR="00D33C5F" w:rsidRPr="003E6209" w:rsidRDefault="00D33C5F" w:rsidP="00536105">
      <w:pPr>
        <w:autoSpaceDE w:val="0"/>
        <w:autoSpaceDN w:val="0"/>
        <w:adjustRightInd w:val="0"/>
        <w:rPr>
          <w:sz w:val="22"/>
          <w:szCs w:val="22"/>
          <w:lang w:val="pl-PL"/>
        </w:rPr>
      </w:pPr>
      <w:r w:rsidRPr="003E6209">
        <w:rPr>
          <w:sz w:val="22"/>
          <w:szCs w:val="22"/>
          <w:lang w:val="pl-PL"/>
        </w:rPr>
        <w:t xml:space="preserve">U dzieci o masie ciała do </w:t>
      </w:r>
      <w:smartTag w:uri="urn:schemas-microsoft-com:office:smarttags" w:element="metricconverter">
        <w:smartTagPr>
          <w:attr w:name="ProductID" w:val="12,0 kg"/>
        </w:smartTagPr>
        <w:r w:rsidRPr="003E6209">
          <w:rPr>
            <w:sz w:val="22"/>
            <w:szCs w:val="22"/>
            <w:lang w:val="pl-PL"/>
          </w:rPr>
          <w:t>40 kg</w:t>
        </w:r>
      </w:smartTag>
      <w:r w:rsidRPr="003E6209">
        <w:rPr>
          <w:sz w:val="22"/>
          <w:szCs w:val="22"/>
          <w:lang w:val="pl-PL"/>
        </w:rPr>
        <w:t xml:space="preserve">, maksymalna dawka dobowa wynosi 2 mg/kg mc./dobę. </w:t>
      </w:r>
    </w:p>
    <w:p w14:paraId="3006ED9E" w14:textId="77777777" w:rsidR="00D33C5F" w:rsidRPr="003E6209" w:rsidRDefault="00D33C5F" w:rsidP="00C51997">
      <w:pPr>
        <w:autoSpaceDE w:val="0"/>
        <w:autoSpaceDN w:val="0"/>
        <w:adjustRightInd w:val="0"/>
        <w:rPr>
          <w:b/>
          <w:bCs/>
          <w:i/>
          <w:sz w:val="22"/>
          <w:szCs w:val="22"/>
          <w:lang w:val="pl-PL"/>
        </w:rPr>
      </w:pPr>
    </w:p>
    <w:p w14:paraId="14D691EE" w14:textId="77777777" w:rsidR="00D33C5F" w:rsidRPr="00374609" w:rsidRDefault="00D33C5F" w:rsidP="00C51997">
      <w:pPr>
        <w:autoSpaceDE w:val="0"/>
        <w:autoSpaceDN w:val="0"/>
        <w:adjustRightInd w:val="0"/>
        <w:rPr>
          <w:sz w:val="22"/>
          <w:szCs w:val="22"/>
          <w:lang w:val="pl-PL"/>
        </w:rPr>
      </w:pPr>
      <w:r w:rsidRPr="00374609">
        <w:rPr>
          <w:sz w:val="22"/>
          <w:szCs w:val="22"/>
          <w:u w:val="single"/>
          <w:lang w:val="pl-PL"/>
        </w:rPr>
        <w:t>Objawowe leczenie świądu:</w:t>
      </w:r>
      <w:r w:rsidRPr="00374609">
        <w:rPr>
          <w:sz w:val="22"/>
          <w:szCs w:val="22"/>
          <w:lang w:val="pl-PL"/>
        </w:rPr>
        <w:t xml:space="preserve"> </w:t>
      </w:r>
    </w:p>
    <w:p w14:paraId="06A90E89" w14:textId="2924B506" w:rsidR="00D33C5F" w:rsidRDefault="00D33C5F" w:rsidP="003E6209">
      <w:pPr>
        <w:autoSpaceDE w:val="0"/>
        <w:autoSpaceDN w:val="0"/>
        <w:adjustRightInd w:val="0"/>
        <w:rPr>
          <w:sz w:val="22"/>
          <w:szCs w:val="22"/>
          <w:lang w:val="pl-PL"/>
        </w:rPr>
      </w:pPr>
      <w:r w:rsidRPr="00374609">
        <w:rPr>
          <w:sz w:val="22"/>
          <w:szCs w:val="22"/>
          <w:lang w:val="pl-PL"/>
        </w:rPr>
        <w:t>- dzieci w wieku od 12 miesięcy: 1</w:t>
      </w:r>
      <w:r>
        <w:rPr>
          <w:sz w:val="22"/>
          <w:szCs w:val="22"/>
          <w:lang w:val="pl-PL"/>
        </w:rPr>
        <w:t xml:space="preserve"> </w:t>
      </w:r>
      <w:r w:rsidRPr="00374609">
        <w:rPr>
          <w:sz w:val="22"/>
          <w:szCs w:val="22"/>
          <w:lang w:val="pl-PL"/>
        </w:rPr>
        <w:t xml:space="preserve">mg/kg mc. do </w:t>
      </w:r>
      <w:r w:rsidRPr="003E6209">
        <w:rPr>
          <w:sz w:val="22"/>
          <w:szCs w:val="22"/>
          <w:lang w:val="pl-PL"/>
        </w:rPr>
        <w:t>2 mg/kg mc</w:t>
      </w:r>
      <w:r w:rsidR="00460583">
        <w:rPr>
          <w:sz w:val="22"/>
          <w:szCs w:val="22"/>
          <w:lang w:val="pl-PL"/>
        </w:rPr>
        <w:t>.</w:t>
      </w:r>
      <w:r w:rsidRPr="00186B42">
        <w:rPr>
          <w:sz w:val="22"/>
          <w:szCs w:val="22"/>
          <w:lang w:val="pl-PL"/>
        </w:rPr>
        <w:t xml:space="preserve"> </w:t>
      </w:r>
      <w:r w:rsidRPr="00374609">
        <w:rPr>
          <w:sz w:val="22"/>
          <w:szCs w:val="22"/>
          <w:lang w:val="pl-PL"/>
        </w:rPr>
        <w:t>na dobę</w:t>
      </w:r>
      <w:r w:rsidRPr="003E6209">
        <w:rPr>
          <w:sz w:val="22"/>
          <w:szCs w:val="22"/>
          <w:lang w:val="pl-PL"/>
        </w:rPr>
        <w:t xml:space="preserve"> </w:t>
      </w:r>
      <w:r w:rsidRPr="00374609">
        <w:rPr>
          <w:sz w:val="22"/>
          <w:szCs w:val="22"/>
          <w:lang w:val="pl-PL"/>
        </w:rPr>
        <w:t>w dawkach podzielonych.</w:t>
      </w:r>
    </w:p>
    <w:p w14:paraId="1E9F64A7" w14:textId="77777777" w:rsidR="00D33C5F" w:rsidRPr="00374609" w:rsidRDefault="00D33C5F" w:rsidP="00C51997">
      <w:pPr>
        <w:autoSpaceDE w:val="0"/>
        <w:autoSpaceDN w:val="0"/>
        <w:adjustRightInd w:val="0"/>
        <w:rPr>
          <w:sz w:val="22"/>
          <w:szCs w:val="22"/>
          <w:u w:val="single"/>
          <w:lang w:val="pl-PL"/>
        </w:rPr>
      </w:pPr>
    </w:p>
    <w:p w14:paraId="63E52E10" w14:textId="77777777" w:rsidR="00D33C5F" w:rsidRPr="00374609" w:rsidRDefault="00D33C5F" w:rsidP="00C51997">
      <w:pPr>
        <w:autoSpaceDE w:val="0"/>
        <w:autoSpaceDN w:val="0"/>
        <w:adjustRightInd w:val="0"/>
        <w:rPr>
          <w:sz w:val="22"/>
          <w:szCs w:val="22"/>
          <w:lang w:val="pl-PL"/>
        </w:rPr>
      </w:pPr>
      <w:r w:rsidRPr="00374609">
        <w:rPr>
          <w:sz w:val="22"/>
          <w:szCs w:val="22"/>
          <w:u w:val="single"/>
          <w:lang w:val="pl-PL"/>
        </w:rPr>
        <w:t>Premedykacja przed zabiegami chirurgicznymi:</w:t>
      </w:r>
      <w:r w:rsidRPr="00374609">
        <w:rPr>
          <w:sz w:val="22"/>
          <w:szCs w:val="22"/>
          <w:lang w:val="pl-PL"/>
        </w:rPr>
        <w:t xml:space="preserve"> </w:t>
      </w:r>
    </w:p>
    <w:p w14:paraId="6A24FC05"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0,6 mg/kg mc. doustnie, w pojedynczej dawce. </w:t>
      </w:r>
    </w:p>
    <w:p w14:paraId="27E52E59" w14:textId="77777777" w:rsidR="00D33C5F" w:rsidRPr="00374609" w:rsidRDefault="00D33C5F" w:rsidP="00C51997">
      <w:pPr>
        <w:autoSpaceDE w:val="0"/>
        <w:autoSpaceDN w:val="0"/>
        <w:adjustRightInd w:val="0"/>
        <w:rPr>
          <w:sz w:val="22"/>
          <w:szCs w:val="22"/>
          <w:lang w:val="pl-PL"/>
        </w:rPr>
      </w:pPr>
      <w:r w:rsidRPr="00374609">
        <w:rPr>
          <w:sz w:val="22"/>
          <w:szCs w:val="22"/>
          <w:lang w:val="pl-PL"/>
        </w:rPr>
        <w:t>Skumulowana dawka dobowa nie powinna przekraczać 2 mg/kg mc. na dobę.</w:t>
      </w:r>
    </w:p>
    <w:p w14:paraId="1E2FE0B4" w14:textId="77777777" w:rsidR="00D33C5F" w:rsidRPr="00374609" w:rsidRDefault="00D33C5F" w:rsidP="00C51997">
      <w:pPr>
        <w:autoSpaceDE w:val="0"/>
        <w:autoSpaceDN w:val="0"/>
        <w:adjustRightInd w:val="0"/>
        <w:rPr>
          <w:sz w:val="22"/>
          <w:szCs w:val="22"/>
          <w:u w:val="single"/>
          <w:lang w:val="pl-PL"/>
        </w:rPr>
      </w:pPr>
    </w:p>
    <w:p w14:paraId="2DCC2119" w14:textId="77777777" w:rsidR="00D33C5F" w:rsidRPr="003E6209" w:rsidRDefault="00D33C5F" w:rsidP="00C51997">
      <w:pPr>
        <w:autoSpaceDE w:val="0"/>
        <w:autoSpaceDN w:val="0"/>
        <w:adjustRightInd w:val="0"/>
        <w:rPr>
          <w:i/>
          <w:sz w:val="22"/>
          <w:szCs w:val="22"/>
          <w:lang w:val="pl-PL"/>
        </w:rPr>
      </w:pPr>
      <w:r w:rsidRPr="003E6209">
        <w:rPr>
          <w:i/>
          <w:sz w:val="22"/>
          <w:szCs w:val="22"/>
          <w:lang w:val="pl-PL"/>
        </w:rPr>
        <w:t>Pacjenci w podeszłym wieku</w:t>
      </w:r>
    </w:p>
    <w:p w14:paraId="0B1E8F68" w14:textId="77777777" w:rsidR="00D33C5F" w:rsidRPr="007F2887" w:rsidRDefault="00D33C5F" w:rsidP="00C51997">
      <w:pPr>
        <w:autoSpaceDE w:val="0"/>
        <w:autoSpaceDN w:val="0"/>
        <w:adjustRightInd w:val="0"/>
        <w:rPr>
          <w:sz w:val="22"/>
          <w:szCs w:val="22"/>
          <w:lang w:val="pl-PL"/>
        </w:rPr>
      </w:pPr>
      <w:r w:rsidRPr="007F2887">
        <w:rPr>
          <w:sz w:val="22"/>
          <w:szCs w:val="22"/>
          <w:lang w:val="pl-PL"/>
        </w:rPr>
        <w:t>Leczenie należy rozpoczynać stosując połowę dawki zalecanej dla młodszych osób dorosłych.</w:t>
      </w:r>
    </w:p>
    <w:p w14:paraId="2E703BA9" w14:textId="77777777" w:rsidR="00D33C5F" w:rsidRPr="00374609" w:rsidRDefault="00D33C5F" w:rsidP="00C51997">
      <w:pPr>
        <w:autoSpaceDE w:val="0"/>
        <w:autoSpaceDN w:val="0"/>
        <w:adjustRightInd w:val="0"/>
        <w:rPr>
          <w:sz w:val="22"/>
          <w:szCs w:val="22"/>
          <w:lang w:val="pl-PL"/>
        </w:rPr>
      </w:pPr>
      <w:r w:rsidRPr="007F2887">
        <w:rPr>
          <w:sz w:val="22"/>
          <w:szCs w:val="22"/>
          <w:lang w:val="pl-PL"/>
        </w:rPr>
        <w:t>U osób w podeszłym wieku, maksymalna dawka dobowa wynosi 50 mg (patrz punkt 4.4).</w:t>
      </w:r>
    </w:p>
    <w:p w14:paraId="22AD82AF" w14:textId="77777777" w:rsidR="00D33C5F" w:rsidRPr="00374609" w:rsidRDefault="00D33C5F" w:rsidP="00C51997">
      <w:pPr>
        <w:autoSpaceDE w:val="0"/>
        <w:autoSpaceDN w:val="0"/>
        <w:adjustRightInd w:val="0"/>
        <w:rPr>
          <w:sz w:val="22"/>
          <w:szCs w:val="22"/>
          <w:u w:val="single"/>
          <w:lang w:val="pl-PL"/>
        </w:rPr>
      </w:pPr>
    </w:p>
    <w:p w14:paraId="757B4791" w14:textId="77777777" w:rsidR="00D33C5F" w:rsidRPr="003E6209" w:rsidRDefault="00D33C5F" w:rsidP="00C51997">
      <w:pPr>
        <w:autoSpaceDE w:val="0"/>
        <w:autoSpaceDN w:val="0"/>
        <w:adjustRightInd w:val="0"/>
        <w:rPr>
          <w:i/>
          <w:sz w:val="22"/>
          <w:szCs w:val="22"/>
          <w:lang w:val="pl-PL"/>
        </w:rPr>
      </w:pPr>
      <w:r w:rsidRPr="003E6209">
        <w:rPr>
          <w:i/>
          <w:sz w:val="22"/>
          <w:szCs w:val="22"/>
          <w:lang w:val="pl-PL"/>
        </w:rPr>
        <w:t>Pacjenci z umiarkowaną lub ciężką niewydolnością nerek</w:t>
      </w:r>
    </w:p>
    <w:p w14:paraId="15757745" w14:textId="77777777" w:rsidR="00D33C5F" w:rsidRPr="00374609" w:rsidRDefault="00D33C5F" w:rsidP="00C51997">
      <w:pPr>
        <w:autoSpaceDE w:val="0"/>
        <w:autoSpaceDN w:val="0"/>
        <w:adjustRightInd w:val="0"/>
        <w:rPr>
          <w:sz w:val="22"/>
          <w:szCs w:val="22"/>
          <w:lang w:val="pl-PL"/>
        </w:rPr>
      </w:pPr>
      <w:r w:rsidRPr="00374609">
        <w:rPr>
          <w:sz w:val="22"/>
          <w:szCs w:val="22"/>
          <w:lang w:val="pl-PL"/>
        </w:rPr>
        <w:t>Ponieważ u pacjentów z umiarkowaną i ciężką niewydolnością nerek wydalanie cetyryzyny (która jest metabolitem hydroksyzyny) jest zmniejszone, należy u nich stosować mniejsze dawki produktu leczniczego Hydroxyzinum VP.</w:t>
      </w:r>
    </w:p>
    <w:p w14:paraId="566D53A1" w14:textId="77777777" w:rsidR="00D33C5F" w:rsidRPr="00374609" w:rsidRDefault="00D33C5F" w:rsidP="00C51997">
      <w:pPr>
        <w:autoSpaceDE w:val="0"/>
        <w:autoSpaceDN w:val="0"/>
        <w:adjustRightInd w:val="0"/>
        <w:rPr>
          <w:sz w:val="22"/>
          <w:szCs w:val="22"/>
          <w:lang w:val="pl-PL"/>
        </w:rPr>
      </w:pPr>
    </w:p>
    <w:p w14:paraId="3B2E1EDB" w14:textId="77777777" w:rsidR="00D33C5F" w:rsidRPr="003E6209" w:rsidRDefault="00D33C5F" w:rsidP="00C51997">
      <w:pPr>
        <w:autoSpaceDE w:val="0"/>
        <w:autoSpaceDN w:val="0"/>
        <w:adjustRightInd w:val="0"/>
        <w:rPr>
          <w:i/>
          <w:sz w:val="22"/>
          <w:szCs w:val="22"/>
          <w:lang w:val="pl-PL"/>
        </w:rPr>
      </w:pPr>
      <w:r w:rsidRPr="003E6209">
        <w:rPr>
          <w:i/>
          <w:sz w:val="22"/>
          <w:szCs w:val="22"/>
          <w:lang w:val="pl-PL"/>
        </w:rPr>
        <w:t>Pacjenci z niewydolnością wątroby</w:t>
      </w:r>
    </w:p>
    <w:p w14:paraId="73628974" w14:textId="77777777" w:rsidR="00D33C5F" w:rsidRPr="00374609" w:rsidRDefault="00D33C5F" w:rsidP="00C51997">
      <w:pPr>
        <w:autoSpaceDE w:val="0"/>
        <w:autoSpaceDN w:val="0"/>
        <w:adjustRightInd w:val="0"/>
        <w:rPr>
          <w:sz w:val="22"/>
          <w:szCs w:val="22"/>
          <w:lang w:val="pl-PL"/>
        </w:rPr>
      </w:pPr>
      <w:r w:rsidRPr="00374609">
        <w:rPr>
          <w:sz w:val="22"/>
          <w:szCs w:val="22"/>
          <w:lang w:val="pl-PL"/>
        </w:rPr>
        <w:t>U pacjentów z niewydolnością wątroby zaleca się zmniejszenie dawki dobowej o 33%.</w:t>
      </w:r>
    </w:p>
    <w:p w14:paraId="26401570" w14:textId="77777777" w:rsidR="00D33C5F" w:rsidRPr="00374609" w:rsidRDefault="00D33C5F" w:rsidP="00C51997">
      <w:pPr>
        <w:autoSpaceDE w:val="0"/>
        <w:autoSpaceDN w:val="0"/>
        <w:adjustRightInd w:val="0"/>
        <w:rPr>
          <w:sz w:val="22"/>
          <w:szCs w:val="22"/>
          <w:lang w:val="pl-PL"/>
        </w:rPr>
      </w:pPr>
    </w:p>
    <w:p w14:paraId="03832B8E" w14:textId="77777777" w:rsidR="00D33C5F" w:rsidRPr="003E6209" w:rsidRDefault="00D33C5F" w:rsidP="003E6209">
      <w:pPr>
        <w:ind w:right="1745"/>
        <w:jc w:val="both"/>
        <w:rPr>
          <w:b/>
          <w:sz w:val="22"/>
          <w:szCs w:val="22"/>
          <w:u w:val="single"/>
          <w:lang w:val="pl-PL"/>
        </w:rPr>
      </w:pPr>
      <w:r w:rsidRPr="003E6209">
        <w:rPr>
          <w:b/>
          <w:sz w:val="22"/>
          <w:szCs w:val="22"/>
          <w:u w:val="single"/>
          <w:lang w:val="pl-PL"/>
        </w:rPr>
        <w:t>Sposób podawania</w:t>
      </w:r>
    </w:p>
    <w:p w14:paraId="5A2A8D19" w14:textId="77777777" w:rsidR="00D33C5F" w:rsidRPr="003E6209" w:rsidRDefault="00D33C5F" w:rsidP="003E6209">
      <w:pPr>
        <w:ind w:right="1745"/>
        <w:jc w:val="both"/>
        <w:rPr>
          <w:sz w:val="22"/>
          <w:szCs w:val="22"/>
          <w:lang w:val="pl-PL"/>
        </w:rPr>
      </w:pPr>
      <w:r w:rsidRPr="003E6209">
        <w:rPr>
          <w:sz w:val="22"/>
          <w:szCs w:val="22"/>
          <w:lang w:val="pl-PL"/>
        </w:rPr>
        <w:t>Produkt leczniczy H</w:t>
      </w:r>
      <w:r w:rsidRPr="003E6209">
        <w:rPr>
          <w:spacing w:val="2"/>
          <w:sz w:val="22"/>
          <w:szCs w:val="22"/>
          <w:lang w:val="pl-PL"/>
        </w:rPr>
        <w:t>y</w:t>
      </w:r>
      <w:r w:rsidRPr="003E6209">
        <w:rPr>
          <w:sz w:val="22"/>
          <w:szCs w:val="22"/>
          <w:lang w:val="pl-PL"/>
        </w:rPr>
        <w:t>d</w:t>
      </w:r>
      <w:r w:rsidRPr="003E6209">
        <w:rPr>
          <w:spacing w:val="-1"/>
          <w:sz w:val="22"/>
          <w:szCs w:val="22"/>
          <w:lang w:val="pl-PL"/>
        </w:rPr>
        <w:t>r</w:t>
      </w:r>
      <w:r w:rsidRPr="003E6209">
        <w:rPr>
          <w:sz w:val="22"/>
          <w:szCs w:val="22"/>
          <w:lang w:val="pl-PL"/>
        </w:rPr>
        <w:t>o</w:t>
      </w:r>
      <w:r w:rsidRPr="003E6209">
        <w:rPr>
          <w:spacing w:val="-1"/>
          <w:sz w:val="22"/>
          <w:szCs w:val="22"/>
          <w:lang w:val="pl-PL"/>
        </w:rPr>
        <w:t>x</w:t>
      </w:r>
      <w:r w:rsidRPr="003E6209">
        <w:rPr>
          <w:spacing w:val="2"/>
          <w:sz w:val="22"/>
          <w:szCs w:val="22"/>
          <w:lang w:val="pl-PL"/>
        </w:rPr>
        <w:t>y</w:t>
      </w:r>
      <w:r w:rsidRPr="003E6209">
        <w:rPr>
          <w:sz w:val="22"/>
          <w:szCs w:val="22"/>
          <w:lang w:val="pl-PL"/>
        </w:rPr>
        <w:t>zi</w:t>
      </w:r>
      <w:r w:rsidRPr="003E6209">
        <w:rPr>
          <w:spacing w:val="-1"/>
          <w:sz w:val="22"/>
          <w:szCs w:val="22"/>
          <w:lang w:val="pl-PL"/>
        </w:rPr>
        <w:t>nu</w:t>
      </w:r>
      <w:r w:rsidRPr="003E6209">
        <w:rPr>
          <w:sz w:val="22"/>
          <w:szCs w:val="22"/>
          <w:lang w:val="pl-PL"/>
        </w:rPr>
        <w:t>m</w:t>
      </w:r>
      <w:r w:rsidRPr="003E6209">
        <w:rPr>
          <w:spacing w:val="-13"/>
          <w:sz w:val="22"/>
          <w:szCs w:val="22"/>
          <w:lang w:val="pl-PL"/>
        </w:rPr>
        <w:t xml:space="preserve"> </w:t>
      </w:r>
      <w:r w:rsidRPr="003E6209">
        <w:rPr>
          <w:sz w:val="22"/>
          <w:szCs w:val="22"/>
          <w:lang w:val="pl-PL"/>
        </w:rPr>
        <w:t>VP stosuje się doustnie.</w:t>
      </w:r>
    </w:p>
    <w:p w14:paraId="515FC45A" w14:textId="77777777" w:rsidR="00D33C5F" w:rsidRPr="00374609" w:rsidRDefault="00D33C5F" w:rsidP="00C51997">
      <w:pPr>
        <w:autoSpaceDE w:val="0"/>
        <w:autoSpaceDN w:val="0"/>
        <w:adjustRightInd w:val="0"/>
        <w:rPr>
          <w:b/>
          <w:bCs/>
          <w:sz w:val="22"/>
          <w:szCs w:val="22"/>
          <w:lang w:val="pl-PL"/>
        </w:rPr>
      </w:pPr>
    </w:p>
    <w:p w14:paraId="61FC8AD5"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4.3</w:t>
      </w:r>
      <w:r w:rsidRPr="00374609">
        <w:rPr>
          <w:b/>
          <w:bCs/>
          <w:iCs/>
          <w:sz w:val="22"/>
          <w:szCs w:val="22"/>
          <w:lang w:val="pl-PL"/>
        </w:rPr>
        <w:tab/>
      </w:r>
      <w:r w:rsidRPr="00374609">
        <w:rPr>
          <w:b/>
          <w:bCs/>
          <w:sz w:val="22"/>
          <w:szCs w:val="22"/>
          <w:lang w:val="pl-PL"/>
        </w:rPr>
        <w:t>Przeciwwskazania</w:t>
      </w:r>
    </w:p>
    <w:p w14:paraId="3066FAED" w14:textId="77777777" w:rsidR="00D33C5F" w:rsidRPr="00A60BE7" w:rsidRDefault="00D33C5F" w:rsidP="00C51997">
      <w:pPr>
        <w:autoSpaceDE w:val="0"/>
        <w:autoSpaceDN w:val="0"/>
        <w:adjustRightInd w:val="0"/>
        <w:rPr>
          <w:b/>
          <w:bCs/>
          <w:sz w:val="22"/>
          <w:szCs w:val="22"/>
          <w:lang w:val="pl-PL"/>
        </w:rPr>
      </w:pPr>
    </w:p>
    <w:p w14:paraId="79B51F00" w14:textId="77777777" w:rsidR="00D33C5F" w:rsidRDefault="00D33C5F" w:rsidP="003E6209">
      <w:pPr>
        <w:pStyle w:val="Akapitzlist"/>
        <w:numPr>
          <w:ilvl w:val="0"/>
          <w:numId w:val="4"/>
        </w:numPr>
        <w:autoSpaceDE w:val="0"/>
        <w:autoSpaceDN w:val="0"/>
        <w:adjustRightInd w:val="0"/>
        <w:rPr>
          <w:lang w:val="pl-PL"/>
        </w:rPr>
      </w:pPr>
      <w:r w:rsidRPr="003E6209">
        <w:rPr>
          <w:rFonts w:ascii="Times New Roman" w:hAnsi="Times New Roman"/>
          <w:lang w:val="pl-PL"/>
        </w:rPr>
        <w:t>Nadwrażliwość na substancję czynną, cetyryzynę, inne pochodne piperazyny, aminofilinę, etylenodiaminę lub na którąkolwiek substancję pomocniczą wymienioną w punkcie 6.1</w:t>
      </w:r>
      <w:r>
        <w:rPr>
          <w:rFonts w:ascii="Times New Roman" w:hAnsi="Times New Roman"/>
          <w:lang w:val="pl-PL"/>
        </w:rPr>
        <w:t>.</w:t>
      </w:r>
    </w:p>
    <w:p w14:paraId="34733917" w14:textId="77777777" w:rsidR="00D33C5F" w:rsidRDefault="00D33C5F" w:rsidP="003E6209">
      <w:pPr>
        <w:pStyle w:val="Akapitzlist"/>
        <w:numPr>
          <w:ilvl w:val="0"/>
          <w:numId w:val="4"/>
        </w:numPr>
        <w:autoSpaceDE w:val="0"/>
        <w:autoSpaceDN w:val="0"/>
        <w:adjustRightInd w:val="0"/>
        <w:rPr>
          <w:lang w:val="pl-PL"/>
        </w:rPr>
      </w:pPr>
      <w:r>
        <w:rPr>
          <w:rFonts w:ascii="Times New Roman" w:hAnsi="Times New Roman"/>
          <w:lang w:val="pl-PL"/>
        </w:rPr>
        <w:t>Porfiria</w:t>
      </w:r>
    </w:p>
    <w:p w14:paraId="4361E506" w14:textId="77777777" w:rsidR="00D33C5F" w:rsidRDefault="00D33C5F" w:rsidP="003E6209">
      <w:pPr>
        <w:pStyle w:val="Akapitzlist"/>
        <w:numPr>
          <w:ilvl w:val="0"/>
          <w:numId w:val="4"/>
        </w:numPr>
        <w:autoSpaceDE w:val="0"/>
        <w:autoSpaceDN w:val="0"/>
        <w:adjustRightInd w:val="0"/>
        <w:rPr>
          <w:lang w:val="pl-PL"/>
        </w:rPr>
      </w:pPr>
      <w:r w:rsidRPr="003E6209">
        <w:rPr>
          <w:rFonts w:ascii="Times New Roman" w:hAnsi="Times New Roman"/>
          <w:lang w:val="pl-PL"/>
        </w:rPr>
        <w:t>Ciąża i karmienie piersią</w:t>
      </w:r>
    </w:p>
    <w:p w14:paraId="1D9BDD77" w14:textId="77777777" w:rsidR="00D33C5F" w:rsidRDefault="00D33C5F" w:rsidP="003E6209">
      <w:pPr>
        <w:pStyle w:val="Akapitzlist"/>
        <w:numPr>
          <w:ilvl w:val="0"/>
          <w:numId w:val="4"/>
        </w:numPr>
        <w:autoSpaceDE w:val="0"/>
        <w:autoSpaceDN w:val="0"/>
        <w:adjustRightInd w:val="0"/>
        <w:rPr>
          <w:lang w:val="pl-PL"/>
        </w:rPr>
      </w:pPr>
      <w:r>
        <w:rPr>
          <w:rFonts w:ascii="Times New Roman" w:hAnsi="Times New Roman"/>
          <w:lang w:val="pl-PL"/>
        </w:rPr>
        <w:t>Pacjenci ze znanym nabytym lub wrodzonym wydłużeniem odstępu QT</w:t>
      </w:r>
    </w:p>
    <w:p w14:paraId="63C18378" w14:textId="6A92EF69" w:rsidR="00D33C5F" w:rsidRPr="003E277A" w:rsidRDefault="00D33C5F" w:rsidP="003E277A">
      <w:pPr>
        <w:pStyle w:val="Akapitzlist"/>
        <w:numPr>
          <w:ilvl w:val="0"/>
          <w:numId w:val="4"/>
        </w:numPr>
        <w:autoSpaceDE w:val="0"/>
        <w:autoSpaceDN w:val="0"/>
        <w:adjustRightInd w:val="0"/>
        <w:rPr>
          <w:b/>
          <w:bCs/>
          <w:lang w:val="pl-PL"/>
        </w:rPr>
      </w:pPr>
      <w:r w:rsidRPr="003E6209">
        <w:rPr>
          <w:rFonts w:ascii="Times New Roman" w:hAnsi="Times New Roman"/>
          <w:lang w:val="pl-PL"/>
        </w:rPr>
        <w:t xml:space="preserve">Pacjenci ze znanymi czynnikami ryzyka wydłużenia odstępu QT, w tym ze stwierdzoną chorobą układu krążenia, znaczącymi zaburzeniami elektrolitowymi (hipokaliemia, hipomagnezemia), nagłą śmiercią sercową w rodzinie, znaczącą bradykardią, stosujący jednocześnie leki, o których wiadomo, że wydłużają odstęp QT i (lub) wywołują zaburzenia rytmu serca typu </w:t>
      </w:r>
      <w:r w:rsidRPr="003E6209">
        <w:rPr>
          <w:rFonts w:ascii="Times New Roman" w:hAnsi="Times New Roman"/>
          <w:i/>
          <w:lang w:val="pl-PL"/>
        </w:rPr>
        <w:t>torsade de pointes</w:t>
      </w:r>
      <w:r w:rsidRPr="003E6209">
        <w:rPr>
          <w:rFonts w:ascii="Times New Roman" w:hAnsi="Times New Roman"/>
          <w:lang w:val="pl-PL"/>
        </w:rPr>
        <w:t xml:space="preserve"> (patrz punkty 4.4 i 4.5)</w:t>
      </w:r>
      <w:r w:rsidR="003E6209">
        <w:rPr>
          <w:rFonts w:ascii="Times New Roman" w:hAnsi="Times New Roman"/>
          <w:lang w:val="pl-PL"/>
        </w:rPr>
        <w:t>.</w:t>
      </w:r>
    </w:p>
    <w:p w14:paraId="11DD8C0E"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4.4</w:t>
      </w:r>
      <w:r w:rsidRPr="00374609">
        <w:rPr>
          <w:b/>
          <w:bCs/>
          <w:iCs/>
          <w:sz w:val="22"/>
          <w:szCs w:val="22"/>
          <w:lang w:val="pl-PL"/>
        </w:rPr>
        <w:tab/>
      </w:r>
      <w:r w:rsidRPr="00374609">
        <w:rPr>
          <w:b/>
          <w:bCs/>
          <w:sz w:val="22"/>
          <w:szCs w:val="22"/>
          <w:lang w:val="pl-PL"/>
        </w:rPr>
        <w:t>Specjalne ostrzeżenia i środki ostrożności dotyczące stosowania</w:t>
      </w:r>
    </w:p>
    <w:p w14:paraId="7B52B96B" w14:textId="77777777" w:rsidR="00D33C5F" w:rsidRPr="00374609" w:rsidRDefault="00D33C5F" w:rsidP="00C51997">
      <w:pPr>
        <w:autoSpaceDE w:val="0"/>
        <w:autoSpaceDN w:val="0"/>
        <w:adjustRightInd w:val="0"/>
        <w:rPr>
          <w:sz w:val="22"/>
          <w:szCs w:val="22"/>
          <w:lang w:val="pl-PL"/>
        </w:rPr>
      </w:pPr>
    </w:p>
    <w:p w14:paraId="2FA030E3" w14:textId="77777777" w:rsidR="00D33C5F" w:rsidRPr="00374609" w:rsidRDefault="00D33C5F" w:rsidP="00C51997">
      <w:pPr>
        <w:autoSpaceDE w:val="0"/>
        <w:autoSpaceDN w:val="0"/>
        <w:adjustRightInd w:val="0"/>
        <w:rPr>
          <w:sz w:val="22"/>
          <w:szCs w:val="22"/>
          <w:lang w:val="pl-PL"/>
        </w:rPr>
      </w:pPr>
      <w:r w:rsidRPr="00374609">
        <w:rPr>
          <w:sz w:val="22"/>
          <w:szCs w:val="22"/>
          <w:lang w:val="pl-PL"/>
        </w:rPr>
        <w:t>Należy zachować ostrożność stosując produkt leczniczy Hydroxyzinum VP u pacjentów ze zwiększoną skłonnością do drgawek.</w:t>
      </w:r>
    </w:p>
    <w:p w14:paraId="2F804769" w14:textId="77777777" w:rsidR="00D33C5F" w:rsidRPr="00374609" w:rsidRDefault="00D33C5F" w:rsidP="00C51997">
      <w:pPr>
        <w:autoSpaceDE w:val="0"/>
        <w:autoSpaceDN w:val="0"/>
        <w:adjustRightInd w:val="0"/>
        <w:rPr>
          <w:sz w:val="22"/>
          <w:szCs w:val="22"/>
          <w:lang w:val="pl-PL"/>
        </w:rPr>
      </w:pPr>
    </w:p>
    <w:p w14:paraId="674063E7"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Ze względu na potencjalne działanie przeciwcholinergiczne, należy zachować ostrożność stosując produkt leczniczy Hydroxyzinum VP u pacjentów z jaskrą, utrudnionym odpływem moczu z pęcherza moczowego, osłabioną perystaltyką przewodu pokarmowego, miastenią i otępieniem. </w:t>
      </w:r>
    </w:p>
    <w:p w14:paraId="2C45902D" w14:textId="77777777" w:rsidR="00D33C5F" w:rsidRPr="00374609" w:rsidRDefault="00D33C5F" w:rsidP="00C51997">
      <w:pPr>
        <w:autoSpaceDE w:val="0"/>
        <w:autoSpaceDN w:val="0"/>
        <w:adjustRightInd w:val="0"/>
        <w:rPr>
          <w:sz w:val="22"/>
          <w:szCs w:val="22"/>
          <w:lang w:val="pl-PL"/>
        </w:rPr>
      </w:pPr>
    </w:p>
    <w:p w14:paraId="03B8E079" w14:textId="77777777" w:rsidR="00D33C5F" w:rsidRPr="00374609" w:rsidRDefault="00D33C5F" w:rsidP="00C51997">
      <w:pPr>
        <w:pStyle w:val="Tekstpodstawowy2"/>
      </w:pPr>
      <w:r w:rsidRPr="00374609">
        <w:lastRenderedPageBreak/>
        <w:t>W przypadku jednoczesnego stosowania produktu leczniczego Hydroxyzinum VP z innymi lekami działającymi depresyjnie na ośrodkowy układ nerwowy lub lekami o właściwościach przeciwcholinergicznych, konieczne może być dostosowanie dawkowania (patrz punkt 4.5).</w:t>
      </w:r>
    </w:p>
    <w:p w14:paraId="6688386E" w14:textId="77777777" w:rsidR="00D33C5F" w:rsidRPr="00374609" w:rsidRDefault="00D33C5F" w:rsidP="00C51997">
      <w:pPr>
        <w:pStyle w:val="Tekstpodstawowy2"/>
      </w:pPr>
    </w:p>
    <w:p w14:paraId="12E9AFD3" w14:textId="77777777" w:rsidR="00D33C5F" w:rsidRPr="00374609" w:rsidRDefault="00D33C5F" w:rsidP="00C51997">
      <w:pPr>
        <w:autoSpaceDE w:val="0"/>
        <w:autoSpaceDN w:val="0"/>
        <w:adjustRightInd w:val="0"/>
        <w:rPr>
          <w:sz w:val="22"/>
          <w:szCs w:val="22"/>
          <w:lang w:val="pl-PL"/>
        </w:rPr>
      </w:pPr>
      <w:r w:rsidRPr="00374609">
        <w:rPr>
          <w:sz w:val="22"/>
          <w:szCs w:val="22"/>
          <w:lang w:val="pl-PL"/>
        </w:rPr>
        <w:t>Podczas stosowania produktu leczniczego Hydroxyzinum VP pacjent powinien unikać spożywania alkoholu (patrz punkt 4.5).</w:t>
      </w:r>
    </w:p>
    <w:p w14:paraId="2A0AFFA8" w14:textId="77777777" w:rsidR="00D33C5F" w:rsidRPr="00374609" w:rsidRDefault="00D33C5F" w:rsidP="00C51997">
      <w:pPr>
        <w:autoSpaceDE w:val="0"/>
        <w:autoSpaceDN w:val="0"/>
        <w:adjustRightInd w:val="0"/>
        <w:rPr>
          <w:sz w:val="22"/>
          <w:szCs w:val="22"/>
          <w:lang w:val="pl-PL"/>
        </w:rPr>
      </w:pPr>
    </w:p>
    <w:p w14:paraId="02FE86E2" w14:textId="77777777" w:rsidR="00D33C5F" w:rsidRPr="003E6209" w:rsidRDefault="00D33C5F" w:rsidP="006435BE">
      <w:pPr>
        <w:autoSpaceDE w:val="0"/>
        <w:autoSpaceDN w:val="0"/>
        <w:adjustRightInd w:val="0"/>
        <w:rPr>
          <w:sz w:val="22"/>
          <w:szCs w:val="22"/>
          <w:u w:val="single"/>
          <w:lang w:val="nb-NO"/>
        </w:rPr>
      </w:pPr>
      <w:r w:rsidRPr="003E6209">
        <w:rPr>
          <w:sz w:val="22"/>
          <w:szCs w:val="22"/>
          <w:u w:val="single"/>
          <w:lang w:val="nb-NO"/>
        </w:rPr>
        <w:t>Wpływ na układ krążenia</w:t>
      </w:r>
    </w:p>
    <w:p w14:paraId="79893E13" w14:textId="77777777" w:rsidR="00D33C5F" w:rsidRPr="007F2887" w:rsidRDefault="00D33C5F" w:rsidP="006435BE">
      <w:pPr>
        <w:autoSpaceDE w:val="0"/>
        <w:autoSpaceDN w:val="0"/>
        <w:adjustRightInd w:val="0"/>
        <w:rPr>
          <w:sz w:val="22"/>
          <w:szCs w:val="22"/>
          <w:lang w:val="nb-NO"/>
        </w:rPr>
      </w:pPr>
      <w:r w:rsidRPr="007F2887">
        <w:rPr>
          <w:sz w:val="22"/>
          <w:szCs w:val="22"/>
          <w:lang w:val="nb-NO"/>
        </w:rPr>
        <w:t xml:space="preserve">Stosowanie hydroksyzyny było związane z wydłużeniem odstępu QT w elektrokardiogramie. </w:t>
      </w:r>
      <w:r w:rsidR="00D82D4E">
        <w:rPr>
          <w:sz w:val="22"/>
          <w:szCs w:val="22"/>
          <w:lang w:val="nb-NO"/>
        </w:rPr>
        <w:br/>
      </w:r>
      <w:r w:rsidRPr="007F2887">
        <w:rPr>
          <w:sz w:val="22"/>
          <w:szCs w:val="22"/>
          <w:lang w:val="nb-NO"/>
        </w:rPr>
        <w:t xml:space="preserve">W okresie po wprowadzeniu do obrotu, u pacjentów przyjmujących hydroksyzynę zgłaszano przypadki wydłużenia odstępu QT oraz zaburzeń rytmu serca typu </w:t>
      </w:r>
      <w:r w:rsidRPr="003E6209">
        <w:rPr>
          <w:i/>
          <w:sz w:val="22"/>
          <w:szCs w:val="22"/>
          <w:lang w:val="nb-NO"/>
        </w:rPr>
        <w:t>torsade de pointes</w:t>
      </w:r>
      <w:r w:rsidRPr="007F2887">
        <w:rPr>
          <w:sz w:val="22"/>
          <w:szCs w:val="22"/>
          <w:lang w:val="nb-NO"/>
        </w:rPr>
        <w:t>. U większości tych pacjentów występowały inne czynniki ryzyka, takie jak zaburzenia elektrolitowe oraz jednoczesne stosowanie innych leków, które mogły przyczynić się do wystąpienia tych zdarzeń (patrz punkt 4.8).</w:t>
      </w:r>
    </w:p>
    <w:p w14:paraId="211F6507" w14:textId="77777777" w:rsidR="00D33C5F" w:rsidRPr="007F2887" w:rsidRDefault="00D33C5F" w:rsidP="006435BE">
      <w:pPr>
        <w:autoSpaceDE w:val="0"/>
        <w:autoSpaceDN w:val="0"/>
        <w:adjustRightInd w:val="0"/>
        <w:rPr>
          <w:sz w:val="22"/>
          <w:szCs w:val="22"/>
          <w:lang w:val="nb-NO"/>
        </w:rPr>
      </w:pPr>
    </w:p>
    <w:p w14:paraId="4C738D57" w14:textId="77777777" w:rsidR="00D33C5F" w:rsidRPr="007F2887" w:rsidRDefault="00D33C5F" w:rsidP="006435BE">
      <w:pPr>
        <w:autoSpaceDE w:val="0"/>
        <w:autoSpaceDN w:val="0"/>
        <w:adjustRightInd w:val="0"/>
        <w:rPr>
          <w:sz w:val="22"/>
          <w:szCs w:val="22"/>
          <w:lang w:val="nb-NO"/>
        </w:rPr>
      </w:pPr>
      <w:r w:rsidRPr="007F2887">
        <w:rPr>
          <w:sz w:val="22"/>
          <w:szCs w:val="22"/>
          <w:lang w:val="nb-NO"/>
        </w:rPr>
        <w:t>Hydroksyzynę należy stosować w najmniejszej skutecznej dawce. Czas leczenia powinien być możliwie jak najkrótszy.</w:t>
      </w:r>
    </w:p>
    <w:p w14:paraId="08022D9B" w14:textId="77777777" w:rsidR="00D33C5F" w:rsidRPr="007F2887" w:rsidRDefault="00D33C5F" w:rsidP="006435BE">
      <w:pPr>
        <w:autoSpaceDE w:val="0"/>
        <w:autoSpaceDN w:val="0"/>
        <w:adjustRightInd w:val="0"/>
        <w:rPr>
          <w:sz w:val="22"/>
          <w:szCs w:val="22"/>
          <w:lang w:val="nb-NO"/>
        </w:rPr>
      </w:pPr>
    </w:p>
    <w:p w14:paraId="569C5578" w14:textId="77777777" w:rsidR="00D33C5F" w:rsidRPr="007F2887" w:rsidRDefault="00D33C5F" w:rsidP="006435BE">
      <w:pPr>
        <w:autoSpaceDE w:val="0"/>
        <w:autoSpaceDN w:val="0"/>
        <w:adjustRightInd w:val="0"/>
        <w:rPr>
          <w:sz w:val="22"/>
          <w:szCs w:val="22"/>
          <w:lang w:val="nb-NO"/>
        </w:rPr>
      </w:pPr>
      <w:r w:rsidRPr="007F2887">
        <w:rPr>
          <w:sz w:val="22"/>
          <w:szCs w:val="22"/>
          <w:lang w:val="nb-NO"/>
        </w:rPr>
        <w:t>Leczenie hydroksyzyną należy przerwać, jeśli wystąpią objawy przedmiotowe lub podmiotowe, które mogą być związane z zaburzeniami rytmu serca. Pacjenci powinni natychmiast zgłosić się do lekarza.</w:t>
      </w:r>
    </w:p>
    <w:p w14:paraId="4687C558" w14:textId="77777777" w:rsidR="00D33C5F" w:rsidRPr="007F2887" w:rsidRDefault="00D33C5F" w:rsidP="006435BE">
      <w:pPr>
        <w:autoSpaceDE w:val="0"/>
        <w:autoSpaceDN w:val="0"/>
        <w:adjustRightInd w:val="0"/>
        <w:rPr>
          <w:sz w:val="22"/>
          <w:szCs w:val="22"/>
          <w:lang w:val="nb-NO"/>
        </w:rPr>
      </w:pPr>
    </w:p>
    <w:p w14:paraId="61AA9842" w14:textId="77777777" w:rsidR="00D33C5F" w:rsidRPr="007F2887" w:rsidRDefault="00D33C5F" w:rsidP="006435BE">
      <w:pPr>
        <w:autoSpaceDE w:val="0"/>
        <w:autoSpaceDN w:val="0"/>
        <w:adjustRightInd w:val="0"/>
        <w:rPr>
          <w:sz w:val="22"/>
          <w:szCs w:val="22"/>
          <w:lang w:val="nb-NO"/>
        </w:rPr>
      </w:pPr>
      <w:r w:rsidRPr="007F2887">
        <w:rPr>
          <w:sz w:val="22"/>
          <w:szCs w:val="22"/>
          <w:lang w:val="nb-NO"/>
        </w:rPr>
        <w:t>Należy poinstruować pacjentów, by niezwłocznie zgłaszali wszelkie objawy związane z sercem.</w:t>
      </w:r>
    </w:p>
    <w:p w14:paraId="68A00D44" w14:textId="77777777" w:rsidR="00D33C5F" w:rsidRPr="007F2887" w:rsidRDefault="00D33C5F" w:rsidP="006435BE">
      <w:pPr>
        <w:autoSpaceDE w:val="0"/>
        <w:autoSpaceDN w:val="0"/>
        <w:adjustRightInd w:val="0"/>
        <w:rPr>
          <w:sz w:val="22"/>
          <w:szCs w:val="22"/>
          <w:lang w:val="nb-NO"/>
        </w:rPr>
      </w:pPr>
    </w:p>
    <w:p w14:paraId="5F29DC1E" w14:textId="77777777" w:rsidR="00D33C5F" w:rsidRPr="003E6209" w:rsidRDefault="00D33C5F" w:rsidP="004C57A8">
      <w:pPr>
        <w:spacing w:before="1" w:line="254" w:lineRule="exact"/>
        <w:ind w:right="53"/>
        <w:jc w:val="both"/>
        <w:rPr>
          <w:sz w:val="22"/>
          <w:szCs w:val="22"/>
          <w:u w:val="single"/>
          <w:lang w:val="pl-PL"/>
        </w:rPr>
      </w:pPr>
      <w:r w:rsidRPr="003E6209">
        <w:rPr>
          <w:sz w:val="22"/>
          <w:szCs w:val="22"/>
          <w:u w:val="single"/>
          <w:lang w:val="pl-PL"/>
        </w:rPr>
        <w:t>Dzieci i młodzież</w:t>
      </w:r>
    </w:p>
    <w:p w14:paraId="63EE52BF" w14:textId="77777777" w:rsidR="00D33C5F" w:rsidRPr="007F2887" w:rsidRDefault="00D33C5F" w:rsidP="004C57A8">
      <w:pPr>
        <w:spacing w:before="1" w:line="254" w:lineRule="exact"/>
        <w:ind w:right="53"/>
        <w:jc w:val="both"/>
        <w:rPr>
          <w:sz w:val="22"/>
          <w:szCs w:val="22"/>
          <w:lang w:val="pl-PL" w:eastAsia="en-US"/>
        </w:rPr>
      </w:pPr>
      <w:r w:rsidRPr="003E6209">
        <w:rPr>
          <w:sz w:val="22"/>
          <w:szCs w:val="22"/>
          <w:lang w:val="pl-PL"/>
        </w:rPr>
        <w:t>Małe dzieci są bardziej narażone na wystąpienie działań niepożądanych dotyczących ośrodkowego układu nerwowego (patrz punkt 4.8). Występowanie drgawek zgłaszano u dzieci częściej, niż u osób dorosłych.</w:t>
      </w:r>
    </w:p>
    <w:p w14:paraId="48E96026" w14:textId="77777777" w:rsidR="00D33C5F" w:rsidRPr="003E6209" w:rsidRDefault="00D33C5F" w:rsidP="006435BE">
      <w:pPr>
        <w:autoSpaceDE w:val="0"/>
        <w:autoSpaceDN w:val="0"/>
        <w:adjustRightInd w:val="0"/>
        <w:rPr>
          <w:sz w:val="22"/>
          <w:szCs w:val="22"/>
          <w:u w:val="single"/>
          <w:lang w:val="nb-NO"/>
        </w:rPr>
      </w:pPr>
    </w:p>
    <w:p w14:paraId="3C1A67D3" w14:textId="77777777" w:rsidR="00D33C5F" w:rsidRPr="003E6209" w:rsidRDefault="00D33C5F" w:rsidP="006435BE">
      <w:pPr>
        <w:autoSpaceDE w:val="0"/>
        <w:autoSpaceDN w:val="0"/>
        <w:adjustRightInd w:val="0"/>
        <w:rPr>
          <w:sz w:val="22"/>
          <w:szCs w:val="22"/>
          <w:u w:val="single"/>
          <w:lang w:val="nb-NO"/>
        </w:rPr>
      </w:pPr>
      <w:bookmarkStart w:id="0" w:name="_Hlk54270953"/>
      <w:r w:rsidRPr="003E6209">
        <w:rPr>
          <w:sz w:val="22"/>
          <w:szCs w:val="22"/>
          <w:u w:val="single"/>
          <w:lang w:val="nb-NO"/>
        </w:rPr>
        <w:t>Pacjenci w podeszłym wieku</w:t>
      </w:r>
    </w:p>
    <w:p w14:paraId="5C0DD135" w14:textId="77777777" w:rsidR="00D33C5F" w:rsidRPr="00374609" w:rsidRDefault="00D33C5F" w:rsidP="006435BE">
      <w:pPr>
        <w:autoSpaceDE w:val="0"/>
        <w:autoSpaceDN w:val="0"/>
        <w:adjustRightInd w:val="0"/>
        <w:rPr>
          <w:sz w:val="22"/>
          <w:szCs w:val="22"/>
          <w:lang w:val="nb-NO"/>
        </w:rPr>
      </w:pPr>
      <w:r w:rsidRPr="007F2887">
        <w:rPr>
          <w:sz w:val="22"/>
          <w:szCs w:val="22"/>
          <w:lang w:val="nb-NO"/>
        </w:rPr>
        <w:t xml:space="preserve">Nie zaleca się stosowania hydroksyzyny u pacjentów w podeszłym wieku, ze względu na zmniejszoną eliminację hydroksyzyny w tej grupie pacjentów, w porównaniu do pacjentów dorosłych, oraz </w:t>
      </w:r>
      <w:r w:rsidR="00D82D4E">
        <w:rPr>
          <w:sz w:val="22"/>
          <w:szCs w:val="22"/>
          <w:lang w:val="nb-NO"/>
        </w:rPr>
        <w:br/>
      </w:r>
      <w:r w:rsidRPr="007F2887">
        <w:rPr>
          <w:sz w:val="22"/>
          <w:szCs w:val="22"/>
          <w:lang w:val="nb-NO"/>
        </w:rPr>
        <w:t>ze względu na zwiększone ryzyko wystąpienia działań niepożądanych (np. działanie przeciwcholinergiczne) (patrz punkty 4.2 i 4.8).</w:t>
      </w:r>
    </w:p>
    <w:bookmarkEnd w:id="0"/>
    <w:p w14:paraId="191FCA01" w14:textId="77777777" w:rsidR="00D33C5F" w:rsidRPr="00374609" w:rsidRDefault="00D33C5F" w:rsidP="006435BE">
      <w:pPr>
        <w:autoSpaceDE w:val="0"/>
        <w:autoSpaceDN w:val="0"/>
        <w:adjustRightInd w:val="0"/>
        <w:rPr>
          <w:sz w:val="22"/>
          <w:szCs w:val="22"/>
          <w:lang w:val="nb-NO"/>
        </w:rPr>
      </w:pPr>
    </w:p>
    <w:p w14:paraId="7395437B" w14:textId="77777777" w:rsidR="00D33C5F" w:rsidRPr="003E6209" w:rsidRDefault="00D33C5F" w:rsidP="004C57A8">
      <w:pPr>
        <w:autoSpaceDE w:val="0"/>
        <w:autoSpaceDN w:val="0"/>
        <w:adjustRightInd w:val="0"/>
        <w:rPr>
          <w:sz w:val="22"/>
          <w:szCs w:val="22"/>
          <w:u w:val="single"/>
          <w:lang w:val="pl-PL"/>
        </w:rPr>
      </w:pPr>
      <w:r w:rsidRPr="003E6209">
        <w:rPr>
          <w:sz w:val="22"/>
          <w:szCs w:val="22"/>
          <w:u w:val="single"/>
          <w:lang w:val="pl-PL"/>
        </w:rPr>
        <w:t>Pacjenci z niewydolnością wątroby i osoby z umiarkowaną lub ciężką niewydolnością nerek</w:t>
      </w:r>
    </w:p>
    <w:p w14:paraId="404AAB96" w14:textId="77777777" w:rsidR="00D33C5F" w:rsidRPr="003E6209" w:rsidRDefault="00D33C5F" w:rsidP="003E6209">
      <w:pPr>
        <w:spacing w:before="1" w:line="254" w:lineRule="exact"/>
        <w:ind w:right="53"/>
        <w:jc w:val="both"/>
        <w:rPr>
          <w:sz w:val="22"/>
          <w:szCs w:val="22"/>
          <w:lang w:val="nb-NO"/>
        </w:rPr>
      </w:pPr>
      <w:r w:rsidRPr="003E6209">
        <w:rPr>
          <w:sz w:val="22"/>
          <w:szCs w:val="22"/>
          <w:lang w:val="pl-PL"/>
        </w:rPr>
        <w:t>U pacjentów z niewydolnością wątroby i u osób z umiarkowaną lub ciężką niewydolnością nerek</w:t>
      </w:r>
      <w:r w:rsidRPr="00374609">
        <w:rPr>
          <w:sz w:val="22"/>
          <w:szCs w:val="22"/>
          <w:lang w:val="pl-PL"/>
        </w:rPr>
        <w:t xml:space="preserve"> </w:t>
      </w:r>
      <w:r w:rsidRPr="003E6209">
        <w:rPr>
          <w:sz w:val="22"/>
          <w:szCs w:val="22"/>
          <w:lang w:val="pl-PL"/>
        </w:rPr>
        <w:t>należy zmniejszyć stosowane dawki (patrz punkt 4.2)</w:t>
      </w:r>
    </w:p>
    <w:p w14:paraId="0BA57489" w14:textId="77777777" w:rsidR="00D33C5F" w:rsidRPr="00374609" w:rsidRDefault="00D33C5F" w:rsidP="00C51997">
      <w:pPr>
        <w:autoSpaceDE w:val="0"/>
        <w:autoSpaceDN w:val="0"/>
        <w:adjustRightInd w:val="0"/>
        <w:rPr>
          <w:sz w:val="22"/>
          <w:szCs w:val="22"/>
          <w:lang w:val="nb-NO"/>
        </w:rPr>
      </w:pPr>
    </w:p>
    <w:p w14:paraId="1256E782" w14:textId="31AA9659" w:rsidR="00227B58" w:rsidRPr="00261964" w:rsidRDefault="00261964" w:rsidP="00227B58">
      <w:pPr>
        <w:autoSpaceDE w:val="0"/>
        <w:autoSpaceDN w:val="0"/>
        <w:adjustRightInd w:val="0"/>
        <w:rPr>
          <w:i/>
          <w:sz w:val="22"/>
          <w:szCs w:val="22"/>
          <w:lang w:val="pl-PL"/>
        </w:rPr>
      </w:pPr>
      <w:r w:rsidRPr="003E277A">
        <w:rPr>
          <w:iCs/>
          <w:sz w:val="22"/>
          <w:szCs w:val="22"/>
          <w:u w:val="single"/>
          <w:lang w:val="pl-PL"/>
        </w:rPr>
        <w:t>Hydroxyzinum VP zawiera m</w:t>
      </w:r>
      <w:r w:rsidR="00227B58" w:rsidRPr="003E277A">
        <w:rPr>
          <w:iCs/>
          <w:sz w:val="22"/>
          <w:szCs w:val="22"/>
          <w:u w:val="single"/>
          <w:lang w:val="pl-PL"/>
        </w:rPr>
        <w:t>altitol ciekły</w:t>
      </w:r>
    </w:p>
    <w:p w14:paraId="2AFC1FFF" w14:textId="77777777" w:rsidR="00227B58" w:rsidRPr="001908CC" w:rsidRDefault="00227B58" w:rsidP="00227B58">
      <w:pPr>
        <w:autoSpaceDE w:val="0"/>
        <w:autoSpaceDN w:val="0"/>
        <w:adjustRightInd w:val="0"/>
        <w:rPr>
          <w:sz w:val="22"/>
          <w:szCs w:val="22"/>
          <w:lang w:val="pl-PL"/>
        </w:rPr>
      </w:pPr>
      <w:r w:rsidRPr="001908CC">
        <w:rPr>
          <w:sz w:val="22"/>
          <w:szCs w:val="22"/>
          <w:lang w:val="pl-PL"/>
        </w:rPr>
        <w:t>Produkt leczniczy może mieć lekkie działanie przeczyszczające. Wartość kaloryczna 2,3 kcal/g.</w:t>
      </w:r>
    </w:p>
    <w:p w14:paraId="25645533" w14:textId="77777777" w:rsidR="00227B58" w:rsidRPr="001908CC" w:rsidRDefault="00227B58" w:rsidP="00227B58">
      <w:pPr>
        <w:autoSpaceDE w:val="0"/>
        <w:autoSpaceDN w:val="0"/>
        <w:adjustRightInd w:val="0"/>
        <w:rPr>
          <w:sz w:val="22"/>
          <w:szCs w:val="22"/>
          <w:lang w:val="pl-PL"/>
        </w:rPr>
      </w:pPr>
      <w:r w:rsidRPr="001908CC">
        <w:rPr>
          <w:sz w:val="22"/>
          <w:szCs w:val="22"/>
          <w:lang w:val="pl-PL"/>
        </w:rPr>
        <w:t xml:space="preserve">Produkt leczniczy nie powinien być stosowany u pacjentów z rzadko występującą dziedziczną nietolerancją fruktozy. </w:t>
      </w:r>
    </w:p>
    <w:p w14:paraId="5594AD26" w14:textId="77777777" w:rsidR="00D33C5F" w:rsidRDefault="00D33C5F" w:rsidP="00C51997">
      <w:pPr>
        <w:autoSpaceDE w:val="0"/>
        <w:autoSpaceDN w:val="0"/>
        <w:adjustRightInd w:val="0"/>
        <w:rPr>
          <w:sz w:val="22"/>
          <w:szCs w:val="22"/>
          <w:lang w:val="pl-PL"/>
        </w:rPr>
      </w:pPr>
    </w:p>
    <w:p w14:paraId="43C361A6" w14:textId="766756A6" w:rsidR="00227B58" w:rsidRPr="003E277A" w:rsidRDefault="00261964" w:rsidP="00227B58">
      <w:pPr>
        <w:autoSpaceDE w:val="0"/>
        <w:autoSpaceDN w:val="0"/>
        <w:adjustRightInd w:val="0"/>
        <w:rPr>
          <w:i/>
          <w:sz w:val="22"/>
          <w:szCs w:val="22"/>
          <w:u w:val="single"/>
          <w:lang w:val="pl-PL"/>
        </w:rPr>
      </w:pPr>
      <w:bookmarkStart w:id="1" w:name="_Hlk54270925"/>
      <w:r w:rsidRPr="00261964">
        <w:rPr>
          <w:iCs/>
          <w:sz w:val="22"/>
          <w:szCs w:val="22"/>
          <w:u w:val="single"/>
          <w:lang w:val="pl-PL"/>
        </w:rPr>
        <w:t xml:space="preserve">Hydroxyzinum VP zawiera </w:t>
      </w:r>
      <w:r w:rsidRPr="003E277A">
        <w:rPr>
          <w:iCs/>
          <w:sz w:val="22"/>
          <w:szCs w:val="22"/>
          <w:u w:val="single"/>
          <w:lang w:val="pl-PL"/>
        </w:rPr>
        <w:t>s</w:t>
      </w:r>
      <w:r w:rsidR="00227B58" w:rsidRPr="003E277A">
        <w:rPr>
          <w:iCs/>
          <w:sz w:val="22"/>
          <w:szCs w:val="22"/>
          <w:u w:val="single"/>
          <w:lang w:val="pl-PL"/>
        </w:rPr>
        <w:t xml:space="preserve">ód </w:t>
      </w:r>
    </w:p>
    <w:p w14:paraId="3985E4C9" w14:textId="77777777" w:rsidR="00227B58" w:rsidRPr="006D0181" w:rsidRDefault="00227B58" w:rsidP="00227B58">
      <w:pPr>
        <w:autoSpaceDE w:val="0"/>
        <w:autoSpaceDN w:val="0"/>
        <w:adjustRightInd w:val="0"/>
        <w:rPr>
          <w:sz w:val="22"/>
          <w:szCs w:val="22"/>
          <w:lang w:val="pl-PL"/>
        </w:rPr>
      </w:pPr>
      <w:r w:rsidRPr="00713795">
        <w:rPr>
          <w:sz w:val="22"/>
          <w:szCs w:val="22"/>
          <w:lang w:val="pl-PL"/>
        </w:rPr>
        <w:t xml:space="preserve">Produkt leczniczy  zawiera mniej niż 1 mmol (23 mg) sodu na </w:t>
      </w:r>
      <w:r w:rsidRPr="002D764B">
        <w:rPr>
          <w:color w:val="000000"/>
          <w:sz w:val="22"/>
          <w:szCs w:val="22"/>
          <w:lang w:val="pl-PL"/>
        </w:rPr>
        <w:t>50 ml (co odpowiada maksymalnej dawce dobowej),</w:t>
      </w:r>
      <w:r w:rsidRPr="00713795" w:rsidDel="000C0E5C">
        <w:rPr>
          <w:sz w:val="22"/>
          <w:szCs w:val="22"/>
          <w:lang w:val="pl-PL"/>
        </w:rPr>
        <w:t xml:space="preserve"> </w:t>
      </w:r>
      <w:r w:rsidRPr="00713795">
        <w:rPr>
          <w:sz w:val="22"/>
          <w:szCs w:val="22"/>
          <w:lang w:val="pl-PL"/>
        </w:rPr>
        <w:t xml:space="preserve">to znaczy produkt </w:t>
      </w:r>
      <w:r w:rsidRPr="006D0181">
        <w:rPr>
          <w:sz w:val="22"/>
          <w:szCs w:val="22"/>
          <w:lang w:val="pl-PL"/>
        </w:rPr>
        <w:t xml:space="preserve"> uznaje się za „wolny od sodu”. </w:t>
      </w:r>
    </w:p>
    <w:bookmarkEnd w:id="1"/>
    <w:p w14:paraId="60A6D7CC" w14:textId="77777777" w:rsidR="00227B58" w:rsidRPr="003E277A" w:rsidRDefault="00227B58" w:rsidP="00227B58">
      <w:pPr>
        <w:autoSpaceDE w:val="0"/>
        <w:autoSpaceDN w:val="0"/>
        <w:adjustRightInd w:val="0"/>
        <w:rPr>
          <w:sz w:val="22"/>
          <w:szCs w:val="22"/>
          <w:u w:val="single"/>
          <w:lang w:val="pl-PL"/>
        </w:rPr>
      </w:pPr>
    </w:p>
    <w:p w14:paraId="7BB192B5" w14:textId="042FB7F1" w:rsidR="00227B58" w:rsidRPr="003E277A" w:rsidRDefault="00261964" w:rsidP="00227B58">
      <w:pPr>
        <w:autoSpaceDE w:val="0"/>
        <w:autoSpaceDN w:val="0"/>
        <w:adjustRightInd w:val="0"/>
        <w:rPr>
          <w:i/>
          <w:sz w:val="22"/>
          <w:szCs w:val="22"/>
          <w:u w:val="single"/>
          <w:lang w:val="pl-PL"/>
        </w:rPr>
      </w:pPr>
      <w:r w:rsidRPr="003E277A">
        <w:rPr>
          <w:iCs/>
          <w:sz w:val="22"/>
          <w:szCs w:val="22"/>
          <w:u w:val="single"/>
          <w:lang w:val="pl-PL"/>
        </w:rPr>
        <w:t>Hydroxyzinum VP zawiera g</w:t>
      </w:r>
      <w:r w:rsidR="00227B58" w:rsidRPr="003E277A">
        <w:rPr>
          <w:iCs/>
          <w:sz w:val="22"/>
          <w:szCs w:val="22"/>
          <w:u w:val="single"/>
          <w:lang w:val="pl-PL"/>
        </w:rPr>
        <w:t>likol propylenowy</w:t>
      </w:r>
    </w:p>
    <w:p w14:paraId="665635A5" w14:textId="35B0541F" w:rsidR="00227B58" w:rsidRPr="001908CC" w:rsidRDefault="00227B58" w:rsidP="00227B58">
      <w:pPr>
        <w:rPr>
          <w:sz w:val="22"/>
          <w:szCs w:val="22"/>
          <w:lang w:val="pl-PL"/>
        </w:rPr>
      </w:pPr>
      <w:r w:rsidRPr="001908CC">
        <w:rPr>
          <w:sz w:val="22"/>
          <w:szCs w:val="22"/>
          <w:lang w:val="pl-PL"/>
        </w:rPr>
        <w:t xml:space="preserve">Produkt leczniczy zawiera </w:t>
      </w:r>
      <w:r w:rsidR="001810EC">
        <w:rPr>
          <w:sz w:val="22"/>
          <w:szCs w:val="22"/>
          <w:lang w:val="pl-PL"/>
        </w:rPr>
        <w:t>5,16</w:t>
      </w:r>
      <w:r w:rsidRPr="001908CC">
        <w:rPr>
          <w:sz w:val="22"/>
          <w:szCs w:val="22"/>
          <w:lang w:val="pl-PL"/>
        </w:rPr>
        <w:t xml:space="preserve"> mg glikolu propylenowego w 1 ml roztworu, co stanowi ekwiwalent 2</w:t>
      </w:r>
      <w:r w:rsidR="001810EC">
        <w:rPr>
          <w:sz w:val="22"/>
          <w:szCs w:val="22"/>
          <w:lang w:val="pl-PL"/>
        </w:rPr>
        <w:t>58</w:t>
      </w:r>
      <w:r w:rsidRPr="001908CC">
        <w:rPr>
          <w:sz w:val="22"/>
          <w:szCs w:val="22"/>
          <w:lang w:val="pl-PL"/>
        </w:rPr>
        <w:t xml:space="preserve"> mg/ 50 ml.</w:t>
      </w:r>
    </w:p>
    <w:p w14:paraId="1454D994" w14:textId="37F29EC9" w:rsidR="00227B58" w:rsidRDefault="00227B58" w:rsidP="00227B58">
      <w:pPr>
        <w:autoSpaceDE w:val="0"/>
        <w:autoSpaceDN w:val="0"/>
        <w:adjustRightInd w:val="0"/>
        <w:rPr>
          <w:sz w:val="22"/>
          <w:szCs w:val="22"/>
          <w:lang w:val="pl-PL"/>
        </w:rPr>
      </w:pPr>
      <w:r w:rsidRPr="002D764B">
        <w:rPr>
          <w:sz w:val="22"/>
          <w:szCs w:val="22"/>
          <w:lang w:val="pl-PL"/>
        </w:rPr>
        <w:t>Jednoczesne podawanie z innymi substratami dehydrogenazy alkoholowej, takimi jak etanol</w:t>
      </w:r>
      <w:r w:rsidR="00F66299">
        <w:rPr>
          <w:sz w:val="22"/>
          <w:szCs w:val="22"/>
          <w:lang w:val="pl-PL"/>
        </w:rPr>
        <w:t>,</w:t>
      </w:r>
      <w:r w:rsidRPr="002D764B">
        <w:rPr>
          <w:sz w:val="22"/>
          <w:szCs w:val="22"/>
          <w:lang w:val="pl-PL"/>
        </w:rPr>
        <w:t xml:space="preserve"> może powodować ciężkie działania niepożądane u</w:t>
      </w:r>
      <w:r>
        <w:rPr>
          <w:sz w:val="22"/>
          <w:szCs w:val="22"/>
          <w:lang w:val="pl-PL"/>
        </w:rPr>
        <w:t xml:space="preserve"> noworodków.</w:t>
      </w:r>
    </w:p>
    <w:p w14:paraId="162BC60E" w14:textId="77777777" w:rsidR="00227B58" w:rsidRDefault="00227B58" w:rsidP="00227B58">
      <w:pPr>
        <w:autoSpaceDE w:val="0"/>
        <w:autoSpaceDN w:val="0"/>
        <w:adjustRightInd w:val="0"/>
        <w:rPr>
          <w:sz w:val="22"/>
          <w:szCs w:val="22"/>
          <w:lang w:val="pl-PL"/>
        </w:rPr>
      </w:pPr>
    </w:p>
    <w:p w14:paraId="2859BEE9" w14:textId="3B3F5576" w:rsidR="00227B58" w:rsidRPr="003E277A" w:rsidRDefault="00261964" w:rsidP="00227B58">
      <w:pPr>
        <w:autoSpaceDE w:val="0"/>
        <w:autoSpaceDN w:val="0"/>
        <w:adjustRightInd w:val="0"/>
        <w:rPr>
          <w:i/>
          <w:sz w:val="22"/>
          <w:szCs w:val="22"/>
          <w:u w:val="single"/>
          <w:lang w:val="pl-PL"/>
        </w:rPr>
      </w:pPr>
      <w:r w:rsidRPr="003E277A">
        <w:rPr>
          <w:iCs/>
          <w:sz w:val="22"/>
          <w:szCs w:val="22"/>
          <w:u w:val="single"/>
          <w:lang w:val="pl-PL"/>
        </w:rPr>
        <w:t>Hydroxyzinum VP zawiera b</w:t>
      </w:r>
      <w:r w:rsidR="00227B58" w:rsidRPr="003E277A">
        <w:rPr>
          <w:iCs/>
          <w:sz w:val="22"/>
          <w:szCs w:val="22"/>
          <w:u w:val="single"/>
          <w:lang w:val="pl-PL"/>
        </w:rPr>
        <w:t>enzoesan sodu</w:t>
      </w:r>
    </w:p>
    <w:p w14:paraId="15FDB07D" w14:textId="4897EC3F" w:rsidR="00227B58" w:rsidRDefault="00227B58" w:rsidP="00227B58">
      <w:pPr>
        <w:autoSpaceDE w:val="0"/>
        <w:autoSpaceDN w:val="0"/>
        <w:adjustRightInd w:val="0"/>
        <w:rPr>
          <w:color w:val="000000"/>
          <w:sz w:val="22"/>
          <w:szCs w:val="22"/>
          <w:lang w:val="pl-PL"/>
        </w:rPr>
      </w:pPr>
      <w:r w:rsidRPr="002D764B">
        <w:rPr>
          <w:color w:val="000000"/>
          <w:sz w:val="22"/>
          <w:szCs w:val="22"/>
          <w:lang w:val="pl-PL"/>
        </w:rPr>
        <w:t>Produkt leczniczy zawiera 2 mg soli kwasu benzoesowego w 1 ml co odpowiada 100 mg/</w:t>
      </w:r>
      <w:r w:rsidR="001810EC">
        <w:rPr>
          <w:color w:val="000000"/>
          <w:sz w:val="22"/>
          <w:szCs w:val="22"/>
          <w:lang w:val="pl-PL"/>
        </w:rPr>
        <w:t xml:space="preserve"> </w:t>
      </w:r>
      <w:r w:rsidRPr="002D764B">
        <w:rPr>
          <w:color w:val="000000"/>
          <w:sz w:val="22"/>
          <w:szCs w:val="22"/>
          <w:lang w:val="pl-PL"/>
        </w:rPr>
        <w:t>50 ml</w:t>
      </w:r>
      <w:r>
        <w:rPr>
          <w:color w:val="000000"/>
          <w:sz w:val="22"/>
          <w:szCs w:val="22"/>
          <w:lang w:val="pl-PL"/>
        </w:rPr>
        <w:t>.</w:t>
      </w:r>
    </w:p>
    <w:p w14:paraId="40685598" w14:textId="77777777" w:rsidR="00227B58" w:rsidRPr="002D764B" w:rsidRDefault="00227B58" w:rsidP="00227B58">
      <w:pPr>
        <w:rPr>
          <w:color w:val="000000"/>
          <w:sz w:val="22"/>
          <w:szCs w:val="22"/>
          <w:lang w:val="pl-PL"/>
        </w:rPr>
      </w:pPr>
      <w:r w:rsidRPr="0084173F">
        <w:rPr>
          <w:color w:val="000000"/>
          <w:sz w:val="22"/>
          <w:szCs w:val="22"/>
          <w:lang w:val="pl-PL"/>
        </w:rPr>
        <w:lastRenderedPageBreak/>
        <w:t>Zwiększona bilirubinemia występująca w następstwie</w:t>
      </w:r>
      <w:r>
        <w:rPr>
          <w:color w:val="000000"/>
          <w:sz w:val="22"/>
          <w:szCs w:val="22"/>
          <w:lang w:val="pl-PL"/>
        </w:rPr>
        <w:t xml:space="preserve"> </w:t>
      </w:r>
      <w:r w:rsidRPr="0084173F">
        <w:rPr>
          <w:color w:val="000000"/>
          <w:sz w:val="22"/>
          <w:szCs w:val="22"/>
          <w:lang w:val="pl-PL"/>
        </w:rPr>
        <w:t>wypierania z albuminy może zwiększać ryzyko żółtaczki u</w:t>
      </w:r>
      <w:r>
        <w:rPr>
          <w:color w:val="000000"/>
          <w:sz w:val="22"/>
          <w:szCs w:val="22"/>
          <w:lang w:val="pl-PL"/>
        </w:rPr>
        <w:t xml:space="preserve"> </w:t>
      </w:r>
      <w:r w:rsidRPr="0084173F">
        <w:rPr>
          <w:color w:val="000000"/>
          <w:sz w:val="22"/>
          <w:szCs w:val="22"/>
          <w:lang w:val="pl-PL"/>
        </w:rPr>
        <w:t>noworodk</w:t>
      </w:r>
      <w:r>
        <w:rPr>
          <w:color w:val="000000"/>
          <w:sz w:val="22"/>
          <w:szCs w:val="22"/>
          <w:lang w:val="pl-PL"/>
        </w:rPr>
        <w:t>ó</w:t>
      </w:r>
      <w:r w:rsidRPr="0084173F">
        <w:rPr>
          <w:color w:val="000000"/>
          <w:sz w:val="22"/>
          <w:szCs w:val="22"/>
          <w:lang w:val="pl-PL"/>
        </w:rPr>
        <w:t>w, kt</w:t>
      </w:r>
      <w:r>
        <w:rPr>
          <w:color w:val="000000"/>
          <w:sz w:val="22"/>
          <w:szCs w:val="22"/>
          <w:lang w:val="pl-PL"/>
        </w:rPr>
        <w:t>ó</w:t>
      </w:r>
      <w:r w:rsidRPr="0084173F">
        <w:rPr>
          <w:color w:val="000000"/>
          <w:sz w:val="22"/>
          <w:szCs w:val="22"/>
          <w:lang w:val="pl-PL"/>
        </w:rPr>
        <w:t>ra może rozwinąć się w żółtaczkę jąder</w:t>
      </w:r>
      <w:r>
        <w:rPr>
          <w:color w:val="000000"/>
          <w:sz w:val="22"/>
          <w:szCs w:val="22"/>
          <w:lang w:val="pl-PL"/>
        </w:rPr>
        <w:t xml:space="preserve"> </w:t>
      </w:r>
      <w:r w:rsidRPr="0084173F">
        <w:rPr>
          <w:color w:val="000000"/>
          <w:sz w:val="22"/>
          <w:szCs w:val="22"/>
          <w:lang w:val="pl-PL"/>
        </w:rPr>
        <w:t>podkorowych m</w:t>
      </w:r>
      <w:r>
        <w:rPr>
          <w:color w:val="000000"/>
          <w:sz w:val="22"/>
          <w:szCs w:val="22"/>
          <w:lang w:val="pl-PL"/>
        </w:rPr>
        <w:t>ó</w:t>
      </w:r>
      <w:r w:rsidRPr="0084173F">
        <w:rPr>
          <w:color w:val="000000"/>
          <w:sz w:val="22"/>
          <w:szCs w:val="22"/>
          <w:lang w:val="pl-PL"/>
        </w:rPr>
        <w:t>zgu (złogi niesprzężonej bilirubiny w</w:t>
      </w:r>
      <w:r>
        <w:rPr>
          <w:color w:val="000000"/>
          <w:sz w:val="22"/>
          <w:szCs w:val="22"/>
          <w:lang w:val="pl-PL"/>
        </w:rPr>
        <w:t xml:space="preserve"> </w:t>
      </w:r>
      <w:r w:rsidRPr="0084173F">
        <w:rPr>
          <w:color w:val="000000"/>
          <w:sz w:val="22"/>
          <w:szCs w:val="22"/>
          <w:lang w:val="pl-PL"/>
        </w:rPr>
        <w:t>tkance m</w:t>
      </w:r>
      <w:r>
        <w:rPr>
          <w:color w:val="000000"/>
          <w:sz w:val="22"/>
          <w:szCs w:val="22"/>
          <w:lang w:val="pl-PL"/>
        </w:rPr>
        <w:t>ó</w:t>
      </w:r>
      <w:r w:rsidRPr="0084173F">
        <w:rPr>
          <w:color w:val="000000"/>
          <w:sz w:val="22"/>
          <w:szCs w:val="22"/>
          <w:lang w:val="pl-PL"/>
        </w:rPr>
        <w:t>zgowej).</w:t>
      </w:r>
    </w:p>
    <w:p w14:paraId="627A94F7" w14:textId="77777777" w:rsidR="00D33C5F" w:rsidRPr="00374609" w:rsidRDefault="00D33C5F" w:rsidP="00C51997">
      <w:pPr>
        <w:autoSpaceDE w:val="0"/>
        <w:autoSpaceDN w:val="0"/>
        <w:adjustRightInd w:val="0"/>
        <w:rPr>
          <w:sz w:val="22"/>
          <w:szCs w:val="22"/>
          <w:lang w:val="pl-PL"/>
        </w:rPr>
      </w:pPr>
    </w:p>
    <w:p w14:paraId="13B1A924"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4.5</w:t>
      </w:r>
      <w:r w:rsidRPr="00374609">
        <w:rPr>
          <w:b/>
          <w:bCs/>
          <w:iCs/>
          <w:sz w:val="22"/>
          <w:szCs w:val="22"/>
          <w:lang w:val="pl-PL"/>
        </w:rPr>
        <w:tab/>
      </w:r>
      <w:r w:rsidRPr="00374609">
        <w:rPr>
          <w:b/>
          <w:bCs/>
          <w:sz w:val="22"/>
          <w:szCs w:val="22"/>
          <w:lang w:val="pl-PL"/>
        </w:rPr>
        <w:t>Interakcje z innymi produktami leczniczymi i inne rodzaje interakcji</w:t>
      </w:r>
    </w:p>
    <w:p w14:paraId="21B282A7" w14:textId="77777777" w:rsidR="00D33C5F" w:rsidRPr="00374609" w:rsidRDefault="00D33C5F" w:rsidP="00F05A4A">
      <w:pPr>
        <w:tabs>
          <w:tab w:val="left" w:pos="540"/>
        </w:tabs>
        <w:autoSpaceDE w:val="0"/>
        <w:autoSpaceDN w:val="0"/>
        <w:adjustRightInd w:val="0"/>
        <w:rPr>
          <w:b/>
          <w:bCs/>
          <w:sz w:val="22"/>
          <w:szCs w:val="22"/>
          <w:lang w:val="pl-PL"/>
        </w:rPr>
      </w:pPr>
    </w:p>
    <w:p w14:paraId="584AF976" w14:textId="1A47E2EA" w:rsidR="00D33C5F" w:rsidRPr="003E6209" w:rsidRDefault="00D33C5F" w:rsidP="004C57A8">
      <w:pPr>
        <w:autoSpaceDE w:val="0"/>
        <w:autoSpaceDN w:val="0"/>
        <w:adjustRightInd w:val="0"/>
        <w:rPr>
          <w:sz w:val="22"/>
          <w:szCs w:val="22"/>
          <w:u w:val="single"/>
          <w:lang w:val="nb-NO"/>
        </w:rPr>
      </w:pPr>
      <w:r w:rsidRPr="003E6209">
        <w:rPr>
          <w:sz w:val="22"/>
          <w:szCs w:val="22"/>
          <w:u w:val="single"/>
          <w:lang w:val="nb-NO"/>
        </w:rPr>
        <w:t>Połączenia przeciw</w:t>
      </w:r>
      <w:r w:rsidR="005426AA">
        <w:rPr>
          <w:sz w:val="22"/>
          <w:szCs w:val="22"/>
          <w:u w:val="single"/>
          <w:lang w:val="nb-NO"/>
        </w:rPr>
        <w:t>w</w:t>
      </w:r>
      <w:r w:rsidRPr="003E6209">
        <w:rPr>
          <w:sz w:val="22"/>
          <w:szCs w:val="22"/>
          <w:u w:val="single"/>
          <w:lang w:val="nb-NO"/>
        </w:rPr>
        <w:t>skazane</w:t>
      </w:r>
    </w:p>
    <w:p w14:paraId="4F5117EE" w14:textId="77777777" w:rsidR="00D33C5F" w:rsidRPr="00D82D4E" w:rsidRDefault="00D33C5F" w:rsidP="004C57A8">
      <w:pPr>
        <w:autoSpaceDE w:val="0"/>
        <w:autoSpaceDN w:val="0"/>
        <w:adjustRightInd w:val="0"/>
        <w:rPr>
          <w:sz w:val="22"/>
          <w:szCs w:val="22"/>
          <w:lang w:val="nb-NO"/>
        </w:rPr>
      </w:pPr>
      <w:r w:rsidRPr="003E6209">
        <w:rPr>
          <w:sz w:val="22"/>
          <w:szCs w:val="22"/>
          <w:lang w:val="nb-NO"/>
        </w:rPr>
        <w:t xml:space="preserve">Jednoczesne stosowanie hydroksyzyny z lekami, o których wiadomo, że wydłużają odstęp QT i (lub) wywołują zaburzenia rytmu serca typu </w:t>
      </w:r>
      <w:r w:rsidRPr="005B0438">
        <w:rPr>
          <w:i/>
          <w:sz w:val="22"/>
          <w:szCs w:val="22"/>
          <w:lang w:val="nb-NO"/>
        </w:rPr>
        <w:t>torsade de pointes</w:t>
      </w:r>
      <w:r w:rsidRPr="003E6209">
        <w:rPr>
          <w:sz w:val="22"/>
          <w:szCs w:val="22"/>
          <w:lang w:val="nb-NO"/>
        </w:rPr>
        <w:t>, np. z lekami przeciwarytmicznymi klasy IA (np. chinidyna, dyzopiramid), klasy III (np. amiodaron, sotalol), niektórymi lekami przeciwhistaminowymi, niektórymi lekami przeciwpsychotycznymi (np. haloperydol), niektórymi lekami przeciwdepresyjnymi (np. cytalopram, escytalopram), niektórymi lekami przeciwmalarycznymi (np. meflochina), niektórymi antybiotykami (np. erytromycyna, lewofloksacyna, moksyfloksacyna), niektórymi lekami przeciwgrzybiczymi (np. pentamidyna), niektórymi lekami stosowanymi w chorobach układu pokarmowego (np. prukalopryd), niektórymi lekami stosowanymi w leczeniu raka (np. toremifen, wandetanib), metadonem, zwiększa ryzyko zaburzeń rytmu serca. Z tego względu jednoczesne stosowanie tych leków jest przeciwwskazane (patrz punkt 4.3).</w:t>
      </w:r>
    </w:p>
    <w:p w14:paraId="750FED29" w14:textId="77777777" w:rsidR="00D33C5F" w:rsidRPr="003E6209" w:rsidRDefault="00D33C5F" w:rsidP="004C57A8">
      <w:pPr>
        <w:autoSpaceDE w:val="0"/>
        <w:autoSpaceDN w:val="0"/>
        <w:adjustRightInd w:val="0"/>
        <w:rPr>
          <w:sz w:val="22"/>
          <w:szCs w:val="22"/>
          <w:u w:val="single"/>
          <w:lang w:val="nb-NO"/>
        </w:rPr>
      </w:pPr>
      <w:r w:rsidRPr="003E6209">
        <w:rPr>
          <w:sz w:val="22"/>
          <w:szCs w:val="22"/>
          <w:u w:val="single"/>
          <w:lang w:val="nb-NO"/>
        </w:rPr>
        <w:t>Połączenia wymagające zachowania ostrożności</w:t>
      </w:r>
    </w:p>
    <w:p w14:paraId="7F0A26B7" w14:textId="77777777" w:rsidR="00D33C5F" w:rsidRPr="007F2887" w:rsidRDefault="00D33C5F" w:rsidP="004C57A8">
      <w:pPr>
        <w:autoSpaceDE w:val="0"/>
        <w:autoSpaceDN w:val="0"/>
        <w:adjustRightInd w:val="0"/>
        <w:rPr>
          <w:sz w:val="22"/>
          <w:szCs w:val="22"/>
          <w:lang w:val="nb-NO"/>
        </w:rPr>
      </w:pPr>
      <w:r w:rsidRPr="003E6209">
        <w:rPr>
          <w:sz w:val="22"/>
          <w:szCs w:val="22"/>
          <w:lang w:val="nb-NO"/>
        </w:rPr>
        <w:t>Należy zachować ostrożność podczas jednoczesnego stosowania z lekami wywołującymi bradykardię i hipokaliemię.</w:t>
      </w:r>
    </w:p>
    <w:p w14:paraId="437C3F2E" w14:textId="77777777" w:rsidR="00D33C5F" w:rsidRPr="007F2887" w:rsidRDefault="00D33C5F" w:rsidP="004C57A8">
      <w:pPr>
        <w:autoSpaceDE w:val="0"/>
        <w:autoSpaceDN w:val="0"/>
        <w:adjustRightInd w:val="0"/>
        <w:rPr>
          <w:sz w:val="22"/>
          <w:szCs w:val="22"/>
          <w:lang w:val="pl-PL"/>
        </w:rPr>
      </w:pPr>
    </w:p>
    <w:p w14:paraId="10909591" w14:textId="77777777" w:rsidR="00D33C5F" w:rsidRPr="00374609" w:rsidRDefault="00D33C5F" w:rsidP="004C57A8">
      <w:pPr>
        <w:autoSpaceDE w:val="0"/>
        <w:autoSpaceDN w:val="0"/>
        <w:adjustRightInd w:val="0"/>
        <w:rPr>
          <w:sz w:val="22"/>
          <w:szCs w:val="22"/>
          <w:lang w:val="pl-PL"/>
        </w:rPr>
      </w:pPr>
      <w:r w:rsidRPr="007F2887">
        <w:rPr>
          <w:sz w:val="22"/>
          <w:szCs w:val="22"/>
          <w:lang w:val="pl-PL"/>
        </w:rPr>
        <w:t xml:space="preserve">Hydroksyzyna jest metabolizowana przez dehydrogenazę alkoholową oraz CYP3A4/5. Podczas jednoczesnego stosowania leków, o których wiadomo, że są </w:t>
      </w:r>
      <w:r w:rsidRPr="003E6209">
        <w:rPr>
          <w:sz w:val="22"/>
          <w:szCs w:val="22"/>
          <w:lang w:val="pl-PL"/>
        </w:rPr>
        <w:t>silnymi inhibitorami tych enzymów, można spodziewać się zwiększenia stężenia hydroksyzyny we krwi.</w:t>
      </w:r>
      <w:r w:rsidRPr="007F2887">
        <w:rPr>
          <w:sz w:val="22"/>
          <w:szCs w:val="22"/>
          <w:lang w:val="pl-PL"/>
        </w:rPr>
        <w:t xml:space="preserve"> W przypadku, gdy hamowany jest tylko jeden ze szlaków metabolicznych, drugi może częściowo go kompensować.</w:t>
      </w:r>
    </w:p>
    <w:p w14:paraId="15C68497" w14:textId="77777777" w:rsidR="00D33C5F" w:rsidRPr="00374609" w:rsidRDefault="00D33C5F" w:rsidP="00C51997">
      <w:pPr>
        <w:autoSpaceDE w:val="0"/>
        <w:autoSpaceDN w:val="0"/>
        <w:adjustRightInd w:val="0"/>
        <w:rPr>
          <w:sz w:val="22"/>
          <w:szCs w:val="22"/>
          <w:lang w:val="pl-PL"/>
        </w:rPr>
      </w:pPr>
    </w:p>
    <w:p w14:paraId="7BD94F12"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Podczas jednoczesnego stosowania produktu leczniczego Hydroxyzinum VP z lekami </w:t>
      </w:r>
      <w:r w:rsidRPr="003E6209">
        <w:rPr>
          <w:sz w:val="22"/>
          <w:szCs w:val="22"/>
          <w:lang w:val="pl-PL"/>
        </w:rPr>
        <w:t>działającymi depresyjnie na OUN</w:t>
      </w:r>
      <w:r w:rsidRPr="00374609">
        <w:rPr>
          <w:sz w:val="22"/>
          <w:szCs w:val="22"/>
          <w:lang w:val="pl-PL"/>
        </w:rPr>
        <w:t xml:space="preserve"> lub produktami o działaniu przeciwcholinergicznym należy </w:t>
      </w:r>
      <w:r>
        <w:rPr>
          <w:sz w:val="22"/>
          <w:szCs w:val="22"/>
          <w:lang w:val="pl-PL"/>
        </w:rPr>
        <w:t>mieć na uwadze możliwe nasilenie ich działania.</w:t>
      </w:r>
      <w:r w:rsidRPr="00374609">
        <w:rPr>
          <w:sz w:val="22"/>
          <w:szCs w:val="22"/>
          <w:lang w:val="pl-PL"/>
        </w:rPr>
        <w:t xml:space="preserve"> Dawkowanie należy dostosowywać indywidualnie.</w:t>
      </w:r>
    </w:p>
    <w:p w14:paraId="5ABB6AE9" w14:textId="77777777" w:rsidR="00D33C5F" w:rsidRPr="00374609" w:rsidRDefault="00D33C5F" w:rsidP="00C51997">
      <w:pPr>
        <w:autoSpaceDE w:val="0"/>
        <w:autoSpaceDN w:val="0"/>
        <w:adjustRightInd w:val="0"/>
        <w:rPr>
          <w:sz w:val="22"/>
          <w:szCs w:val="22"/>
          <w:lang w:val="pl-PL"/>
        </w:rPr>
      </w:pPr>
    </w:p>
    <w:p w14:paraId="630152C5" w14:textId="77777777" w:rsidR="00D33C5F" w:rsidRPr="00374609" w:rsidRDefault="00D33C5F" w:rsidP="00C51997">
      <w:pPr>
        <w:autoSpaceDE w:val="0"/>
        <w:autoSpaceDN w:val="0"/>
        <w:adjustRightInd w:val="0"/>
        <w:rPr>
          <w:sz w:val="22"/>
          <w:szCs w:val="22"/>
          <w:lang w:val="pl-PL"/>
        </w:rPr>
      </w:pPr>
      <w:r w:rsidRPr="00374609">
        <w:rPr>
          <w:sz w:val="22"/>
          <w:szCs w:val="22"/>
          <w:lang w:val="pl-PL"/>
        </w:rPr>
        <w:t>Alkohol nasila działanie produktu leczniczego Hydroxyzinum VP.</w:t>
      </w:r>
    </w:p>
    <w:p w14:paraId="44D13F82" w14:textId="77777777" w:rsidR="00D33C5F" w:rsidRPr="00374609" w:rsidRDefault="00D33C5F" w:rsidP="00C51997">
      <w:pPr>
        <w:autoSpaceDE w:val="0"/>
        <w:autoSpaceDN w:val="0"/>
        <w:adjustRightInd w:val="0"/>
        <w:rPr>
          <w:sz w:val="22"/>
          <w:szCs w:val="22"/>
          <w:lang w:val="pl-PL"/>
        </w:rPr>
      </w:pPr>
    </w:p>
    <w:p w14:paraId="2A7E464E" w14:textId="77777777" w:rsidR="00D33C5F" w:rsidRPr="00374609" w:rsidRDefault="00D33C5F" w:rsidP="00C51997">
      <w:pPr>
        <w:autoSpaceDE w:val="0"/>
        <w:autoSpaceDN w:val="0"/>
        <w:adjustRightInd w:val="0"/>
        <w:rPr>
          <w:sz w:val="22"/>
          <w:szCs w:val="22"/>
          <w:lang w:val="pl-PL"/>
        </w:rPr>
      </w:pPr>
      <w:r w:rsidRPr="00374609">
        <w:rPr>
          <w:sz w:val="22"/>
          <w:szCs w:val="22"/>
          <w:lang w:val="pl-PL"/>
        </w:rPr>
        <w:t>Hydroksyzyna działa antagonistycznie w stosunku do betahistyny i inhibitorów cholinoesterazy. Osłabia również wpływ adrenaliny na ciśnienie tętnicze.</w:t>
      </w:r>
    </w:p>
    <w:p w14:paraId="495BDD47" w14:textId="77777777" w:rsidR="00D33C5F" w:rsidRPr="00374609" w:rsidRDefault="00D33C5F" w:rsidP="00C51997">
      <w:pPr>
        <w:autoSpaceDE w:val="0"/>
        <w:autoSpaceDN w:val="0"/>
        <w:adjustRightInd w:val="0"/>
        <w:rPr>
          <w:sz w:val="22"/>
          <w:szCs w:val="22"/>
          <w:lang w:val="pl-PL"/>
        </w:rPr>
      </w:pPr>
    </w:p>
    <w:p w14:paraId="6444B672" w14:textId="77777777" w:rsidR="00D33C5F" w:rsidRPr="00374609" w:rsidRDefault="00D33C5F" w:rsidP="00C51997">
      <w:pPr>
        <w:autoSpaceDE w:val="0"/>
        <w:autoSpaceDN w:val="0"/>
        <w:adjustRightInd w:val="0"/>
        <w:rPr>
          <w:sz w:val="22"/>
          <w:szCs w:val="22"/>
          <w:lang w:val="pl-PL"/>
        </w:rPr>
      </w:pPr>
      <w:r w:rsidRPr="00374609">
        <w:rPr>
          <w:sz w:val="22"/>
          <w:szCs w:val="22"/>
          <w:lang w:val="pl-PL"/>
        </w:rPr>
        <w:t>Należy unikać stosowania produktu leczniczego Hydroxyzinum VP jednocześnie z inhibitorami monoaminooksydazy (MAO).</w:t>
      </w:r>
    </w:p>
    <w:p w14:paraId="3B182275" w14:textId="77777777" w:rsidR="00D33C5F" w:rsidRPr="00374609" w:rsidRDefault="00D33C5F" w:rsidP="00C51997">
      <w:pPr>
        <w:autoSpaceDE w:val="0"/>
        <w:autoSpaceDN w:val="0"/>
        <w:adjustRightInd w:val="0"/>
        <w:rPr>
          <w:sz w:val="22"/>
          <w:szCs w:val="22"/>
          <w:lang w:val="pl-PL"/>
        </w:rPr>
      </w:pPr>
    </w:p>
    <w:p w14:paraId="27EEC3B0" w14:textId="77777777" w:rsidR="00D33C5F" w:rsidRPr="00374609" w:rsidRDefault="00D33C5F" w:rsidP="00C51997">
      <w:pPr>
        <w:autoSpaceDE w:val="0"/>
        <w:autoSpaceDN w:val="0"/>
        <w:adjustRightInd w:val="0"/>
        <w:rPr>
          <w:sz w:val="22"/>
          <w:szCs w:val="22"/>
          <w:lang w:val="pl-PL"/>
        </w:rPr>
      </w:pPr>
      <w:r w:rsidRPr="00374609">
        <w:rPr>
          <w:sz w:val="22"/>
          <w:szCs w:val="22"/>
          <w:lang w:val="pl-PL"/>
        </w:rPr>
        <w:t>W badaniach przeprowadzonych na szczurach hydroksyzyna zmniejszała działanie przeciwdrgawkowe fenytoiny.</w:t>
      </w:r>
    </w:p>
    <w:p w14:paraId="0DD600F8" w14:textId="77777777" w:rsidR="00D33C5F" w:rsidRPr="00374609" w:rsidRDefault="00D33C5F" w:rsidP="00C51997">
      <w:pPr>
        <w:autoSpaceDE w:val="0"/>
        <w:autoSpaceDN w:val="0"/>
        <w:adjustRightInd w:val="0"/>
        <w:rPr>
          <w:sz w:val="22"/>
          <w:szCs w:val="22"/>
          <w:lang w:val="pl-PL"/>
        </w:rPr>
      </w:pPr>
    </w:p>
    <w:p w14:paraId="65EFEF40"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Wykazano, że cymetydyna podawana w dawce 600 mg dwa razy na dobę zwiększa stężenie hydroksyzyny w surowicy o 36%, a stężenie jej metabolitu, cetyryzyny, zmniejsza o 20%. </w:t>
      </w:r>
    </w:p>
    <w:p w14:paraId="40BA5D31" w14:textId="77777777" w:rsidR="00D33C5F" w:rsidRPr="00374609" w:rsidRDefault="00D33C5F" w:rsidP="00C51997">
      <w:pPr>
        <w:autoSpaceDE w:val="0"/>
        <w:autoSpaceDN w:val="0"/>
        <w:adjustRightInd w:val="0"/>
        <w:rPr>
          <w:sz w:val="22"/>
          <w:szCs w:val="22"/>
          <w:lang w:val="pl-PL"/>
        </w:rPr>
      </w:pPr>
    </w:p>
    <w:p w14:paraId="4895ECB4"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Hydroksyzyna nie wykazuje działania hamującego na izoenzymy 1A1 i 1A6 UDP glukuronylotransferazy w ludzkich mikrosomach wątrobowych. </w:t>
      </w:r>
    </w:p>
    <w:p w14:paraId="3AA68F4E" w14:textId="77777777" w:rsidR="00D33C5F" w:rsidRPr="00374609" w:rsidRDefault="00D33C5F" w:rsidP="00C51997">
      <w:pPr>
        <w:autoSpaceDE w:val="0"/>
        <w:autoSpaceDN w:val="0"/>
        <w:adjustRightInd w:val="0"/>
        <w:rPr>
          <w:sz w:val="22"/>
          <w:szCs w:val="22"/>
          <w:lang w:val="pl-PL"/>
        </w:rPr>
      </w:pPr>
    </w:p>
    <w:p w14:paraId="22D47BFA"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Jest inhibitorem CYP2D6 i może w  dużych dawkach powodować interakcje z lekami będącymi substratami dla enzymu CYP2D6. Hamuje również izoenzymy cytochromu P450 2C9, 2C19 i 3A4, jednak dopiero w stężeniach znacznie większych, niż maksymalne stężenia jakie osiąga w osoczu </w:t>
      </w:r>
      <w:r w:rsidR="00D82D4E">
        <w:rPr>
          <w:sz w:val="22"/>
          <w:szCs w:val="22"/>
          <w:lang w:val="pl-PL"/>
        </w:rPr>
        <w:br/>
      </w:r>
      <w:r w:rsidRPr="00374609">
        <w:rPr>
          <w:sz w:val="22"/>
          <w:szCs w:val="22"/>
          <w:lang w:val="pl-PL"/>
        </w:rPr>
        <w:t xml:space="preserve">(tj. IC50: 103 do 140 </w:t>
      </w:r>
      <w:r w:rsidRPr="003E6209">
        <w:rPr>
          <w:sz w:val="22"/>
          <w:szCs w:val="22"/>
        </w:rPr>
        <w:t>μ</w:t>
      </w:r>
      <w:r w:rsidRPr="003E6209">
        <w:rPr>
          <w:sz w:val="22"/>
          <w:szCs w:val="22"/>
          <w:lang w:val="pl-PL"/>
        </w:rPr>
        <w:t xml:space="preserve">M; 46 do 52 </w:t>
      </w:r>
      <w:r w:rsidRPr="003E6209">
        <w:rPr>
          <w:sz w:val="22"/>
          <w:szCs w:val="22"/>
        </w:rPr>
        <w:t>μ</w:t>
      </w:r>
      <w:r w:rsidRPr="003E6209">
        <w:rPr>
          <w:sz w:val="22"/>
          <w:szCs w:val="22"/>
          <w:lang w:val="pl-PL"/>
        </w:rPr>
        <w:t>g/ml)</w:t>
      </w:r>
      <w:r w:rsidRPr="00374609">
        <w:rPr>
          <w:sz w:val="22"/>
          <w:szCs w:val="22"/>
          <w:lang w:val="pl-PL"/>
        </w:rPr>
        <w:t>, w związku z czym jest mało prawdopodobne by hydroksyzyna wpływała niekorzystnie na metabolizm leków będących substratami dla tych enzymów.</w:t>
      </w:r>
    </w:p>
    <w:p w14:paraId="4CA4FB17" w14:textId="77777777" w:rsidR="00D33C5F" w:rsidRPr="00374609" w:rsidRDefault="00D33C5F" w:rsidP="00C51997">
      <w:pPr>
        <w:autoSpaceDE w:val="0"/>
        <w:autoSpaceDN w:val="0"/>
        <w:adjustRightInd w:val="0"/>
        <w:rPr>
          <w:sz w:val="22"/>
          <w:szCs w:val="22"/>
          <w:highlight w:val="yellow"/>
          <w:lang w:val="pl-PL"/>
        </w:rPr>
      </w:pPr>
    </w:p>
    <w:p w14:paraId="70416FF4" w14:textId="77777777" w:rsidR="00D33C5F" w:rsidRPr="00374609" w:rsidRDefault="00D33C5F" w:rsidP="00C51997">
      <w:pPr>
        <w:autoSpaceDE w:val="0"/>
        <w:autoSpaceDN w:val="0"/>
        <w:adjustRightInd w:val="0"/>
        <w:rPr>
          <w:sz w:val="22"/>
          <w:szCs w:val="22"/>
          <w:lang w:val="pl-PL"/>
        </w:rPr>
      </w:pPr>
      <w:r w:rsidRPr="00374609">
        <w:rPr>
          <w:sz w:val="22"/>
          <w:szCs w:val="22"/>
          <w:lang w:val="pl-PL"/>
        </w:rPr>
        <w:lastRenderedPageBreak/>
        <w:t xml:space="preserve">Cetyryzyna (metabolit hydroksyzyny), w stężeniu 100 μM nie wykazuje działania hamującego </w:t>
      </w:r>
      <w:r w:rsidR="00D82D4E">
        <w:rPr>
          <w:sz w:val="22"/>
          <w:szCs w:val="22"/>
          <w:lang w:val="pl-PL"/>
        </w:rPr>
        <w:br/>
      </w:r>
      <w:r w:rsidRPr="00374609">
        <w:rPr>
          <w:sz w:val="22"/>
          <w:szCs w:val="22"/>
          <w:lang w:val="pl-PL"/>
        </w:rPr>
        <w:t>na cytochrom P450 (1A2, 2A6, 2C9, 2C19, 2D6, 2E1 i 3A4), ani izoenzymy UDP-glukuronylotransferazy.</w:t>
      </w:r>
    </w:p>
    <w:p w14:paraId="1970D23D" w14:textId="77777777" w:rsidR="00D33C5F" w:rsidRPr="00374609" w:rsidRDefault="00D33C5F" w:rsidP="00C51997">
      <w:pPr>
        <w:autoSpaceDE w:val="0"/>
        <w:autoSpaceDN w:val="0"/>
        <w:adjustRightInd w:val="0"/>
        <w:rPr>
          <w:sz w:val="22"/>
          <w:szCs w:val="22"/>
          <w:lang w:val="pl-PL"/>
        </w:rPr>
      </w:pPr>
    </w:p>
    <w:p w14:paraId="183E2589" w14:textId="77777777" w:rsidR="00D33C5F" w:rsidRPr="003E6209" w:rsidRDefault="00D33C5F" w:rsidP="00C51997">
      <w:pPr>
        <w:autoSpaceDE w:val="0"/>
        <w:autoSpaceDN w:val="0"/>
        <w:adjustRightInd w:val="0"/>
        <w:rPr>
          <w:sz w:val="22"/>
          <w:szCs w:val="22"/>
          <w:u w:val="single"/>
          <w:lang w:val="pl-PL"/>
        </w:rPr>
      </w:pPr>
      <w:r w:rsidRPr="003E6209">
        <w:rPr>
          <w:sz w:val="22"/>
          <w:szCs w:val="22"/>
          <w:u w:val="single"/>
          <w:lang w:val="pl-PL"/>
        </w:rPr>
        <w:t>Wpływ na wyniki badań</w:t>
      </w:r>
    </w:p>
    <w:p w14:paraId="2332B52A" w14:textId="77777777" w:rsidR="00D33C5F" w:rsidRPr="00374609" w:rsidRDefault="00D33C5F" w:rsidP="00C51997">
      <w:pPr>
        <w:autoSpaceDE w:val="0"/>
        <w:autoSpaceDN w:val="0"/>
        <w:adjustRightInd w:val="0"/>
        <w:rPr>
          <w:sz w:val="22"/>
          <w:szCs w:val="22"/>
          <w:lang w:val="pl-PL"/>
        </w:rPr>
      </w:pPr>
      <w:r w:rsidRPr="003E6209">
        <w:rPr>
          <w:sz w:val="22"/>
          <w:szCs w:val="22"/>
          <w:lang w:val="pl-PL"/>
        </w:rPr>
        <w:t xml:space="preserve">Ponieważ produkt leczniczy Hydroxyzinum VP może wpływać na wyniki testów alergicznych </w:t>
      </w:r>
      <w:r w:rsidR="00D82D4E">
        <w:rPr>
          <w:sz w:val="22"/>
          <w:szCs w:val="22"/>
          <w:lang w:val="pl-PL"/>
        </w:rPr>
        <w:br/>
      </w:r>
      <w:r w:rsidRPr="003E6209">
        <w:rPr>
          <w:sz w:val="22"/>
          <w:szCs w:val="22"/>
          <w:lang w:val="pl-PL"/>
        </w:rPr>
        <w:t>oraz testu prowokacji oskrzelowej z metacholiną, nie należy go stosować przez co najmniej 5 dni poprzedzających wykonanie takich testów.</w:t>
      </w:r>
    </w:p>
    <w:p w14:paraId="62848653" w14:textId="77777777" w:rsidR="00D33C5F" w:rsidRPr="00374609" w:rsidRDefault="00D33C5F" w:rsidP="00C51997">
      <w:pPr>
        <w:autoSpaceDE w:val="0"/>
        <w:autoSpaceDN w:val="0"/>
        <w:adjustRightInd w:val="0"/>
        <w:rPr>
          <w:b/>
          <w:bCs/>
          <w:sz w:val="22"/>
          <w:szCs w:val="22"/>
          <w:lang w:val="pl-PL"/>
        </w:rPr>
      </w:pPr>
    </w:p>
    <w:p w14:paraId="112218F7"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4.6</w:t>
      </w:r>
      <w:r w:rsidRPr="00374609">
        <w:rPr>
          <w:b/>
          <w:bCs/>
          <w:iCs/>
          <w:sz w:val="22"/>
          <w:szCs w:val="22"/>
          <w:lang w:val="pl-PL"/>
        </w:rPr>
        <w:tab/>
        <w:t>Wpływ na płodność, c</w:t>
      </w:r>
      <w:r w:rsidRPr="00374609">
        <w:rPr>
          <w:b/>
          <w:bCs/>
          <w:sz w:val="22"/>
          <w:szCs w:val="22"/>
          <w:lang w:val="pl-PL"/>
        </w:rPr>
        <w:t>iążę i laktację</w:t>
      </w:r>
    </w:p>
    <w:p w14:paraId="6424640A" w14:textId="77777777" w:rsidR="00D33C5F" w:rsidRPr="00374609" w:rsidRDefault="00D33C5F" w:rsidP="00C51997">
      <w:pPr>
        <w:autoSpaceDE w:val="0"/>
        <w:autoSpaceDN w:val="0"/>
        <w:adjustRightInd w:val="0"/>
        <w:rPr>
          <w:sz w:val="22"/>
          <w:szCs w:val="22"/>
          <w:lang w:val="pl-PL"/>
        </w:rPr>
      </w:pPr>
    </w:p>
    <w:p w14:paraId="631EC932" w14:textId="77777777" w:rsidR="00D33C5F" w:rsidRPr="003E6209" w:rsidRDefault="00D33C5F" w:rsidP="00C51997">
      <w:pPr>
        <w:autoSpaceDE w:val="0"/>
        <w:autoSpaceDN w:val="0"/>
        <w:adjustRightInd w:val="0"/>
        <w:rPr>
          <w:sz w:val="22"/>
          <w:szCs w:val="22"/>
          <w:u w:val="single"/>
          <w:lang w:val="pl-PL"/>
        </w:rPr>
      </w:pPr>
      <w:r w:rsidRPr="003E6209">
        <w:rPr>
          <w:sz w:val="22"/>
          <w:szCs w:val="22"/>
          <w:u w:val="single"/>
          <w:lang w:val="pl-PL"/>
        </w:rPr>
        <w:t>Ciąża</w:t>
      </w:r>
    </w:p>
    <w:p w14:paraId="2F195CC8" w14:textId="074F1591" w:rsidR="00D33C5F" w:rsidRPr="00374609" w:rsidRDefault="00D33C5F" w:rsidP="00C51997">
      <w:pPr>
        <w:autoSpaceDE w:val="0"/>
        <w:autoSpaceDN w:val="0"/>
        <w:adjustRightInd w:val="0"/>
        <w:rPr>
          <w:sz w:val="22"/>
          <w:szCs w:val="22"/>
          <w:lang w:val="pl-PL"/>
        </w:rPr>
      </w:pPr>
      <w:r w:rsidRPr="00374609">
        <w:rPr>
          <w:sz w:val="22"/>
          <w:szCs w:val="22"/>
          <w:lang w:val="pl-PL"/>
        </w:rPr>
        <w:t>Hydroksyzyna przenika przez barierę łożyskową i osiąga w organizmie płodu stężenie większe</w:t>
      </w:r>
      <w:r w:rsidR="00D82D4E">
        <w:rPr>
          <w:sz w:val="22"/>
          <w:szCs w:val="22"/>
          <w:lang w:val="pl-PL"/>
        </w:rPr>
        <w:br/>
      </w:r>
      <w:r w:rsidRPr="00374609">
        <w:rPr>
          <w:sz w:val="22"/>
          <w:szCs w:val="22"/>
          <w:lang w:val="pl-PL"/>
        </w:rPr>
        <w:t>niż u matki. Do chwili obecnej nie ma istotnych danych epidemiologicznych dotyczących stosowania produktu Hydroxyzinum VP podczas ciąży.</w:t>
      </w:r>
    </w:p>
    <w:p w14:paraId="7B09216B" w14:textId="77777777" w:rsidR="00D33C5F" w:rsidRPr="00374609" w:rsidRDefault="00D33C5F" w:rsidP="00C51997">
      <w:pPr>
        <w:autoSpaceDE w:val="0"/>
        <w:autoSpaceDN w:val="0"/>
        <w:adjustRightInd w:val="0"/>
        <w:rPr>
          <w:sz w:val="22"/>
          <w:szCs w:val="22"/>
          <w:lang w:val="pl-PL"/>
        </w:rPr>
      </w:pPr>
      <w:r w:rsidRPr="00374609">
        <w:rPr>
          <w:sz w:val="22"/>
          <w:szCs w:val="22"/>
          <w:lang w:val="pl-PL"/>
        </w:rPr>
        <w:t>U noworodków, których matki otrzymywały hydroksyzynę w późnej ciąży i (lub) podczas porodu, obserwowano następujące zdarzenia bezpośrednio lub kilka godzin po urodzeniu: hipotonię, zaburzenia ruchowe (w tym zaburzenia pozapiramidowe, ruchy kloniczne), depresję ośrodkowego układu nerwowego (OUN), niedotlenienie noworodka, zatrzymanie moczu.</w:t>
      </w:r>
    </w:p>
    <w:p w14:paraId="285411FD" w14:textId="77777777" w:rsidR="00D33C5F" w:rsidRPr="00374609" w:rsidRDefault="00D33C5F" w:rsidP="00C51997">
      <w:pPr>
        <w:autoSpaceDE w:val="0"/>
        <w:autoSpaceDN w:val="0"/>
        <w:adjustRightInd w:val="0"/>
        <w:rPr>
          <w:sz w:val="22"/>
          <w:szCs w:val="22"/>
          <w:lang w:val="pl-PL"/>
        </w:rPr>
      </w:pPr>
      <w:r w:rsidRPr="00374609">
        <w:rPr>
          <w:sz w:val="22"/>
          <w:szCs w:val="22"/>
          <w:lang w:val="pl-PL"/>
        </w:rPr>
        <w:t>Produkt Hydroxyzinum VP jest przeciwwskazany do stosowania w ciąży (patrz punkt 4.3)</w:t>
      </w:r>
    </w:p>
    <w:p w14:paraId="3C42E429" w14:textId="77777777" w:rsidR="00D33C5F" w:rsidRPr="00374609" w:rsidRDefault="00D33C5F" w:rsidP="00C51997">
      <w:pPr>
        <w:autoSpaceDE w:val="0"/>
        <w:autoSpaceDN w:val="0"/>
        <w:adjustRightInd w:val="0"/>
        <w:rPr>
          <w:sz w:val="22"/>
          <w:szCs w:val="22"/>
          <w:lang w:val="pl-PL"/>
        </w:rPr>
      </w:pPr>
    </w:p>
    <w:p w14:paraId="6D37DD25" w14:textId="77777777" w:rsidR="00D33C5F" w:rsidRPr="003E6209" w:rsidRDefault="00D33C5F" w:rsidP="00C51997">
      <w:pPr>
        <w:autoSpaceDE w:val="0"/>
        <w:autoSpaceDN w:val="0"/>
        <w:adjustRightInd w:val="0"/>
        <w:rPr>
          <w:sz w:val="22"/>
          <w:szCs w:val="22"/>
          <w:u w:val="single"/>
          <w:lang w:val="pl-PL"/>
        </w:rPr>
      </w:pPr>
      <w:r w:rsidRPr="00374609">
        <w:rPr>
          <w:sz w:val="22"/>
          <w:szCs w:val="22"/>
          <w:u w:val="single"/>
          <w:lang w:val="pl-PL"/>
        </w:rPr>
        <w:t>Karmienie piersią</w:t>
      </w:r>
    </w:p>
    <w:p w14:paraId="132BD5FF" w14:textId="77777777" w:rsidR="00D33C5F" w:rsidRPr="00374609" w:rsidRDefault="00D33C5F" w:rsidP="00C51997">
      <w:pPr>
        <w:autoSpaceDE w:val="0"/>
        <w:autoSpaceDN w:val="0"/>
        <w:adjustRightInd w:val="0"/>
        <w:rPr>
          <w:sz w:val="22"/>
          <w:szCs w:val="22"/>
          <w:lang w:val="pl-PL"/>
        </w:rPr>
      </w:pPr>
      <w:r w:rsidRPr="003E6209">
        <w:rPr>
          <w:sz w:val="22"/>
          <w:szCs w:val="22"/>
          <w:lang w:val="pl-PL"/>
        </w:rPr>
        <w:t xml:space="preserve">Cetyryzyna, główny metabolit hydroksyzyny, przenika do mleka matki u ludzi. Nie przeprowadzono standardowych badań dotyczących tego wydzielania, jednak obserwowano ciężkie działania niepożądane u noworodków i niemowląt karmionych piersią przez matki przyjmujące hydroksyzynę. Dlatego produkt leczniczy Hydroxiznum VP </w:t>
      </w:r>
      <w:r w:rsidRPr="00374609">
        <w:rPr>
          <w:sz w:val="22"/>
          <w:szCs w:val="22"/>
          <w:lang w:val="pl-PL"/>
        </w:rPr>
        <w:t>jest przeciwwskazany do stosowania</w:t>
      </w:r>
      <w:r w:rsidRPr="003E6209">
        <w:rPr>
          <w:sz w:val="22"/>
          <w:szCs w:val="22"/>
          <w:lang w:val="pl-PL"/>
        </w:rPr>
        <w:t xml:space="preserve"> podczas laktacji</w:t>
      </w:r>
      <w:r w:rsidRPr="00374609">
        <w:rPr>
          <w:sz w:val="22"/>
          <w:szCs w:val="22"/>
          <w:lang w:val="pl-PL"/>
        </w:rPr>
        <w:t xml:space="preserve"> (patrz punkt 4.3)</w:t>
      </w:r>
      <w:r w:rsidRPr="003E6209">
        <w:rPr>
          <w:sz w:val="22"/>
          <w:szCs w:val="22"/>
          <w:lang w:val="pl-PL"/>
        </w:rPr>
        <w:t xml:space="preserve">. </w:t>
      </w:r>
      <w:r w:rsidRPr="00374609">
        <w:rPr>
          <w:sz w:val="22"/>
          <w:szCs w:val="22"/>
          <w:lang w:val="pl-PL"/>
        </w:rPr>
        <w:t>Karmienie piersią należy przerwać, jeśli konieczne jest stosowanie produktu Hydroxyzinum VP.</w:t>
      </w:r>
    </w:p>
    <w:p w14:paraId="13BD4D5D" w14:textId="77777777" w:rsidR="00D33C5F" w:rsidRPr="00374609" w:rsidRDefault="00D33C5F" w:rsidP="00C51997">
      <w:pPr>
        <w:autoSpaceDE w:val="0"/>
        <w:autoSpaceDN w:val="0"/>
        <w:adjustRightInd w:val="0"/>
        <w:rPr>
          <w:sz w:val="22"/>
          <w:szCs w:val="22"/>
          <w:lang w:val="pl-PL"/>
        </w:rPr>
      </w:pPr>
    </w:p>
    <w:p w14:paraId="604DA553" w14:textId="77777777" w:rsidR="00D33C5F" w:rsidRPr="003E6209" w:rsidRDefault="00D33C5F" w:rsidP="00C51997">
      <w:pPr>
        <w:autoSpaceDE w:val="0"/>
        <w:autoSpaceDN w:val="0"/>
        <w:adjustRightInd w:val="0"/>
        <w:rPr>
          <w:sz w:val="22"/>
          <w:szCs w:val="22"/>
          <w:u w:val="single"/>
          <w:lang w:val="pl-PL"/>
        </w:rPr>
      </w:pPr>
      <w:r w:rsidRPr="003E6209">
        <w:rPr>
          <w:sz w:val="22"/>
          <w:szCs w:val="22"/>
          <w:u w:val="single"/>
          <w:lang w:val="pl-PL"/>
        </w:rPr>
        <w:t>Wpływ na płodność</w:t>
      </w:r>
    </w:p>
    <w:p w14:paraId="1DCC585E" w14:textId="77777777" w:rsidR="00D33C5F" w:rsidRPr="00374609" w:rsidRDefault="00D33C5F" w:rsidP="00C51997">
      <w:pPr>
        <w:autoSpaceDE w:val="0"/>
        <w:autoSpaceDN w:val="0"/>
        <w:adjustRightInd w:val="0"/>
        <w:rPr>
          <w:sz w:val="22"/>
          <w:szCs w:val="22"/>
          <w:lang w:val="pl-PL"/>
        </w:rPr>
      </w:pPr>
      <w:r w:rsidRPr="00374609">
        <w:rPr>
          <w:sz w:val="22"/>
          <w:szCs w:val="22"/>
          <w:lang w:val="pl-PL"/>
        </w:rPr>
        <w:t>Badania na zwierzętach wykazały toksyczny wpływ na reprodukcję.</w:t>
      </w:r>
    </w:p>
    <w:p w14:paraId="58108971" w14:textId="77777777" w:rsidR="00D33C5F" w:rsidRPr="00374609" w:rsidRDefault="00D33C5F" w:rsidP="00C51997">
      <w:pPr>
        <w:autoSpaceDE w:val="0"/>
        <w:autoSpaceDN w:val="0"/>
        <w:adjustRightInd w:val="0"/>
        <w:rPr>
          <w:b/>
          <w:bCs/>
          <w:sz w:val="22"/>
          <w:szCs w:val="22"/>
          <w:lang w:val="pl-PL"/>
        </w:rPr>
      </w:pPr>
    </w:p>
    <w:p w14:paraId="0D75A20D"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4.7</w:t>
      </w:r>
      <w:r w:rsidRPr="00374609">
        <w:rPr>
          <w:b/>
          <w:bCs/>
          <w:iCs/>
          <w:sz w:val="22"/>
          <w:szCs w:val="22"/>
          <w:lang w:val="pl-PL"/>
        </w:rPr>
        <w:tab/>
      </w:r>
      <w:r w:rsidRPr="00374609">
        <w:rPr>
          <w:b/>
          <w:bCs/>
          <w:sz w:val="22"/>
          <w:szCs w:val="22"/>
          <w:lang w:val="pl-PL"/>
        </w:rPr>
        <w:t>Wpływ na zdolność prowadzenia pojazdów i obsługiwania maszyn</w:t>
      </w:r>
    </w:p>
    <w:p w14:paraId="74D672B5" w14:textId="77777777" w:rsidR="00D33C5F" w:rsidRPr="00374609" w:rsidRDefault="00D33C5F" w:rsidP="00C51997">
      <w:pPr>
        <w:autoSpaceDE w:val="0"/>
        <w:autoSpaceDN w:val="0"/>
        <w:adjustRightInd w:val="0"/>
        <w:rPr>
          <w:sz w:val="22"/>
          <w:szCs w:val="22"/>
          <w:lang w:val="pl-PL"/>
        </w:rPr>
      </w:pPr>
    </w:p>
    <w:p w14:paraId="61FB8D7A" w14:textId="77777777" w:rsidR="00D33C5F" w:rsidRPr="00374609" w:rsidRDefault="00D33C5F" w:rsidP="00C51997">
      <w:pPr>
        <w:autoSpaceDE w:val="0"/>
        <w:autoSpaceDN w:val="0"/>
        <w:adjustRightInd w:val="0"/>
        <w:rPr>
          <w:sz w:val="22"/>
          <w:szCs w:val="22"/>
          <w:lang w:val="pl-PL"/>
        </w:rPr>
      </w:pPr>
      <w:r w:rsidRPr="00374609">
        <w:rPr>
          <w:sz w:val="22"/>
          <w:szCs w:val="22"/>
          <w:lang w:val="pl-PL"/>
        </w:rPr>
        <w:t>Produkt leczniczy Hydroxyzinum VP może zaburzać reakcje i zdolność koncentracji. Należy o tym poinformować pacjentów i przestrzec ich przed prowadzeniem pojazdów mechanicznych oraz obsługiwaniem urządzeń mechanicznych. Należy unikać jednoczesnego stosowania produktu Hydroxyzinum VP z innymi lekami uspokajającymi lub alkoholem, ponieważ nasila to ich działanie.</w:t>
      </w:r>
    </w:p>
    <w:p w14:paraId="6EEBEFD6" w14:textId="77777777" w:rsidR="00D33C5F" w:rsidRPr="00374609" w:rsidRDefault="00D33C5F" w:rsidP="00C51997">
      <w:pPr>
        <w:autoSpaceDE w:val="0"/>
        <w:autoSpaceDN w:val="0"/>
        <w:adjustRightInd w:val="0"/>
        <w:rPr>
          <w:b/>
          <w:bCs/>
          <w:sz w:val="22"/>
          <w:szCs w:val="22"/>
          <w:lang w:val="pl-PL"/>
        </w:rPr>
      </w:pPr>
    </w:p>
    <w:p w14:paraId="6C5CE2B2"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4.8</w:t>
      </w:r>
      <w:r w:rsidRPr="00374609">
        <w:rPr>
          <w:b/>
          <w:bCs/>
          <w:iCs/>
          <w:sz w:val="22"/>
          <w:szCs w:val="22"/>
          <w:lang w:val="pl-PL"/>
        </w:rPr>
        <w:tab/>
      </w:r>
      <w:r w:rsidRPr="00374609">
        <w:rPr>
          <w:b/>
          <w:bCs/>
          <w:sz w:val="22"/>
          <w:szCs w:val="22"/>
          <w:lang w:val="pl-PL"/>
        </w:rPr>
        <w:t>Działania niepożądane</w:t>
      </w:r>
    </w:p>
    <w:p w14:paraId="4271AD8A" w14:textId="77777777" w:rsidR="00D33C5F" w:rsidRPr="00374609" w:rsidRDefault="00D33C5F" w:rsidP="00F05A4A">
      <w:pPr>
        <w:tabs>
          <w:tab w:val="left" w:pos="540"/>
        </w:tabs>
        <w:autoSpaceDE w:val="0"/>
        <w:autoSpaceDN w:val="0"/>
        <w:adjustRightInd w:val="0"/>
        <w:rPr>
          <w:b/>
          <w:bCs/>
          <w:sz w:val="22"/>
          <w:szCs w:val="22"/>
          <w:lang w:val="pl-PL"/>
        </w:rPr>
      </w:pPr>
    </w:p>
    <w:p w14:paraId="1E1B701C" w14:textId="77777777" w:rsidR="00D33C5F" w:rsidRPr="003E6209" w:rsidRDefault="00D33C5F" w:rsidP="00B35D31">
      <w:pPr>
        <w:tabs>
          <w:tab w:val="left" w:pos="540"/>
        </w:tabs>
        <w:autoSpaceDE w:val="0"/>
        <w:autoSpaceDN w:val="0"/>
        <w:adjustRightInd w:val="0"/>
        <w:rPr>
          <w:bCs/>
          <w:sz w:val="22"/>
          <w:szCs w:val="22"/>
          <w:u w:val="single"/>
          <w:lang w:val="pl-PL"/>
        </w:rPr>
      </w:pPr>
      <w:r w:rsidRPr="003E6209">
        <w:rPr>
          <w:bCs/>
          <w:sz w:val="22"/>
          <w:szCs w:val="22"/>
          <w:u w:val="single"/>
          <w:lang w:val="pl-PL"/>
        </w:rPr>
        <w:t>Badania kliniczne</w:t>
      </w:r>
    </w:p>
    <w:p w14:paraId="1DA8A802" w14:textId="77777777" w:rsidR="00D33C5F" w:rsidRPr="00374609" w:rsidRDefault="00D33C5F" w:rsidP="00B35D31">
      <w:pPr>
        <w:tabs>
          <w:tab w:val="left" w:pos="540"/>
        </w:tabs>
        <w:autoSpaceDE w:val="0"/>
        <w:autoSpaceDN w:val="0"/>
        <w:adjustRightInd w:val="0"/>
        <w:rPr>
          <w:b/>
          <w:bCs/>
          <w:sz w:val="22"/>
          <w:szCs w:val="22"/>
          <w:lang w:val="pl-PL"/>
        </w:rPr>
      </w:pPr>
    </w:p>
    <w:p w14:paraId="6A42134A" w14:textId="77777777" w:rsidR="00D33C5F" w:rsidRPr="003E6209" w:rsidRDefault="00D33C5F" w:rsidP="00B35D31">
      <w:pPr>
        <w:tabs>
          <w:tab w:val="left" w:pos="540"/>
        </w:tabs>
        <w:autoSpaceDE w:val="0"/>
        <w:autoSpaceDN w:val="0"/>
        <w:adjustRightInd w:val="0"/>
        <w:rPr>
          <w:bCs/>
          <w:sz w:val="22"/>
          <w:szCs w:val="22"/>
          <w:u w:val="single"/>
          <w:lang w:val="pl-PL"/>
        </w:rPr>
      </w:pPr>
      <w:r w:rsidRPr="003E6209">
        <w:rPr>
          <w:bCs/>
          <w:sz w:val="22"/>
          <w:szCs w:val="22"/>
          <w:u w:val="single"/>
          <w:lang w:val="pl-PL"/>
        </w:rPr>
        <w:t>Podsumowanie</w:t>
      </w:r>
    </w:p>
    <w:p w14:paraId="03EAF16D" w14:textId="77777777" w:rsidR="00D33C5F" w:rsidRPr="00374609" w:rsidRDefault="00D33C5F" w:rsidP="00C51997">
      <w:pPr>
        <w:autoSpaceDE w:val="0"/>
        <w:autoSpaceDN w:val="0"/>
        <w:adjustRightInd w:val="0"/>
        <w:rPr>
          <w:sz w:val="22"/>
          <w:szCs w:val="22"/>
          <w:lang w:val="pl-PL"/>
        </w:rPr>
      </w:pPr>
      <w:r w:rsidRPr="00374609">
        <w:rPr>
          <w:sz w:val="22"/>
          <w:szCs w:val="22"/>
          <w:lang w:val="pl-PL"/>
        </w:rPr>
        <w:t>Działania niepożądane są związane przede wszystkim z depresyjnym działaniem na ośrodkowy układ nerwowy (OUN) lub paradoksalnym działaniem pobudzającym OUN, z działaniem przeciwcholinergicznym lub z reakcjami nadwrażliwości.</w:t>
      </w:r>
    </w:p>
    <w:p w14:paraId="673C9985" w14:textId="77777777" w:rsidR="00D33C5F" w:rsidRPr="00374609" w:rsidRDefault="00D33C5F" w:rsidP="00C51997">
      <w:pPr>
        <w:autoSpaceDE w:val="0"/>
        <w:autoSpaceDN w:val="0"/>
        <w:adjustRightInd w:val="0"/>
        <w:rPr>
          <w:sz w:val="22"/>
          <w:szCs w:val="22"/>
          <w:lang w:val="pl-PL"/>
        </w:rPr>
      </w:pPr>
    </w:p>
    <w:p w14:paraId="1ADA62A1" w14:textId="77777777" w:rsidR="00D33C5F" w:rsidRPr="00374609" w:rsidRDefault="00D33C5F" w:rsidP="00C51997">
      <w:pPr>
        <w:pStyle w:val="Nagwek1"/>
      </w:pPr>
      <w:r w:rsidRPr="00374609">
        <w:t>Dane pochodzące z badań klinicznych</w:t>
      </w:r>
    </w:p>
    <w:p w14:paraId="47066FC3" w14:textId="77777777" w:rsidR="00D33C5F" w:rsidRDefault="00D33C5F" w:rsidP="003E6209">
      <w:pPr>
        <w:autoSpaceDE w:val="0"/>
        <w:autoSpaceDN w:val="0"/>
        <w:adjustRightInd w:val="0"/>
        <w:rPr>
          <w:sz w:val="22"/>
          <w:szCs w:val="22"/>
          <w:lang w:val="pl-PL"/>
        </w:rPr>
      </w:pPr>
      <w:r w:rsidRPr="00374609">
        <w:rPr>
          <w:sz w:val="22"/>
          <w:szCs w:val="22"/>
          <w:lang w:val="pl-PL"/>
        </w:rPr>
        <w:t xml:space="preserve">W poniższej tabeli przedstawiono działania niepożądane, które obserwowano u co najmniej 1% pacjentów w badaniach klinicznych z hydroksyzyną, kontrolowanych przy użyciu placebo. </w:t>
      </w:r>
      <w:r w:rsidR="00D82D4E">
        <w:rPr>
          <w:sz w:val="22"/>
          <w:szCs w:val="22"/>
          <w:lang w:val="pl-PL"/>
        </w:rPr>
        <w:br/>
      </w:r>
      <w:r w:rsidRPr="00374609">
        <w:rPr>
          <w:sz w:val="22"/>
          <w:szCs w:val="22"/>
          <w:lang w:val="pl-PL"/>
        </w:rPr>
        <w:t xml:space="preserve">W badaniach tych uczestniczyło 735 pacjentów, którzy przyjmowali hydroksyzynę w dawce </w:t>
      </w:r>
      <w:r w:rsidR="00D82D4E">
        <w:rPr>
          <w:sz w:val="22"/>
          <w:szCs w:val="22"/>
          <w:lang w:val="pl-PL"/>
        </w:rPr>
        <w:br/>
      </w:r>
      <w:r w:rsidRPr="00374609">
        <w:rPr>
          <w:sz w:val="22"/>
          <w:szCs w:val="22"/>
          <w:lang w:val="pl-PL"/>
        </w:rPr>
        <w:t xml:space="preserve">50 mg/dobę oraz 630 osób przyjmujących placebo. </w:t>
      </w:r>
    </w:p>
    <w:p w14:paraId="5CFA6B4C" w14:textId="77777777" w:rsidR="00D33C5F" w:rsidRDefault="00D33C5F" w:rsidP="003E6209">
      <w:pPr>
        <w:autoSpaceDE w:val="0"/>
        <w:autoSpaceDN w:val="0"/>
        <w:adjustRightInd w:val="0"/>
        <w:rPr>
          <w:sz w:val="22"/>
          <w:szCs w:val="22"/>
          <w:lang w:val="pl-PL"/>
        </w:rPr>
      </w:pPr>
    </w:p>
    <w:tbl>
      <w:tblPr>
        <w:tblW w:w="4885" w:type="pct"/>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715"/>
        <w:gridCol w:w="3966"/>
        <w:gridCol w:w="3394"/>
      </w:tblGrid>
      <w:tr w:rsidR="00D33C5F" w:rsidRPr="006B6119" w14:paraId="15896C6E" w14:textId="77777777" w:rsidTr="00380DF4">
        <w:trPr>
          <w:trHeight w:val="20"/>
        </w:trPr>
        <w:tc>
          <w:tcPr>
            <w:tcW w:w="945" w:type="pct"/>
          </w:tcPr>
          <w:p w14:paraId="0DF32C30" w14:textId="77777777" w:rsidR="00D33C5F" w:rsidRPr="00374609" w:rsidRDefault="00D33C5F" w:rsidP="006E5CC8">
            <w:pPr>
              <w:autoSpaceDE w:val="0"/>
              <w:autoSpaceDN w:val="0"/>
              <w:adjustRightInd w:val="0"/>
              <w:jc w:val="center"/>
              <w:rPr>
                <w:lang w:val="pl-PL"/>
              </w:rPr>
            </w:pPr>
            <w:r w:rsidRPr="00374609">
              <w:rPr>
                <w:sz w:val="22"/>
                <w:szCs w:val="22"/>
                <w:lang w:val="pl-PL"/>
              </w:rPr>
              <w:t xml:space="preserve">Działanie </w:t>
            </w:r>
            <w:r w:rsidRPr="00374609">
              <w:rPr>
                <w:sz w:val="22"/>
                <w:szCs w:val="22"/>
                <w:lang w:val="pl-PL"/>
              </w:rPr>
              <w:lastRenderedPageBreak/>
              <w:t>niepożądane</w:t>
            </w:r>
          </w:p>
        </w:tc>
        <w:tc>
          <w:tcPr>
            <w:tcW w:w="2185" w:type="pct"/>
          </w:tcPr>
          <w:p w14:paraId="44F2DE4A" w14:textId="77777777" w:rsidR="00D33C5F" w:rsidRPr="00374609" w:rsidRDefault="00D33C5F" w:rsidP="006E5CC8">
            <w:pPr>
              <w:autoSpaceDE w:val="0"/>
              <w:autoSpaceDN w:val="0"/>
              <w:adjustRightInd w:val="0"/>
              <w:jc w:val="center"/>
              <w:rPr>
                <w:lang w:val="pl-PL"/>
              </w:rPr>
            </w:pPr>
            <w:r w:rsidRPr="00374609">
              <w:rPr>
                <w:sz w:val="22"/>
                <w:szCs w:val="22"/>
                <w:lang w:val="pl-PL"/>
              </w:rPr>
              <w:lastRenderedPageBreak/>
              <w:t xml:space="preserve">Występowanie u pacjentów </w:t>
            </w:r>
            <w:r w:rsidRPr="00374609">
              <w:rPr>
                <w:sz w:val="22"/>
                <w:szCs w:val="22"/>
                <w:lang w:val="pl-PL"/>
              </w:rPr>
              <w:lastRenderedPageBreak/>
              <w:t>przyjmujących hydroksyzynę (%)</w:t>
            </w:r>
          </w:p>
        </w:tc>
        <w:tc>
          <w:tcPr>
            <w:tcW w:w="1870" w:type="pct"/>
          </w:tcPr>
          <w:p w14:paraId="3446A735" w14:textId="77777777" w:rsidR="00D33C5F" w:rsidRPr="00374609" w:rsidRDefault="00D33C5F" w:rsidP="006E5CC8">
            <w:pPr>
              <w:autoSpaceDE w:val="0"/>
              <w:autoSpaceDN w:val="0"/>
              <w:adjustRightInd w:val="0"/>
              <w:jc w:val="center"/>
              <w:rPr>
                <w:lang w:val="pl-PL"/>
              </w:rPr>
            </w:pPr>
            <w:r w:rsidRPr="00374609">
              <w:rPr>
                <w:sz w:val="22"/>
                <w:szCs w:val="22"/>
                <w:lang w:val="pl-PL"/>
              </w:rPr>
              <w:lastRenderedPageBreak/>
              <w:t xml:space="preserve">Występowanie u osób </w:t>
            </w:r>
            <w:r w:rsidRPr="00374609">
              <w:rPr>
                <w:sz w:val="22"/>
                <w:szCs w:val="22"/>
                <w:lang w:val="pl-PL"/>
              </w:rPr>
              <w:lastRenderedPageBreak/>
              <w:t>przyjmujących placebo (%)</w:t>
            </w:r>
          </w:p>
        </w:tc>
      </w:tr>
      <w:tr w:rsidR="00380DF4" w:rsidRPr="00374609" w14:paraId="279D599F" w14:textId="77777777" w:rsidTr="00A26EB3">
        <w:trPr>
          <w:trHeight w:val="1260"/>
        </w:trPr>
        <w:tc>
          <w:tcPr>
            <w:tcW w:w="945" w:type="pct"/>
          </w:tcPr>
          <w:p w14:paraId="54117913" w14:textId="77777777" w:rsidR="00380DF4" w:rsidRPr="00374609" w:rsidRDefault="00380DF4" w:rsidP="006E5CC8">
            <w:pPr>
              <w:autoSpaceDE w:val="0"/>
              <w:autoSpaceDN w:val="0"/>
              <w:adjustRightInd w:val="0"/>
              <w:rPr>
                <w:lang w:val="pl-PL"/>
              </w:rPr>
            </w:pPr>
            <w:r w:rsidRPr="00374609">
              <w:rPr>
                <w:sz w:val="22"/>
                <w:szCs w:val="22"/>
                <w:lang w:val="pl-PL"/>
              </w:rPr>
              <w:lastRenderedPageBreak/>
              <w:t xml:space="preserve">Senność </w:t>
            </w:r>
          </w:p>
          <w:p w14:paraId="3D5EA1D3" w14:textId="77777777" w:rsidR="00380DF4" w:rsidRPr="00374609" w:rsidRDefault="00380DF4" w:rsidP="006E5CC8">
            <w:pPr>
              <w:autoSpaceDE w:val="0"/>
              <w:autoSpaceDN w:val="0"/>
              <w:adjustRightInd w:val="0"/>
              <w:rPr>
                <w:lang w:val="pl-PL"/>
              </w:rPr>
            </w:pPr>
            <w:r w:rsidRPr="00374609">
              <w:rPr>
                <w:sz w:val="22"/>
                <w:szCs w:val="22"/>
                <w:lang w:val="pl-PL"/>
              </w:rPr>
              <w:t>Ból głowy</w:t>
            </w:r>
          </w:p>
          <w:p w14:paraId="7272DFE9" w14:textId="77777777" w:rsidR="00380DF4" w:rsidRPr="00374609" w:rsidRDefault="00380DF4" w:rsidP="006E5CC8">
            <w:pPr>
              <w:autoSpaceDE w:val="0"/>
              <w:autoSpaceDN w:val="0"/>
              <w:adjustRightInd w:val="0"/>
              <w:rPr>
                <w:lang w:val="pl-PL"/>
              </w:rPr>
            </w:pPr>
            <w:r w:rsidRPr="00374609">
              <w:rPr>
                <w:sz w:val="22"/>
                <w:szCs w:val="22"/>
                <w:lang w:val="pl-PL"/>
              </w:rPr>
              <w:t>Zmęczenie</w:t>
            </w:r>
          </w:p>
          <w:p w14:paraId="3C04D9B1" w14:textId="77777777" w:rsidR="00380DF4" w:rsidRPr="00374609" w:rsidRDefault="00380DF4" w:rsidP="006E5CC8">
            <w:pPr>
              <w:autoSpaceDE w:val="0"/>
              <w:autoSpaceDN w:val="0"/>
              <w:adjustRightInd w:val="0"/>
              <w:rPr>
                <w:lang w:val="pl-PL"/>
              </w:rPr>
            </w:pPr>
            <w:r w:rsidRPr="00374609">
              <w:rPr>
                <w:sz w:val="22"/>
                <w:szCs w:val="22"/>
                <w:lang w:val="pl-PL"/>
              </w:rPr>
              <w:t>Suchość w jamie ustnej</w:t>
            </w:r>
          </w:p>
        </w:tc>
        <w:tc>
          <w:tcPr>
            <w:tcW w:w="2185" w:type="pct"/>
          </w:tcPr>
          <w:p w14:paraId="21203272" w14:textId="77777777" w:rsidR="00380DF4" w:rsidRPr="00380DF4" w:rsidRDefault="00380DF4" w:rsidP="00380DF4">
            <w:pPr>
              <w:jc w:val="center"/>
            </w:pPr>
            <w:r w:rsidRPr="00380DF4">
              <w:t>13,74</w:t>
            </w:r>
          </w:p>
          <w:p w14:paraId="6B3BFC67" w14:textId="77777777" w:rsidR="00380DF4" w:rsidRPr="00374609" w:rsidRDefault="00380DF4" w:rsidP="006E5CC8">
            <w:pPr>
              <w:autoSpaceDE w:val="0"/>
              <w:autoSpaceDN w:val="0"/>
              <w:adjustRightInd w:val="0"/>
              <w:jc w:val="center"/>
              <w:rPr>
                <w:lang w:val="pl-PL"/>
              </w:rPr>
            </w:pPr>
            <w:r w:rsidRPr="00374609">
              <w:rPr>
                <w:sz w:val="22"/>
                <w:szCs w:val="22"/>
                <w:lang w:val="pl-PL"/>
              </w:rPr>
              <w:t>1,63</w:t>
            </w:r>
          </w:p>
          <w:p w14:paraId="774EF613" w14:textId="77777777" w:rsidR="00380DF4" w:rsidRPr="00374609" w:rsidRDefault="00380DF4" w:rsidP="006E5CC8">
            <w:pPr>
              <w:autoSpaceDE w:val="0"/>
              <w:autoSpaceDN w:val="0"/>
              <w:adjustRightInd w:val="0"/>
              <w:jc w:val="center"/>
              <w:rPr>
                <w:lang w:val="pl-PL"/>
              </w:rPr>
            </w:pPr>
            <w:r w:rsidRPr="00374609">
              <w:rPr>
                <w:sz w:val="22"/>
                <w:szCs w:val="22"/>
                <w:lang w:val="pl-PL"/>
              </w:rPr>
              <w:t>1,36</w:t>
            </w:r>
          </w:p>
          <w:p w14:paraId="2B431E15" w14:textId="77777777" w:rsidR="00380DF4" w:rsidRPr="00380DF4" w:rsidRDefault="00380DF4" w:rsidP="006E5CC8">
            <w:pPr>
              <w:autoSpaceDE w:val="0"/>
              <w:autoSpaceDN w:val="0"/>
              <w:adjustRightInd w:val="0"/>
              <w:jc w:val="center"/>
            </w:pPr>
            <w:r w:rsidRPr="00374609">
              <w:rPr>
                <w:sz w:val="22"/>
                <w:szCs w:val="22"/>
                <w:lang w:val="pl-PL"/>
              </w:rPr>
              <w:t>1,22</w:t>
            </w:r>
          </w:p>
        </w:tc>
        <w:tc>
          <w:tcPr>
            <w:tcW w:w="1870" w:type="pct"/>
          </w:tcPr>
          <w:p w14:paraId="48E5C3C0" w14:textId="77777777" w:rsidR="00380DF4" w:rsidRPr="00374609" w:rsidRDefault="00380DF4" w:rsidP="006E5CC8">
            <w:pPr>
              <w:autoSpaceDE w:val="0"/>
              <w:autoSpaceDN w:val="0"/>
              <w:adjustRightInd w:val="0"/>
              <w:jc w:val="center"/>
              <w:rPr>
                <w:lang w:val="pl-PL"/>
              </w:rPr>
            </w:pPr>
            <w:r w:rsidRPr="00374609">
              <w:rPr>
                <w:sz w:val="22"/>
                <w:szCs w:val="22"/>
                <w:lang w:val="pl-PL"/>
              </w:rPr>
              <w:t>2,70</w:t>
            </w:r>
          </w:p>
          <w:p w14:paraId="31937877" w14:textId="77777777" w:rsidR="00380DF4" w:rsidRPr="00374609" w:rsidRDefault="00380DF4" w:rsidP="006E5CC8">
            <w:pPr>
              <w:autoSpaceDE w:val="0"/>
              <w:autoSpaceDN w:val="0"/>
              <w:adjustRightInd w:val="0"/>
              <w:jc w:val="center"/>
              <w:rPr>
                <w:lang w:val="pl-PL"/>
              </w:rPr>
            </w:pPr>
            <w:r w:rsidRPr="00374609">
              <w:rPr>
                <w:sz w:val="22"/>
                <w:szCs w:val="22"/>
                <w:lang w:val="pl-PL"/>
              </w:rPr>
              <w:t>1,90</w:t>
            </w:r>
          </w:p>
          <w:p w14:paraId="01812D4C" w14:textId="77777777" w:rsidR="00380DF4" w:rsidRPr="00374609" w:rsidRDefault="00380DF4" w:rsidP="006E5CC8">
            <w:pPr>
              <w:autoSpaceDE w:val="0"/>
              <w:autoSpaceDN w:val="0"/>
              <w:adjustRightInd w:val="0"/>
              <w:jc w:val="center"/>
              <w:rPr>
                <w:lang w:val="pl-PL"/>
              </w:rPr>
            </w:pPr>
            <w:r w:rsidRPr="00374609">
              <w:rPr>
                <w:sz w:val="22"/>
                <w:szCs w:val="22"/>
                <w:lang w:val="pl-PL"/>
              </w:rPr>
              <w:t>0,63</w:t>
            </w:r>
          </w:p>
          <w:p w14:paraId="53B37BB3" w14:textId="77777777" w:rsidR="00380DF4" w:rsidRPr="00374609" w:rsidRDefault="00380DF4" w:rsidP="006E5CC8">
            <w:pPr>
              <w:autoSpaceDE w:val="0"/>
              <w:autoSpaceDN w:val="0"/>
              <w:adjustRightInd w:val="0"/>
              <w:jc w:val="center"/>
              <w:rPr>
                <w:lang w:val="pl-PL"/>
              </w:rPr>
            </w:pPr>
            <w:r w:rsidRPr="00374609">
              <w:rPr>
                <w:sz w:val="22"/>
                <w:szCs w:val="22"/>
                <w:lang w:val="pl-PL"/>
              </w:rPr>
              <w:t>0,63</w:t>
            </w:r>
          </w:p>
        </w:tc>
      </w:tr>
    </w:tbl>
    <w:p w14:paraId="5A83F4AA" w14:textId="77777777" w:rsidR="00D33C5F" w:rsidRPr="00374609" w:rsidRDefault="00D33C5F" w:rsidP="00C51997">
      <w:pPr>
        <w:autoSpaceDE w:val="0"/>
        <w:autoSpaceDN w:val="0"/>
        <w:adjustRightInd w:val="0"/>
        <w:rPr>
          <w:sz w:val="22"/>
          <w:szCs w:val="22"/>
          <w:lang w:val="pl-PL"/>
        </w:rPr>
      </w:pPr>
    </w:p>
    <w:p w14:paraId="134DF7AD" w14:textId="77777777" w:rsidR="00D33C5F" w:rsidRPr="00374609" w:rsidRDefault="00D33C5F" w:rsidP="00B35D31">
      <w:pPr>
        <w:autoSpaceDE w:val="0"/>
        <w:autoSpaceDN w:val="0"/>
        <w:adjustRightInd w:val="0"/>
        <w:rPr>
          <w:sz w:val="22"/>
          <w:szCs w:val="22"/>
          <w:lang w:val="pl-PL"/>
        </w:rPr>
      </w:pPr>
      <w:r w:rsidRPr="00374609">
        <w:rPr>
          <w:sz w:val="22"/>
          <w:szCs w:val="22"/>
          <w:lang w:val="pl-PL"/>
        </w:rPr>
        <w:t>Zaobserwowano następujące działania niepożądane związane z cetyryzyną, głównym metabolitem</w:t>
      </w:r>
    </w:p>
    <w:p w14:paraId="31235A20" w14:textId="77777777" w:rsidR="00D33C5F" w:rsidRPr="00374609" w:rsidRDefault="00D33C5F" w:rsidP="00B35D31">
      <w:pPr>
        <w:autoSpaceDE w:val="0"/>
        <w:autoSpaceDN w:val="0"/>
        <w:adjustRightInd w:val="0"/>
        <w:rPr>
          <w:sz w:val="22"/>
          <w:szCs w:val="22"/>
          <w:lang w:val="pl-PL"/>
        </w:rPr>
      </w:pPr>
      <w:r w:rsidRPr="00374609">
        <w:rPr>
          <w:sz w:val="22"/>
          <w:szCs w:val="22"/>
          <w:lang w:val="pl-PL"/>
        </w:rPr>
        <w:t xml:space="preserve">hydroksyzyny, które mogą wystąpić również po podaniu hydroksyzyny: </w:t>
      </w:r>
      <w:r>
        <w:rPr>
          <w:sz w:val="22"/>
          <w:szCs w:val="22"/>
          <w:lang w:val="pl-PL"/>
        </w:rPr>
        <w:t>małopłytkowość</w:t>
      </w:r>
      <w:r w:rsidRPr="00374609">
        <w:rPr>
          <w:sz w:val="22"/>
          <w:szCs w:val="22"/>
          <w:lang w:val="pl-PL"/>
        </w:rPr>
        <w:t>,</w:t>
      </w:r>
    </w:p>
    <w:p w14:paraId="344552E5" w14:textId="77777777" w:rsidR="00D33C5F" w:rsidRPr="00374609" w:rsidRDefault="00D33C5F" w:rsidP="00B35D31">
      <w:pPr>
        <w:autoSpaceDE w:val="0"/>
        <w:autoSpaceDN w:val="0"/>
        <w:adjustRightInd w:val="0"/>
        <w:rPr>
          <w:sz w:val="22"/>
          <w:szCs w:val="22"/>
          <w:lang w:val="pl-PL"/>
        </w:rPr>
      </w:pPr>
      <w:r w:rsidRPr="00374609">
        <w:rPr>
          <w:sz w:val="22"/>
          <w:szCs w:val="22"/>
          <w:lang w:val="pl-PL"/>
        </w:rPr>
        <w:t>agresywność, depresja, tiki, dystonia, parestezja, napady przymusowego patrzenia z rotacją gałek</w:t>
      </w:r>
    </w:p>
    <w:p w14:paraId="6289E9CA" w14:textId="77777777" w:rsidR="00D33C5F" w:rsidRPr="00374609" w:rsidRDefault="00D33C5F" w:rsidP="00B35D31">
      <w:pPr>
        <w:autoSpaceDE w:val="0"/>
        <w:autoSpaceDN w:val="0"/>
        <w:adjustRightInd w:val="0"/>
        <w:rPr>
          <w:sz w:val="22"/>
          <w:szCs w:val="22"/>
          <w:lang w:val="pl-PL"/>
        </w:rPr>
      </w:pPr>
      <w:r w:rsidRPr="00374609">
        <w:rPr>
          <w:sz w:val="22"/>
          <w:szCs w:val="22"/>
          <w:lang w:val="pl-PL"/>
        </w:rPr>
        <w:t>ocznych, biegunka, trudności w oddawaniu moczu, mimowolne oddawanie moczu, astenia, obrzęk,</w:t>
      </w:r>
    </w:p>
    <w:p w14:paraId="5FDAD8FA" w14:textId="77777777" w:rsidR="00D33C5F" w:rsidRPr="00374609" w:rsidRDefault="00D33C5F" w:rsidP="00B35D31">
      <w:pPr>
        <w:autoSpaceDE w:val="0"/>
        <w:autoSpaceDN w:val="0"/>
        <w:adjustRightInd w:val="0"/>
        <w:rPr>
          <w:sz w:val="22"/>
          <w:szCs w:val="22"/>
          <w:lang w:val="pl-PL"/>
        </w:rPr>
      </w:pPr>
      <w:r w:rsidRPr="00374609">
        <w:rPr>
          <w:sz w:val="22"/>
          <w:szCs w:val="22"/>
          <w:lang w:val="pl-PL"/>
        </w:rPr>
        <w:t>zwiększenie masy ciała.</w:t>
      </w:r>
    </w:p>
    <w:p w14:paraId="69C2CC8E" w14:textId="77777777" w:rsidR="00D33C5F" w:rsidRPr="00374609" w:rsidRDefault="00D33C5F" w:rsidP="00B35D31">
      <w:pPr>
        <w:autoSpaceDE w:val="0"/>
        <w:autoSpaceDN w:val="0"/>
        <w:adjustRightInd w:val="0"/>
        <w:rPr>
          <w:sz w:val="22"/>
          <w:szCs w:val="22"/>
          <w:lang w:val="pl-PL"/>
        </w:rPr>
      </w:pPr>
    </w:p>
    <w:p w14:paraId="712E4657" w14:textId="77777777" w:rsidR="00D33C5F" w:rsidRPr="00374609" w:rsidRDefault="00D33C5F" w:rsidP="00C51997">
      <w:pPr>
        <w:pStyle w:val="Nagwek1"/>
      </w:pPr>
      <w:r w:rsidRPr="00374609">
        <w:t>Dane z okresu po wprowadzeniu do obrotu</w:t>
      </w:r>
    </w:p>
    <w:p w14:paraId="046B466E" w14:textId="227998A5" w:rsidR="00696F4D" w:rsidRPr="00374609" w:rsidRDefault="00D33C5F" w:rsidP="00C51997">
      <w:pPr>
        <w:autoSpaceDE w:val="0"/>
        <w:autoSpaceDN w:val="0"/>
        <w:adjustRightInd w:val="0"/>
        <w:rPr>
          <w:sz w:val="22"/>
          <w:szCs w:val="22"/>
          <w:lang w:val="pl-PL"/>
        </w:rPr>
      </w:pPr>
      <w:r w:rsidRPr="00374609">
        <w:rPr>
          <w:sz w:val="22"/>
          <w:szCs w:val="22"/>
          <w:lang w:val="pl-PL"/>
        </w:rPr>
        <w:t>Poniżej wymieniono działania niepożądane zgłaszane po wprowadzeniu leku do obrotu. Zestawiono je według układów i częstości występowania. Częstość występowania określono w następujący sposób: bardzo często (≥1/10); często (≥1/100 do &lt;1/10); niezbyt często (≥1/1000 do &lt;1/100); rzadko (≥1/10 000 do &lt;1/1000); bardzo rzadko (&lt;1/10 000), częstość nieznana (nie może być określona na podstawie dostępnych danych).</w:t>
      </w:r>
    </w:p>
    <w:p w14:paraId="0E8A7986" w14:textId="43EBCAFE" w:rsidR="00D33C5F" w:rsidRDefault="00D33C5F" w:rsidP="00C51997">
      <w:pPr>
        <w:autoSpaceDE w:val="0"/>
        <w:autoSpaceDN w:val="0"/>
        <w:adjustRightInd w:val="0"/>
        <w:rPr>
          <w:sz w:val="22"/>
          <w:szCs w:val="22"/>
          <w:lang w:val="pl-PL"/>
        </w:rPr>
      </w:pPr>
    </w:p>
    <w:tbl>
      <w:tblPr>
        <w:tblStyle w:val="Tabela-Siatka"/>
        <w:tblW w:w="0" w:type="auto"/>
        <w:tblLook w:val="04A0" w:firstRow="1" w:lastRow="0" w:firstColumn="1" w:lastColumn="0" w:noHBand="0" w:noVBand="1"/>
      </w:tblPr>
      <w:tblGrid>
        <w:gridCol w:w="2518"/>
        <w:gridCol w:w="2268"/>
        <w:gridCol w:w="4427"/>
      </w:tblGrid>
      <w:tr w:rsidR="00087DAA" w14:paraId="01B80E00" w14:textId="77777777" w:rsidTr="003E277A">
        <w:tc>
          <w:tcPr>
            <w:tcW w:w="2518" w:type="dxa"/>
          </w:tcPr>
          <w:p w14:paraId="50815D2C" w14:textId="13B09621" w:rsidR="00087DAA" w:rsidRDefault="00087DAA" w:rsidP="003E277A">
            <w:pPr>
              <w:autoSpaceDE w:val="0"/>
              <w:autoSpaceDN w:val="0"/>
              <w:adjustRightInd w:val="0"/>
              <w:jc w:val="center"/>
              <w:rPr>
                <w:sz w:val="22"/>
                <w:szCs w:val="22"/>
                <w:lang w:val="pl-PL"/>
              </w:rPr>
            </w:pPr>
            <w:r w:rsidRPr="00087DAA">
              <w:rPr>
                <w:b/>
                <w:sz w:val="22"/>
                <w:szCs w:val="22"/>
                <w:lang w:val="pl-PL"/>
              </w:rPr>
              <w:t>Klasyfikacja układów i narządów</w:t>
            </w:r>
          </w:p>
        </w:tc>
        <w:tc>
          <w:tcPr>
            <w:tcW w:w="2268" w:type="dxa"/>
          </w:tcPr>
          <w:p w14:paraId="0DE03FFF" w14:textId="55395E03" w:rsidR="00087DAA" w:rsidRDefault="00087DAA" w:rsidP="003E277A">
            <w:pPr>
              <w:autoSpaceDE w:val="0"/>
              <w:autoSpaceDN w:val="0"/>
              <w:adjustRightInd w:val="0"/>
              <w:jc w:val="center"/>
              <w:rPr>
                <w:sz w:val="22"/>
                <w:szCs w:val="22"/>
                <w:lang w:val="pl-PL"/>
              </w:rPr>
            </w:pPr>
            <w:r w:rsidRPr="009D6E27">
              <w:rPr>
                <w:b/>
                <w:color w:val="000000"/>
                <w:spacing w:val="1"/>
              </w:rPr>
              <w:t xml:space="preserve">Częstość </w:t>
            </w:r>
            <w:r w:rsidRPr="009D6E27">
              <w:rPr>
                <w:b/>
                <w:color w:val="000000"/>
                <w:spacing w:val="2"/>
              </w:rPr>
              <w:t>występowania</w:t>
            </w:r>
          </w:p>
        </w:tc>
        <w:tc>
          <w:tcPr>
            <w:tcW w:w="4427" w:type="dxa"/>
          </w:tcPr>
          <w:p w14:paraId="6F03D966" w14:textId="0F9C35C6" w:rsidR="00087DAA" w:rsidRDefault="00087DAA" w:rsidP="003E277A">
            <w:pPr>
              <w:autoSpaceDE w:val="0"/>
              <w:autoSpaceDN w:val="0"/>
              <w:adjustRightInd w:val="0"/>
              <w:jc w:val="center"/>
              <w:rPr>
                <w:sz w:val="22"/>
                <w:szCs w:val="22"/>
                <w:lang w:val="pl-PL"/>
              </w:rPr>
            </w:pPr>
            <w:r w:rsidRPr="009D6E27">
              <w:rPr>
                <w:b/>
                <w:color w:val="000000"/>
                <w:spacing w:val="3"/>
              </w:rPr>
              <w:t>Działania niepożądane</w:t>
            </w:r>
          </w:p>
        </w:tc>
      </w:tr>
      <w:tr w:rsidR="003525B3" w14:paraId="20C5BE3B" w14:textId="77777777" w:rsidTr="003E277A">
        <w:trPr>
          <w:trHeight w:val="255"/>
        </w:trPr>
        <w:tc>
          <w:tcPr>
            <w:tcW w:w="2518" w:type="dxa"/>
            <w:vMerge w:val="restart"/>
          </w:tcPr>
          <w:p w14:paraId="0CFDD7DE" w14:textId="4EBFA6BC" w:rsidR="003525B3" w:rsidRPr="00261964" w:rsidRDefault="003525B3" w:rsidP="003E277A">
            <w:pPr>
              <w:pStyle w:val="Nagwek3"/>
              <w:rPr>
                <w:sz w:val="22"/>
                <w:szCs w:val="22"/>
              </w:rPr>
            </w:pPr>
            <w:r w:rsidRPr="003E277A">
              <w:rPr>
                <w:sz w:val="22"/>
                <w:szCs w:val="22"/>
                <w:u w:val="none"/>
              </w:rPr>
              <w:t>Zaburzenia układu immunologicznego</w:t>
            </w:r>
          </w:p>
        </w:tc>
        <w:tc>
          <w:tcPr>
            <w:tcW w:w="2268" w:type="dxa"/>
          </w:tcPr>
          <w:p w14:paraId="2A547AA3" w14:textId="50891AFB" w:rsidR="003525B3" w:rsidRDefault="003525B3" w:rsidP="00C51997">
            <w:pPr>
              <w:autoSpaceDE w:val="0"/>
              <w:autoSpaceDN w:val="0"/>
              <w:adjustRightInd w:val="0"/>
              <w:rPr>
                <w:sz w:val="22"/>
                <w:szCs w:val="22"/>
                <w:lang w:val="pl-PL"/>
              </w:rPr>
            </w:pPr>
            <w:r>
              <w:rPr>
                <w:sz w:val="22"/>
                <w:szCs w:val="22"/>
                <w:lang w:val="pl-PL"/>
              </w:rPr>
              <w:t>rzadko</w:t>
            </w:r>
          </w:p>
        </w:tc>
        <w:tc>
          <w:tcPr>
            <w:tcW w:w="4427" w:type="dxa"/>
          </w:tcPr>
          <w:p w14:paraId="4FAC51AA" w14:textId="0CBFFE8F" w:rsidR="003525B3" w:rsidRDefault="003525B3" w:rsidP="00C51997">
            <w:pPr>
              <w:autoSpaceDE w:val="0"/>
              <w:autoSpaceDN w:val="0"/>
              <w:adjustRightInd w:val="0"/>
              <w:rPr>
                <w:sz w:val="22"/>
                <w:szCs w:val="22"/>
                <w:lang w:val="pl-PL"/>
              </w:rPr>
            </w:pPr>
            <w:r w:rsidRPr="00374609">
              <w:rPr>
                <w:sz w:val="22"/>
                <w:szCs w:val="22"/>
                <w:lang w:val="pl-PL"/>
              </w:rPr>
              <w:t>reakcje nadwrażliwości</w:t>
            </w:r>
          </w:p>
        </w:tc>
      </w:tr>
      <w:tr w:rsidR="003525B3" w14:paraId="53BB1C00" w14:textId="77777777" w:rsidTr="003E277A">
        <w:trPr>
          <w:trHeight w:val="255"/>
        </w:trPr>
        <w:tc>
          <w:tcPr>
            <w:tcW w:w="2518" w:type="dxa"/>
            <w:vMerge/>
          </w:tcPr>
          <w:p w14:paraId="24387A25" w14:textId="77777777" w:rsidR="003525B3" w:rsidRPr="00087DAA" w:rsidRDefault="003525B3" w:rsidP="00087DAA">
            <w:pPr>
              <w:pStyle w:val="Nagwek3"/>
              <w:rPr>
                <w:sz w:val="22"/>
                <w:szCs w:val="22"/>
                <w:u w:val="none"/>
              </w:rPr>
            </w:pPr>
          </w:p>
        </w:tc>
        <w:tc>
          <w:tcPr>
            <w:tcW w:w="2268" w:type="dxa"/>
          </w:tcPr>
          <w:p w14:paraId="27E67425" w14:textId="2123E368" w:rsidR="003525B3" w:rsidRDefault="003525B3" w:rsidP="00C51997">
            <w:pPr>
              <w:autoSpaceDE w:val="0"/>
              <w:autoSpaceDN w:val="0"/>
              <w:adjustRightInd w:val="0"/>
              <w:rPr>
                <w:sz w:val="22"/>
                <w:szCs w:val="22"/>
                <w:lang w:val="pl-PL"/>
              </w:rPr>
            </w:pPr>
            <w:r>
              <w:rPr>
                <w:sz w:val="22"/>
                <w:szCs w:val="22"/>
                <w:lang w:val="pl-PL"/>
              </w:rPr>
              <w:t>bardzo rzadko</w:t>
            </w:r>
          </w:p>
        </w:tc>
        <w:tc>
          <w:tcPr>
            <w:tcW w:w="4427" w:type="dxa"/>
          </w:tcPr>
          <w:p w14:paraId="25B2B449" w14:textId="77B935C5" w:rsidR="003525B3" w:rsidRDefault="003525B3" w:rsidP="00C51997">
            <w:pPr>
              <w:autoSpaceDE w:val="0"/>
              <w:autoSpaceDN w:val="0"/>
              <w:adjustRightInd w:val="0"/>
              <w:rPr>
                <w:sz w:val="22"/>
                <w:szCs w:val="22"/>
                <w:lang w:val="pl-PL"/>
              </w:rPr>
            </w:pPr>
            <w:r w:rsidRPr="00374609">
              <w:rPr>
                <w:bCs/>
                <w:sz w:val="22"/>
                <w:szCs w:val="22"/>
                <w:lang w:val="pl-PL"/>
              </w:rPr>
              <w:t>wstrząs anafilaktyczny</w:t>
            </w:r>
          </w:p>
        </w:tc>
      </w:tr>
      <w:tr w:rsidR="003525B3" w14:paraId="414AF89D" w14:textId="77777777" w:rsidTr="003E277A">
        <w:trPr>
          <w:trHeight w:val="255"/>
        </w:trPr>
        <w:tc>
          <w:tcPr>
            <w:tcW w:w="2518" w:type="dxa"/>
            <w:vMerge w:val="restart"/>
          </w:tcPr>
          <w:p w14:paraId="730D120F" w14:textId="77777777" w:rsidR="003525B3" w:rsidRPr="003E277A" w:rsidRDefault="003525B3" w:rsidP="003525B3">
            <w:pPr>
              <w:pStyle w:val="Nagwek3"/>
              <w:rPr>
                <w:sz w:val="22"/>
                <w:szCs w:val="22"/>
                <w:u w:val="none"/>
              </w:rPr>
            </w:pPr>
            <w:r w:rsidRPr="003E277A">
              <w:rPr>
                <w:sz w:val="22"/>
                <w:szCs w:val="22"/>
                <w:u w:val="none"/>
              </w:rPr>
              <w:t>Zaburzenia psychiczne</w:t>
            </w:r>
          </w:p>
          <w:p w14:paraId="5D1FA2D1" w14:textId="77777777" w:rsidR="003525B3" w:rsidRDefault="003525B3" w:rsidP="00C51997">
            <w:pPr>
              <w:autoSpaceDE w:val="0"/>
              <w:autoSpaceDN w:val="0"/>
              <w:adjustRightInd w:val="0"/>
              <w:rPr>
                <w:sz w:val="22"/>
                <w:szCs w:val="22"/>
                <w:lang w:val="pl-PL"/>
              </w:rPr>
            </w:pPr>
          </w:p>
        </w:tc>
        <w:tc>
          <w:tcPr>
            <w:tcW w:w="2268" w:type="dxa"/>
          </w:tcPr>
          <w:p w14:paraId="474F5F27" w14:textId="74793D4E" w:rsidR="003525B3" w:rsidRDefault="003525B3" w:rsidP="00C51997">
            <w:pPr>
              <w:autoSpaceDE w:val="0"/>
              <w:autoSpaceDN w:val="0"/>
              <w:adjustRightInd w:val="0"/>
              <w:rPr>
                <w:sz w:val="22"/>
                <w:szCs w:val="22"/>
                <w:lang w:val="pl-PL"/>
              </w:rPr>
            </w:pPr>
            <w:r>
              <w:rPr>
                <w:sz w:val="22"/>
                <w:szCs w:val="22"/>
                <w:lang w:val="pl-PL"/>
              </w:rPr>
              <w:t>niezbyt często</w:t>
            </w:r>
          </w:p>
        </w:tc>
        <w:tc>
          <w:tcPr>
            <w:tcW w:w="4427" w:type="dxa"/>
          </w:tcPr>
          <w:p w14:paraId="602D34AF" w14:textId="4B011BE6" w:rsidR="003525B3" w:rsidRDefault="003525B3" w:rsidP="00C51997">
            <w:pPr>
              <w:autoSpaceDE w:val="0"/>
              <w:autoSpaceDN w:val="0"/>
              <w:adjustRightInd w:val="0"/>
              <w:rPr>
                <w:sz w:val="22"/>
                <w:szCs w:val="22"/>
                <w:lang w:val="pl-PL"/>
              </w:rPr>
            </w:pPr>
            <w:r w:rsidRPr="00374609">
              <w:rPr>
                <w:sz w:val="22"/>
                <w:szCs w:val="22"/>
                <w:lang w:val="pl-PL"/>
              </w:rPr>
              <w:t>pobudzenie, splątanie</w:t>
            </w:r>
          </w:p>
        </w:tc>
      </w:tr>
      <w:tr w:rsidR="003525B3" w14:paraId="7C0A581A" w14:textId="77777777" w:rsidTr="003E277A">
        <w:trPr>
          <w:trHeight w:val="255"/>
        </w:trPr>
        <w:tc>
          <w:tcPr>
            <w:tcW w:w="2518" w:type="dxa"/>
            <w:vMerge/>
          </w:tcPr>
          <w:p w14:paraId="019B610E" w14:textId="77777777" w:rsidR="003525B3" w:rsidRPr="003525B3" w:rsidRDefault="003525B3" w:rsidP="003525B3">
            <w:pPr>
              <w:pStyle w:val="Nagwek3"/>
              <w:rPr>
                <w:sz w:val="22"/>
                <w:szCs w:val="22"/>
                <w:u w:val="none"/>
              </w:rPr>
            </w:pPr>
          </w:p>
        </w:tc>
        <w:tc>
          <w:tcPr>
            <w:tcW w:w="2268" w:type="dxa"/>
          </w:tcPr>
          <w:p w14:paraId="00D5FA3A" w14:textId="4AB24F7E" w:rsidR="003525B3" w:rsidRDefault="003525B3" w:rsidP="00C51997">
            <w:pPr>
              <w:autoSpaceDE w:val="0"/>
              <w:autoSpaceDN w:val="0"/>
              <w:adjustRightInd w:val="0"/>
              <w:rPr>
                <w:sz w:val="22"/>
                <w:szCs w:val="22"/>
                <w:lang w:val="pl-PL"/>
              </w:rPr>
            </w:pPr>
            <w:r>
              <w:rPr>
                <w:sz w:val="22"/>
                <w:szCs w:val="22"/>
                <w:lang w:val="pl-PL"/>
              </w:rPr>
              <w:t>rzadko</w:t>
            </w:r>
          </w:p>
        </w:tc>
        <w:tc>
          <w:tcPr>
            <w:tcW w:w="4427" w:type="dxa"/>
          </w:tcPr>
          <w:p w14:paraId="40E71480" w14:textId="2621A7E3" w:rsidR="003525B3" w:rsidRDefault="003525B3" w:rsidP="00C51997">
            <w:pPr>
              <w:autoSpaceDE w:val="0"/>
              <w:autoSpaceDN w:val="0"/>
              <w:adjustRightInd w:val="0"/>
              <w:rPr>
                <w:sz w:val="22"/>
                <w:szCs w:val="22"/>
                <w:lang w:val="pl-PL"/>
              </w:rPr>
            </w:pPr>
            <w:r w:rsidRPr="00374609">
              <w:rPr>
                <w:sz w:val="22"/>
                <w:szCs w:val="22"/>
                <w:lang w:val="pl-PL"/>
              </w:rPr>
              <w:t>dezorientacja, omamy</w:t>
            </w:r>
          </w:p>
        </w:tc>
      </w:tr>
      <w:tr w:rsidR="003525B3" w14:paraId="14644804" w14:textId="77777777" w:rsidTr="003E277A">
        <w:trPr>
          <w:trHeight w:val="129"/>
        </w:trPr>
        <w:tc>
          <w:tcPr>
            <w:tcW w:w="2518" w:type="dxa"/>
            <w:vMerge w:val="restart"/>
          </w:tcPr>
          <w:p w14:paraId="74306D1C" w14:textId="71BD2301" w:rsidR="003525B3" w:rsidRPr="00261964" w:rsidRDefault="003525B3" w:rsidP="003E277A">
            <w:pPr>
              <w:pStyle w:val="Nagwek3"/>
              <w:rPr>
                <w:sz w:val="22"/>
                <w:szCs w:val="22"/>
              </w:rPr>
            </w:pPr>
            <w:r w:rsidRPr="003E277A">
              <w:rPr>
                <w:sz w:val="22"/>
                <w:szCs w:val="22"/>
                <w:u w:val="none"/>
              </w:rPr>
              <w:t>Zaburzenia układu nerwowego</w:t>
            </w:r>
          </w:p>
        </w:tc>
        <w:tc>
          <w:tcPr>
            <w:tcW w:w="2268" w:type="dxa"/>
          </w:tcPr>
          <w:p w14:paraId="0F751E69" w14:textId="097EACAC" w:rsidR="003525B3" w:rsidRDefault="003525B3" w:rsidP="00C51997">
            <w:pPr>
              <w:autoSpaceDE w:val="0"/>
              <w:autoSpaceDN w:val="0"/>
              <w:adjustRightInd w:val="0"/>
              <w:rPr>
                <w:sz w:val="22"/>
                <w:szCs w:val="22"/>
                <w:lang w:val="pl-PL"/>
              </w:rPr>
            </w:pPr>
            <w:r>
              <w:rPr>
                <w:sz w:val="22"/>
                <w:szCs w:val="22"/>
                <w:lang w:val="pl-PL"/>
              </w:rPr>
              <w:t>bardzo często</w:t>
            </w:r>
          </w:p>
        </w:tc>
        <w:tc>
          <w:tcPr>
            <w:tcW w:w="4427" w:type="dxa"/>
          </w:tcPr>
          <w:p w14:paraId="4711E3FD" w14:textId="2BCA54CE" w:rsidR="003525B3" w:rsidRDefault="00DD538A" w:rsidP="00C51997">
            <w:pPr>
              <w:autoSpaceDE w:val="0"/>
              <w:autoSpaceDN w:val="0"/>
              <w:adjustRightInd w:val="0"/>
              <w:rPr>
                <w:sz w:val="22"/>
                <w:szCs w:val="22"/>
                <w:lang w:val="pl-PL"/>
              </w:rPr>
            </w:pPr>
            <w:r w:rsidRPr="007F2887">
              <w:rPr>
                <w:bCs/>
                <w:sz w:val="22"/>
                <w:szCs w:val="22"/>
                <w:lang w:val="pl-PL"/>
              </w:rPr>
              <w:t>senność</w:t>
            </w:r>
          </w:p>
        </w:tc>
      </w:tr>
      <w:tr w:rsidR="003525B3" w14:paraId="24402920" w14:textId="77777777" w:rsidTr="003E277A">
        <w:trPr>
          <w:trHeight w:val="127"/>
        </w:trPr>
        <w:tc>
          <w:tcPr>
            <w:tcW w:w="2518" w:type="dxa"/>
            <w:vMerge/>
          </w:tcPr>
          <w:p w14:paraId="7A77D26F" w14:textId="77777777" w:rsidR="003525B3" w:rsidRPr="003525B3" w:rsidRDefault="003525B3" w:rsidP="003525B3">
            <w:pPr>
              <w:pStyle w:val="Nagwek3"/>
              <w:rPr>
                <w:sz w:val="22"/>
                <w:szCs w:val="22"/>
                <w:u w:val="none"/>
              </w:rPr>
            </w:pPr>
          </w:p>
        </w:tc>
        <w:tc>
          <w:tcPr>
            <w:tcW w:w="2268" w:type="dxa"/>
          </w:tcPr>
          <w:p w14:paraId="6B5DF137" w14:textId="728A4D13" w:rsidR="003525B3" w:rsidRDefault="003525B3" w:rsidP="00C51997">
            <w:pPr>
              <w:autoSpaceDE w:val="0"/>
              <w:autoSpaceDN w:val="0"/>
              <w:adjustRightInd w:val="0"/>
              <w:rPr>
                <w:sz w:val="22"/>
                <w:szCs w:val="22"/>
                <w:lang w:val="pl-PL"/>
              </w:rPr>
            </w:pPr>
            <w:r>
              <w:rPr>
                <w:sz w:val="22"/>
                <w:szCs w:val="22"/>
                <w:lang w:val="pl-PL"/>
              </w:rPr>
              <w:t>często</w:t>
            </w:r>
          </w:p>
        </w:tc>
        <w:tc>
          <w:tcPr>
            <w:tcW w:w="4427" w:type="dxa"/>
          </w:tcPr>
          <w:p w14:paraId="61D0D9CB" w14:textId="45C27B3E" w:rsidR="003525B3" w:rsidRDefault="00DD538A" w:rsidP="00C51997">
            <w:pPr>
              <w:autoSpaceDE w:val="0"/>
              <w:autoSpaceDN w:val="0"/>
              <w:adjustRightInd w:val="0"/>
              <w:rPr>
                <w:sz w:val="22"/>
                <w:szCs w:val="22"/>
                <w:lang w:val="pl-PL"/>
              </w:rPr>
            </w:pPr>
            <w:r w:rsidRPr="007F2887">
              <w:rPr>
                <w:sz w:val="22"/>
                <w:szCs w:val="22"/>
                <w:lang w:val="pl-PL"/>
              </w:rPr>
              <w:t>ból głowy, sedacja</w:t>
            </w:r>
          </w:p>
        </w:tc>
      </w:tr>
      <w:tr w:rsidR="003525B3" w14:paraId="11A9B7DF" w14:textId="77777777" w:rsidTr="003E277A">
        <w:trPr>
          <w:trHeight w:val="127"/>
        </w:trPr>
        <w:tc>
          <w:tcPr>
            <w:tcW w:w="2518" w:type="dxa"/>
            <w:vMerge/>
          </w:tcPr>
          <w:p w14:paraId="4C766513" w14:textId="77777777" w:rsidR="003525B3" w:rsidRPr="003525B3" w:rsidRDefault="003525B3" w:rsidP="003525B3">
            <w:pPr>
              <w:pStyle w:val="Nagwek3"/>
              <w:rPr>
                <w:sz w:val="22"/>
                <w:szCs w:val="22"/>
                <w:u w:val="none"/>
              </w:rPr>
            </w:pPr>
          </w:p>
        </w:tc>
        <w:tc>
          <w:tcPr>
            <w:tcW w:w="2268" w:type="dxa"/>
          </w:tcPr>
          <w:p w14:paraId="337D997C" w14:textId="43870970" w:rsidR="003525B3" w:rsidRDefault="003525B3" w:rsidP="00C51997">
            <w:pPr>
              <w:autoSpaceDE w:val="0"/>
              <w:autoSpaceDN w:val="0"/>
              <w:adjustRightInd w:val="0"/>
              <w:rPr>
                <w:sz w:val="22"/>
                <w:szCs w:val="22"/>
                <w:lang w:val="pl-PL"/>
              </w:rPr>
            </w:pPr>
            <w:r>
              <w:rPr>
                <w:sz w:val="22"/>
                <w:szCs w:val="22"/>
                <w:lang w:val="pl-PL"/>
              </w:rPr>
              <w:t>niezbyt często</w:t>
            </w:r>
          </w:p>
        </w:tc>
        <w:tc>
          <w:tcPr>
            <w:tcW w:w="4427" w:type="dxa"/>
          </w:tcPr>
          <w:p w14:paraId="7510696F" w14:textId="783A3C92" w:rsidR="003525B3" w:rsidRDefault="00DD538A" w:rsidP="00C51997">
            <w:pPr>
              <w:autoSpaceDE w:val="0"/>
              <w:autoSpaceDN w:val="0"/>
              <w:adjustRightInd w:val="0"/>
              <w:rPr>
                <w:sz w:val="22"/>
                <w:szCs w:val="22"/>
                <w:lang w:val="pl-PL"/>
              </w:rPr>
            </w:pPr>
            <w:r w:rsidRPr="00374609">
              <w:rPr>
                <w:sz w:val="22"/>
                <w:szCs w:val="22"/>
                <w:lang w:val="pl-PL"/>
              </w:rPr>
              <w:t>zawroty głowy, bezsenność, drżenie</w:t>
            </w:r>
          </w:p>
        </w:tc>
      </w:tr>
      <w:tr w:rsidR="003525B3" w14:paraId="45E3F2A4" w14:textId="77777777" w:rsidTr="003E277A">
        <w:trPr>
          <w:trHeight w:val="127"/>
        </w:trPr>
        <w:tc>
          <w:tcPr>
            <w:tcW w:w="2518" w:type="dxa"/>
            <w:vMerge/>
          </w:tcPr>
          <w:p w14:paraId="36FF92E5" w14:textId="77777777" w:rsidR="003525B3" w:rsidRPr="003525B3" w:rsidRDefault="003525B3" w:rsidP="003525B3">
            <w:pPr>
              <w:pStyle w:val="Nagwek3"/>
              <w:rPr>
                <w:sz w:val="22"/>
                <w:szCs w:val="22"/>
                <w:u w:val="none"/>
              </w:rPr>
            </w:pPr>
          </w:p>
        </w:tc>
        <w:tc>
          <w:tcPr>
            <w:tcW w:w="2268" w:type="dxa"/>
          </w:tcPr>
          <w:p w14:paraId="58264076" w14:textId="7CC39943" w:rsidR="003525B3" w:rsidRDefault="003525B3" w:rsidP="00C51997">
            <w:pPr>
              <w:autoSpaceDE w:val="0"/>
              <w:autoSpaceDN w:val="0"/>
              <w:adjustRightInd w:val="0"/>
              <w:rPr>
                <w:sz w:val="22"/>
                <w:szCs w:val="22"/>
                <w:lang w:val="pl-PL"/>
              </w:rPr>
            </w:pPr>
            <w:r>
              <w:rPr>
                <w:sz w:val="22"/>
                <w:szCs w:val="22"/>
                <w:lang w:val="pl-PL"/>
              </w:rPr>
              <w:t>rzadko</w:t>
            </w:r>
          </w:p>
        </w:tc>
        <w:tc>
          <w:tcPr>
            <w:tcW w:w="4427" w:type="dxa"/>
          </w:tcPr>
          <w:p w14:paraId="05B32D77" w14:textId="413C2902" w:rsidR="003525B3" w:rsidRDefault="00DD538A" w:rsidP="00C51997">
            <w:pPr>
              <w:autoSpaceDE w:val="0"/>
              <w:autoSpaceDN w:val="0"/>
              <w:adjustRightInd w:val="0"/>
              <w:rPr>
                <w:sz w:val="22"/>
                <w:szCs w:val="22"/>
                <w:lang w:val="pl-PL"/>
              </w:rPr>
            </w:pPr>
            <w:r w:rsidRPr="00374609">
              <w:rPr>
                <w:sz w:val="22"/>
                <w:szCs w:val="22"/>
                <w:lang w:val="pl-PL"/>
              </w:rPr>
              <w:t>drgawki, dyskineza</w:t>
            </w:r>
          </w:p>
        </w:tc>
      </w:tr>
      <w:tr w:rsidR="00087DAA" w14:paraId="5F9C5CC8" w14:textId="77777777" w:rsidTr="003E277A">
        <w:tc>
          <w:tcPr>
            <w:tcW w:w="2518" w:type="dxa"/>
          </w:tcPr>
          <w:p w14:paraId="662B7DFE" w14:textId="50C79E38" w:rsidR="00087DAA" w:rsidRPr="00261964" w:rsidRDefault="00091AE8" w:rsidP="003E277A">
            <w:pPr>
              <w:pStyle w:val="Nagwek3"/>
              <w:rPr>
                <w:sz w:val="22"/>
                <w:szCs w:val="22"/>
              </w:rPr>
            </w:pPr>
            <w:r w:rsidRPr="003E277A">
              <w:rPr>
                <w:sz w:val="22"/>
                <w:szCs w:val="22"/>
                <w:u w:val="none"/>
              </w:rPr>
              <w:t>Zaburzenia oka</w:t>
            </w:r>
          </w:p>
        </w:tc>
        <w:tc>
          <w:tcPr>
            <w:tcW w:w="2268" w:type="dxa"/>
          </w:tcPr>
          <w:p w14:paraId="2D8D707C" w14:textId="0F6F6B32" w:rsidR="00087DAA" w:rsidRDefault="00091AE8" w:rsidP="00C51997">
            <w:pPr>
              <w:autoSpaceDE w:val="0"/>
              <w:autoSpaceDN w:val="0"/>
              <w:adjustRightInd w:val="0"/>
              <w:rPr>
                <w:sz w:val="22"/>
                <w:szCs w:val="22"/>
                <w:lang w:val="pl-PL"/>
              </w:rPr>
            </w:pPr>
            <w:r>
              <w:rPr>
                <w:sz w:val="22"/>
                <w:szCs w:val="22"/>
                <w:lang w:val="pl-PL"/>
              </w:rPr>
              <w:t>rzadko</w:t>
            </w:r>
          </w:p>
        </w:tc>
        <w:tc>
          <w:tcPr>
            <w:tcW w:w="4427" w:type="dxa"/>
          </w:tcPr>
          <w:p w14:paraId="26211E83" w14:textId="48C7C095" w:rsidR="00087DAA" w:rsidRDefault="00091AE8" w:rsidP="00C51997">
            <w:pPr>
              <w:autoSpaceDE w:val="0"/>
              <w:autoSpaceDN w:val="0"/>
              <w:adjustRightInd w:val="0"/>
              <w:rPr>
                <w:sz w:val="22"/>
                <w:szCs w:val="22"/>
                <w:lang w:val="pl-PL"/>
              </w:rPr>
            </w:pPr>
            <w:r w:rsidRPr="00374609">
              <w:rPr>
                <w:sz w:val="22"/>
                <w:szCs w:val="22"/>
                <w:lang w:val="pl-PL"/>
              </w:rPr>
              <w:t>zaburzenia akomodacji, niewyraźne widzenie</w:t>
            </w:r>
          </w:p>
        </w:tc>
      </w:tr>
      <w:tr w:rsidR="00091AE8" w14:paraId="33FEF2C7" w14:textId="77777777" w:rsidTr="003E277A">
        <w:trPr>
          <w:trHeight w:val="125"/>
        </w:trPr>
        <w:tc>
          <w:tcPr>
            <w:tcW w:w="2518" w:type="dxa"/>
            <w:vMerge w:val="restart"/>
          </w:tcPr>
          <w:p w14:paraId="0CA052A8" w14:textId="58D9E2B6" w:rsidR="00091AE8" w:rsidRPr="0006473E" w:rsidRDefault="00091AE8" w:rsidP="003E277A">
            <w:pPr>
              <w:pStyle w:val="Nagwek1"/>
            </w:pPr>
            <w:r w:rsidRPr="003E277A">
              <w:rPr>
                <w:u w:val="none"/>
              </w:rPr>
              <w:t>Zaburzenia serca</w:t>
            </w:r>
          </w:p>
        </w:tc>
        <w:tc>
          <w:tcPr>
            <w:tcW w:w="2268" w:type="dxa"/>
          </w:tcPr>
          <w:p w14:paraId="78F68297" w14:textId="0A5B70EF" w:rsidR="00091AE8" w:rsidRDefault="00091AE8" w:rsidP="00C51997">
            <w:pPr>
              <w:autoSpaceDE w:val="0"/>
              <w:autoSpaceDN w:val="0"/>
              <w:adjustRightInd w:val="0"/>
              <w:rPr>
                <w:sz w:val="22"/>
                <w:szCs w:val="22"/>
                <w:lang w:val="pl-PL"/>
              </w:rPr>
            </w:pPr>
            <w:r>
              <w:rPr>
                <w:sz w:val="22"/>
                <w:szCs w:val="22"/>
                <w:lang w:val="pl-PL"/>
              </w:rPr>
              <w:t>rzadko</w:t>
            </w:r>
          </w:p>
        </w:tc>
        <w:tc>
          <w:tcPr>
            <w:tcW w:w="4427" w:type="dxa"/>
          </w:tcPr>
          <w:p w14:paraId="0987A62E" w14:textId="05689330" w:rsidR="00091AE8" w:rsidRDefault="00091AE8" w:rsidP="00C51997">
            <w:pPr>
              <w:autoSpaceDE w:val="0"/>
              <w:autoSpaceDN w:val="0"/>
              <w:adjustRightInd w:val="0"/>
              <w:rPr>
                <w:sz w:val="22"/>
                <w:szCs w:val="22"/>
                <w:lang w:val="pl-PL"/>
              </w:rPr>
            </w:pPr>
            <w:r w:rsidRPr="00374609">
              <w:rPr>
                <w:sz w:val="22"/>
                <w:szCs w:val="22"/>
                <w:lang w:val="pl-PL"/>
              </w:rPr>
              <w:t>tachykardia</w:t>
            </w:r>
          </w:p>
        </w:tc>
      </w:tr>
      <w:tr w:rsidR="00091AE8" w:rsidRPr="006B6119" w14:paraId="76512298" w14:textId="77777777" w:rsidTr="003E277A">
        <w:trPr>
          <w:trHeight w:val="125"/>
        </w:trPr>
        <w:tc>
          <w:tcPr>
            <w:tcW w:w="2518" w:type="dxa"/>
            <w:vMerge/>
          </w:tcPr>
          <w:p w14:paraId="5824BAC9" w14:textId="77777777" w:rsidR="00091AE8" w:rsidRPr="003E277A" w:rsidRDefault="00091AE8" w:rsidP="00091AE8">
            <w:pPr>
              <w:pStyle w:val="Nagwek1"/>
              <w:rPr>
                <w:u w:val="none"/>
              </w:rPr>
            </w:pPr>
          </w:p>
        </w:tc>
        <w:tc>
          <w:tcPr>
            <w:tcW w:w="2268" w:type="dxa"/>
          </w:tcPr>
          <w:p w14:paraId="546D434B" w14:textId="6B0DFA71" w:rsidR="00091AE8" w:rsidRDefault="00091AE8" w:rsidP="00C51997">
            <w:pPr>
              <w:autoSpaceDE w:val="0"/>
              <w:autoSpaceDN w:val="0"/>
              <w:adjustRightInd w:val="0"/>
              <w:rPr>
                <w:sz w:val="22"/>
                <w:szCs w:val="22"/>
                <w:lang w:val="pl-PL"/>
              </w:rPr>
            </w:pPr>
            <w:r>
              <w:rPr>
                <w:sz w:val="22"/>
                <w:szCs w:val="22"/>
                <w:lang w:val="pl-PL"/>
              </w:rPr>
              <w:t>częstość nieznana</w:t>
            </w:r>
          </w:p>
        </w:tc>
        <w:tc>
          <w:tcPr>
            <w:tcW w:w="4427" w:type="dxa"/>
          </w:tcPr>
          <w:p w14:paraId="141EA29D" w14:textId="44A26D37" w:rsidR="00091AE8" w:rsidRDefault="00091AE8" w:rsidP="00C51997">
            <w:pPr>
              <w:autoSpaceDE w:val="0"/>
              <w:autoSpaceDN w:val="0"/>
              <w:adjustRightInd w:val="0"/>
              <w:rPr>
                <w:sz w:val="22"/>
                <w:szCs w:val="22"/>
                <w:lang w:val="pl-PL"/>
              </w:rPr>
            </w:pPr>
            <w:r w:rsidRPr="007F2887">
              <w:rPr>
                <w:sz w:val="22"/>
                <w:szCs w:val="22"/>
                <w:lang w:val="pl-PL"/>
              </w:rPr>
              <w:t xml:space="preserve">komorowe zaburzenia rytmu serca (np. </w:t>
            </w:r>
            <w:r w:rsidRPr="003E6209">
              <w:rPr>
                <w:i/>
                <w:sz w:val="22"/>
                <w:szCs w:val="22"/>
                <w:lang w:val="pl-PL"/>
              </w:rPr>
              <w:t>torsade de pointes</w:t>
            </w:r>
            <w:r w:rsidRPr="007F2887">
              <w:rPr>
                <w:sz w:val="22"/>
                <w:szCs w:val="22"/>
                <w:lang w:val="pl-PL"/>
              </w:rPr>
              <w:t>), wydłużenie odstępu QT (patrz punkt 4.4).</w:t>
            </w:r>
          </w:p>
        </w:tc>
      </w:tr>
      <w:tr w:rsidR="00087DAA" w14:paraId="5998E1E0" w14:textId="77777777" w:rsidTr="003E277A">
        <w:tc>
          <w:tcPr>
            <w:tcW w:w="2518" w:type="dxa"/>
          </w:tcPr>
          <w:p w14:paraId="56B47B62" w14:textId="673ADC64" w:rsidR="00087DAA" w:rsidRPr="0006473E" w:rsidRDefault="000F169D" w:rsidP="003E277A">
            <w:pPr>
              <w:pStyle w:val="Nagwek1"/>
              <w:rPr>
                <w:bCs/>
              </w:rPr>
            </w:pPr>
            <w:r w:rsidRPr="003E277A">
              <w:rPr>
                <w:bCs/>
                <w:u w:val="none"/>
              </w:rPr>
              <w:t>Zaburzenia naczyniowe</w:t>
            </w:r>
          </w:p>
        </w:tc>
        <w:tc>
          <w:tcPr>
            <w:tcW w:w="2268" w:type="dxa"/>
          </w:tcPr>
          <w:p w14:paraId="64EE3631" w14:textId="3EB01999" w:rsidR="00087DAA" w:rsidRDefault="000F169D" w:rsidP="00C51997">
            <w:pPr>
              <w:autoSpaceDE w:val="0"/>
              <w:autoSpaceDN w:val="0"/>
              <w:adjustRightInd w:val="0"/>
              <w:rPr>
                <w:sz w:val="22"/>
                <w:szCs w:val="22"/>
                <w:lang w:val="pl-PL"/>
              </w:rPr>
            </w:pPr>
            <w:r>
              <w:rPr>
                <w:sz w:val="22"/>
                <w:szCs w:val="22"/>
                <w:lang w:val="pl-PL"/>
              </w:rPr>
              <w:t>rzadko</w:t>
            </w:r>
          </w:p>
        </w:tc>
        <w:tc>
          <w:tcPr>
            <w:tcW w:w="4427" w:type="dxa"/>
          </w:tcPr>
          <w:p w14:paraId="21A1DC9B" w14:textId="508F52A5" w:rsidR="00087DAA" w:rsidRDefault="000F169D" w:rsidP="00C51997">
            <w:pPr>
              <w:autoSpaceDE w:val="0"/>
              <w:autoSpaceDN w:val="0"/>
              <w:adjustRightInd w:val="0"/>
              <w:rPr>
                <w:sz w:val="22"/>
                <w:szCs w:val="22"/>
                <w:lang w:val="pl-PL"/>
              </w:rPr>
            </w:pPr>
            <w:r w:rsidRPr="00374609">
              <w:rPr>
                <w:sz w:val="22"/>
                <w:szCs w:val="22"/>
                <w:lang w:val="pl-PL"/>
              </w:rPr>
              <w:t>niedociśnienie tętnicze</w:t>
            </w:r>
          </w:p>
        </w:tc>
      </w:tr>
      <w:tr w:rsidR="00087DAA" w14:paraId="0738D6A7" w14:textId="77777777" w:rsidTr="003E277A">
        <w:tc>
          <w:tcPr>
            <w:tcW w:w="2518" w:type="dxa"/>
          </w:tcPr>
          <w:p w14:paraId="591E37B9" w14:textId="33B8E9AB" w:rsidR="00087DAA" w:rsidRPr="0006473E" w:rsidRDefault="000F169D" w:rsidP="003E277A">
            <w:pPr>
              <w:pStyle w:val="Nagwek1"/>
              <w:rPr>
                <w:bCs/>
              </w:rPr>
            </w:pPr>
            <w:r w:rsidRPr="003E277A">
              <w:rPr>
                <w:bCs/>
                <w:u w:val="none"/>
              </w:rPr>
              <w:t>Zaburzenia układu oddechowego, klatki piersiowej i śródpiersia</w:t>
            </w:r>
          </w:p>
        </w:tc>
        <w:tc>
          <w:tcPr>
            <w:tcW w:w="2268" w:type="dxa"/>
          </w:tcPr>
          <w:p w14:paraId="774C9CE1" w14:textId="78C6E550" w:rsidR="00087DAA" w:rsidRDefault="000F169D" w:rsidP="00C51997">
            <w:pPr>
              <w:autoSpaceDE w:val="0"/>
              <w:autoSpaceDN w:val="0"/>
              <w:adjustRightInd w:val="0"/>
              <w:rPr>
                <w:sz w:val="22"/>
                <w:szCs w:val="22"/>
                <w:lang w:val="pl-PL"/>
              </w:rPr>
            </w:pPr>
            <w:r>
              <w:rPr>
                <w:sz w:val="22"/>
                <w:szCs w:val="22"/>
                <w:lang w:val="pl-PL"/>
              </w:rPr>
              <w:t>bardzo rzadko</w:t>
            </w:r>
          </w:p>
        </w:tc>
        <w:tc>
          <w:tcPr>
            <w:tcW w:w="4427" w:type="dxa"/>
          </w:tcPr>
          <w:p w14:paraId="512B5A6D" w14:textId="302A2A7C" w:rsidR="00087DAA" w:rsidRDefault="000F169D" w:rsidP="00C51997">
            <w:pPr>
              <w:autoSpaceDE w:val="0"/>
              <w:autoSpaceDN w:val="0"/>
              <w:adjustRightInd w:val="0"/>
              <w:rPr>
                <w:sz w:val="22"/>
                <w:szCs w:val="22"/>
                <w:lang w:val="pl-PL"/>
              </w:rPr>
            </w:pPr>
            <w:r w:rsidRPr="00374609">
              <w:rPr>
                <w:bCs/>
                <w:sz w:val="22"/>
                <w:szCs w:val="22"/>
                <w:lang w:val="pl-PL"/>
              </w:rPr>
              <w:t>skurcz oskrzeli</w:t>
            </w:r>
          </w:p>
        </w:tc>
      </w:tr>
      <w:tr w:rsidR="000F169D" w:rsidRPr="006B6119" w14:paraId="7E0F6619" w14:textId="77777777" w:rsidTr="003E277A">
        <w:trPr>
          <w:trHeight w:val="84"/>
        </w:trPr>
        <w:tc>
          <w:tcPr>
            <w:tcW w:w="2518" w:type="dxa"/>
            <w:vMerge w:val="restart"/>
          </w:tcPr>
          <w:p w14:paraId="452FB960" w14:textId="7A937259" w:rsidR="000F169D" w:rsidRPr="003E277A" w:rsidRDefault="000F169D" w:rsidP="000F169D">
            <w:pPr>
              <w:pStyle w:val="Nagwek1"/>
              <w:rPr>
                <w:bCs/>
                <w:u w:val="none"/>
              </w:rPr>
            </w:pPr>
            <w:r w:rsidRPr="003E277A">
              <w:rPr>
                <w:bCs/>
                <w:u w:val="none"/>
              </w:rPr>
              <w:t>Zaburzenia żołądka i jelit</w:t>
            </w:r>
          </w:p>
        </w:tc>
        <w:tc>
          <w:tcPr>
            <w:tcW w:w="2268" w:type="dxa"/>
          </w:tcPr>
          <w:p w14:paraId="38505B23" w14:textId="7B0A8DE5" w:rsidR="000F169D" w:rsidRPr="00374609" w:rsidRDefault="000F169D" w:rsidP="00C51997">
            <w:pPr>
              <w:autoSpaceDE w:val="0"/>
              <w:autoSpaceDN w:val="0"/>
              <w:adjustRightInd w:val="0"/>
              <w:rPr>
                <w:bCs/>
                <w:sz w:val="22"/>
                <w:szCs w:val="22"/>
                <w:lang w:val="pl-PL"/>
              </w:rPr>
            </w:pPr>
            <w:r>
              <w:rPr>
                <w:bCs/>
                <w:sz w:val="22"/>
                <w:szCs w:val="22"/>
                <w:lang w:val="pl-PL"/>
              </w:rPr>
              <w:t>często</w:t>
            </w:r>
          </w:p>
        </w:tc>
        <w:tc>
          <w:tcPr>
            <w:tcW w:w="4427" w:type="dxa"/>
          </w:tcPr>
          <w:p w14:paraId="133BF414" w14:textId="0870392A" w:rsidR="000F169D" w:rsidRPr="00374609" w:rsidRDefault="000F169D" w:rsidP="00C51997">
            <w:pPr>
              <w:autoSpaceDE w:val="0"/>
              <w:autoSpaceDN w:val="0"/>
              <w:adjustRightInd w:val="0"/>
              <w:rPr>
                <w:bCs/>
                <w:sz w:val="22"/>
                <w:szCs w:val="22"/>
                <w:lang w:val="pl-PL"/>
              </w:rPr>
            </w:pPr>
            <w:r w:rsidRPr="007F2887">
              <w:rPr>
                <w:sz w:val="22"/>
                <w:szCs w:val="22"/>
                <w:lang w:val="pl-PL"/>
              </w:rPr>
              <w:t>suchość błony śluzowej jamy ustnej</w:t>
            </w:r>
          </w:p>
        </w:tc>
      </w:tr>
      <w:tr w:rsidR="000F169D" w14:paraId="15F26084" w14:textId="77777777" w:rsidTr="003E277A">
        <w:trPr>
          <w:trHeight w:val="83"/>
        </w:trPr>
        <w:tc>
          <w:tcPr>
            <w:tcW w:w="2518" w:type="dxa"/>
            <w:vMerge/>
          </w:tcPr>
          <w:p w14:paraId="2ECE4042" w14:textId="77777777" w:rsidR="000F169D" w:rsidRPr="003E277A" w:rsidRDefault="000F169D" w:rsidP="000F169D">
            <w:pPr>
              <w:pStyle w:val="Nagwek1"/>
              <w:rPr>
                <w:bCs/>
                <w:u w:val="none"/>
              </w:rPr>
            </w:pPr>
          </w:p>
        </w:tc>
        <w:tc>
          <w:tcPr>
            <w:tcW w:w="2268" w:type="dxa"/>
          </w:tcPr>
          <w:p w14:paraId="0E13D939" w14:textId="43ABE046" w:rsidR="000F169D" w:rsidRPr="00374609" w:rsidRDefault="000F169D" w:rsidP="00C51997">
            <w:pPr>
              <w:autoSpaceDE w:val="0"/>
              <w:autoSpaceDN w:val="0"/>
              <w:adjustRightInd w:val="0"/>
              <w:rPr>
                <w:bCs/>
                <w:sz w:val="22"/>
                <w:szCs w:val="22"/>
                <w:lang w:val="pl-PL"/>
              </w:rPr>
            </w:pPr>
            <w:r>
              <w:rPr>
                <w:bCs/>
                <w:sz w:val="22"/>
                <w:szCs w:val="22"/>
                <w:lang w:val="pl-PL"/>
              </w:rPr>
              <w:t>niezbyt często</w:t>
            </w:r>
          </w:p>
        </w:tc>
        <w:tc>
          <w:tcPr>
            <w:tcW w:w="4427" w:type="dxa"/>
          </w:tcPr>
          <w:p w14:paraId="3983F247" w14:textId="2A29CECE" w:rsidR="000F169D" w:rsidRPr="00374609" w:rsidRDefault="000F169D" w:rsidP="00C51997">
            <w:pPr>
              <w:autoSpaceDE w:val="0"/>
              <w:autoSpaceDN w:val="0"/>
              <w:adjustRightInd w:val="0"/>
              <w:rPr>
                <w:bCs/>
                <w:sz w:val="22"/>
                <w:szCs w:val="22"/>
                <w:lang w:val="pl-PL"/>
              </w:rPr>
            </w:pPr>
            <w:r w:rsidRPr="007F2887">
              <w:rPr>
                <w:sz w:val="22"/>
                <w:szCs w:val="22"/>
                <w:lang w:val="pl-PL"/>
              </w:rPr>
              <w:t>nudności</w:t>
            </w:r>
          </w:p>
        </w:tc>
      </w:tr>
      <w:tr w:rsidR="000F169D" w14:paraId="6E140E80" w14:textId="77777777" w:rsidTr="003E277A">
        <w:trPr>
          <w:trHeight w:val="83"/>
        </w:trPr>
        <w:tc>
          <w:tcPr>
            <w:tcW w:w="2518" w:type="dxa"/>
            <w:vMerge/>
          </w:tcPr>
          <w:p w14:paraId="0E6D6FD0" w14:textId="77777777" w:rsidR="000F169D" w:rsidRPr="003E277A" w:rsidRDefault="000F169D" w:rsidP="000F169D">
            <w:pPr>
              <w:pStyle w:val="Nagwek1"/>
              <w:rPr>
                <w:bCs/>
                <w:u w:val="none"/>
              </w:rPr>
            </w:pPr>
          </w:p>
        </w:tc>
        <w:tc>
          <w:tcPr>
            <w:tcW w:w="2268" w:type="dxa"/>
          </w:tcPr>
          <w:p w14:paraId="479E5F35" w14:textId="5D43A007" w:rsidR="000F169D" w:rsidRPr="00374609" w:rsidRDefault="000F169D" w:rsidP="00C51997">
            <w:pPr>
              <w:autoSpaceDE w:val="0"/>
              <w:autoSpaceDN w:val="0"/>
              <w:adjustRightInd w:val="0"/>
              <w:rPr>
                <w:bCs/>
                <w:sz w:val="22"/>
                <w:szCs w:val="22"/>
                <w:lang w:val="pl-PL"/>
              </w:rPr>
            </w:pPr>
            <w:r>
              <w:rPr>
                <w:bCs/>
                <w:sz w:val="22"/>
                <w:szCs w:val="22"/>
                <w:lang w:val="pl-PL"/>
              </w:rPr>
              <w:t>rzadko</w:t>
            </w:r>
          </w:p>
        </w:tc>
        <w:tc>
          <w:tcPr>
            <w:tcW w:w="4427" w:type="dxa"/>
          </w:tcPr>
          <w:p w14:paraId="17673975" w14:textId="392C734C" w:rsidR="000F169D" w:rsidRPr="00374609" w:rsidRDefault="000F169D" w:rsidP="00C51997">
            <w:pPr>
              <w:autoSpaceDE w:val="0"/>
              <w:autoSpaceDN w:val="0"/>
              <w:adjustRightInd w:val="0"/>
              <w:rPr>
                <w:bCs/>
                <w:sz w:val="22"/>
                <w:szCs w:val="22"/>
                <w:lang w:val="pl-PL"/>
              </w:rPr>
            </w:pPr>
            <w:r w:rsidRPr="00374609">
              <w:rPr>
                <w:sz w:val="22"/>
                <w:szCs w:val="22"/>
                <w:lang w:val="pl-PL"/>
              </w:rPr>
              <w:t>zaparcia, wymioty</w:t>
            </w:r>
          </w:p>
        </w:tc>
      </w:tr>
      <w:tr w:rsidR="0006473E" w:rsidRPr="006B6119" w14:paraId="559AE41F" w14:textId="77777777" w:rsidTr="003E277A">
        <w:trPr>
          <w:trHeight w:val="255"/>
        </w:trPr>
        <w:tc>
          <w:tcPr>
            <w:tcW w:w="2518" w:type="dxa"/>
            <w:vMerge w:val="restart"/>
          </w:tcPr>
          <w:p w14:paraId="0C70D6A4" w14:textId="25FD3F16" w:rsidR="0006473E" w:rsidRPr="003E277A" w:rsidRDefault="0006473E" w:rsidP="003E277A">
            <w:pPr>
              <w:autoSpaceDE w:val="0"/>
              <w:autoSpaceDN w:val="0"/>
              <w:adjustRightInd w:val="0"/>
              <w:rPr>
                <w:lang w:val="pl-PL"/>
              </w:rPr>
            </w:pPr>
            <w:r w:rsidRPr="003E277A">
              <w:rPr>
                <w:sz w:val="22"/>
                <w:szCs w:val="22"/>
                <w:lang w:val="pl-PL"/>
              </w:rPr>
              <w:t>Zaburzenia wątroby i dróg żółciowych</w:t>
            </w:r>
          </w:p>
        </w:tc>
        <w:tc>
          <w:tcPr>
            <w:tcW w:w="2268" w:type="dxa"/>
          </w:tcPr>
          <w:p w14:paraId="1DE863C4" w14:textId="52D8D075" w:rsidR="0006473E" w:rsidRPr="00374609" w:rsidRDefault="0006473E" w:rsidP="00C51997">
            <w:pPr>
              <w:autoSpaceDE w:val="0"/>
              <w:autoSpaceDN w:val="0"/>
              <w:adjustRightInd w:val="0"/>
              <w:rPr>
                <w:sz w:val="22"/>
                <w:szCs w:val="22"/>
                <w:lang w:val="pl-PL"/>
              </w:rPr>
            </w:pPr>
            <w:r>
              <w:rPr>
                <w:sz w:val="22"/>
                <w:szCs w:val="22"/>
                <w:lang w:val="pl-PL"/>
              </w:rPr>
              <w:t>rzadko</w:t>
            </w:r>
          </w:p>
        </w:tc>
        <w:tc>
          <w:tcPr>
            <w:tcW w:w="4427" w:type="dxa"/>
          </w:tcPr>
          <w:p w14:paraId="3F0FA0DC" w14:textId="62C20440" w:rsidR="0006473E" w:rsidRPr="00374609" w:rsidRDefault="0006473E" w:rsidP="00C51997">
            <w:pPr>
              <w:autoSpaceDE w:val="0"/>
              <w:autoSpaceDN w:val="0"/>
              <w:adjustRightInd w:val="0"/>
              <w:rPr>
                <w:sz w:val="22"/>
                <w:szCs w:val="22"/>
                <w:lang w:val="pl-PL"/>
              </w:rPr>
            </w:pPr>
            <w:r w:rsidRPr="00374609">
              <w:rPr>
                <w:sz w:val="22"/>
                <w:szCs w:val="22"/>
                <w:lang w:val="pl-PL"/>
              </w:rPr>
              <w:t>nieprawidłowe wyniki testów czynnościowych wątroby</w:t>
            </w:r>
          </w:p>
        </w:tc>
      </w:tr>
      <w:tr w:rsidR="0006473E" w14:paraId="620B5723" w14:textId="77777777" w:rsidTr="003E277A">
        <w:trPr>
          <w:trHeight w:val="255"/>
        </w:trPr>
        <w:tc>
          <w:tcPr>
            <w:tcW w:w="2518" w:type="dxa"/>
            <w:vMerge/>
          </w:tcPr>
          <w:p w14:paraId="08EF9D9C" w14:textId="77777777" w:rsidR="0006473E" w:rsidRPr="0006473E" w:rsidRDefault="0006473E" w:rsidP="0006473E">
            <w:pPr>
              <w:autoSpaceDE w:val="0"/>
              <w:autoSpaceDN w:val="0"/>
              <w:adjustRightInd w:val="0"/>
              <w:rPr>
                <w:sz w:val="22"/>
                <w:szCs w:val="22"/>
                <w:lang w:val="pl-PL"/>
              </w:rPr>
            </w:pPr>
          </w:p>
        </w:tc>
        <w:tc>
          <w:tcPr>
            <w:tcW w:w="2268" w:type="dxa"/>
          </w:tcPr>
          <w:p w14:paraId="6A22F1AA" w14:textId="55C297C1" w:rsidR="0006473E" w:rsidRPr="00374609" w:rsidRDefault="0006473E" w:rsidP="00C51997">
            <w:pPr>
              <w:autoSpaceDE w:val="0"/>
              <w:autoSpaceDN w:val="0"/>
              <w:adjustRightInd w:val="0"/>
              <w:rPr>
                <w:sz w:val="22"/>
                <w:szCs w:val="22"/>
                <w:lang w:val="pl-PL"/>
              </w:rPr>
            </w:pPr>
            <w:r>
              <w:rPr>
                <w:sz w:val="22"/>
                <w:szCs w:val="22"/>
                <w:lang w:val="pl-PL"/>
              </w:rPr>
              <w:t>częstość nieznana</w:t>
            </w:r>
          </w:p>
        </w:tc>
        <w:tc>
          <w:tcPr>
            <w:tcW w:w="4427" w:type="dxa"/>
          </w:tcPr>
          <w:p w14:paraId="6B7E2982" w14:textId="3C1297C8" w:rsidR="0006473E" w:rsidRPr="00374609" w:rsidRDefault="0006473E" w:rsidP="00C51997">
            <w:pPr>
              <w:autoSpaceDE w:val="0"/>
              <w:autoSpaceDN w:val="0"/>
              <w:adjustRightInd w:val="0"/>
              <w:rPr>
                <w:sz w:val="22"/>
                <w:szCs w:val="22"/>
                <w:lang w:val="pl-PL"/>
              </w:rPr>
            </w:pPr>
            <w:r w:rsidRPr="00374609">
              <w:rPr>
                <w:sz w:val="22"/>
                <w:szCs w:val="22"/>
                <w:lang w:val="pl-PL"/>
              </w:rPr>
              <w:t>zapalenie wątroby</w:t>
            </w:r>
          </w:p>
        </w:tc>
      </w:tr>
      <w:tr w:rsidR="00696F4D" w:rsidRPr="006B6119" w14:paraId="06A006BE" w14:textId="77777777" w:rsidTr="003E277A">
        <w:trPr>
          <w:trHeight w:val="255"/>
        </w:trPr>
        <w:tc>
          <w:tcPr>
            <w:tcW w:w="2518" w:type="dxa"/>
            <w:vMerge w:val="restart"/>
          </w:tcPr>
          <w:p w14:paraId="322E6F0D" w14:textId="6208AE65" w:rsidR="00696F4D" w:rsidRPr="003E277A" w:rsidRDefault="00696F4D" w:rsidP="000F169D">
            <w:pPr>
              <w:pStyle w:val="Nagwek1"/>
              <w:rPr>
                <w:bCs/>
                <w:u w:val="none"/>
              </w:rPr>
            </w:pPr>
            <w:r w:rsidRPr="003E277A">
              <w:rPr>
                <w:bCs/>
                <w:u w:val="none"/>
              </w:rPr>
              <w:lastRenderedPageBreak/>
              <w:t xml:space="preserve">Zaburzenia skóry i tkanki podskórnej </w:t>
            </w:r>
          </w:p>
        </w:tc>
        <w:tc>
          <w:tcPr>
            <w:tcW w:w="2268" w:type="dxa"/>
          </w:tcPr>
          <w:p w14:paraId="758FB14A" w14:textId="0734A66B" w:rsidR="00696F4D" w:rsidRPr="00374609" w:rsidRDefault="00696F4D" w:rsidP="00C51997">
            <w:pPr>
              <w:autoSpaceDE w:val="0"/>
              <w:autoSpaceDN w:val="0"/>
              <w:adjustRightInd w:val="0"/>
              <w:rPr>
                <w:sz w:val="22"/>
                <w:szCs w:val="22"/>
                <w:lang w:val="pl-PL"/>
              </w:rPr>
            </w:pPr>
            <w:r>
              <w:rPr>
                <w:sz w:val="22"/>
                <w:szCs w:val="22"/>
                <w:lang w:val="pl-PL"/>
              </w:rPr>
              <w:t>rzadko</w:t>
            </w:r>
          </w:p>
        </w:tc>
        <w:tc>
          <w:tcPr>
            <w:tcW w:w="4427" w:type="dxa"/>
          </w:tcPr>
          <w:p w14:paraId="1E8C4782" w14:textId="793F8A1A" w:rsidR="00696F4D" w:rsidRPr="00374609" w:rsidRDefault="00696F4D" w:rsidP="00C51997">
            <w:pPr>
              <w:autoSpaceDE w:val="0"/>
              <w:autoSpaceDN w:val="0"/>
              <w:adjustRightInd w:val="0"/>
              <w:rPr>
                <w:sz w:val="22"/>
                <w:szCs w:val="22"/>
                <w:lang w:val="pl-PL"/>
              </w:rPr>
            </w:pPr>
            <w:r w:rsidRPr="00374609">
              <w:rPr>
                <w:sz w:val="22"/>
                <w:szCs w:val="22"/>
                <w:lang w:val="pl-PL"/>
              </w:rPr>
              <w:t>świąd, wysypka rumieniowa, wysypka grudkowo-plamkowa, pokrzywka, zapalenie skóry</w:t>
            </w:r>
          </w:p>
        </w:tc>
      </w:tr>
      <w:tr w:rsidR="00696F4D" w:rsidRPr="006B6119" w14:paraId="12684AB3" w14:textId="77777777" w:rsidTr="003E277A">
        <w:trPr>
          <w:trHeight w:val="255"/>
        </w:trPr>
        <w:tc>
          <w:tcPr>
            <w:tcW w:w="2518" w:type="dxa"/>
            <w:vMerge/>
          </w:tcPr>
          <w:p w14:paraId="5CFA9624" w14:textId="77777777" w:rsidR="00696F4D" w:rsidRPr="00696F4D" w:rsidRDefault="00696F4D" w:rsidP="000F169D">
            <w:pPr>
              <w:pStyle w:val="Nagwek1"/>
              <w:rPr>
                <w:bCs/>
                <w:u w:val="none"/>
              </w:rPr>
            </w:pPr>
          </w:p>
        </w:tc>
        <w:tc>
          <w:tcPr>
            <w:tcW w:w="2268" w:type="dxa"/>
          </w:tcPr>
          <w:p w14:paraId="41B9A953" w14:textId="0274FF9B" w:rsidR="00696F4D" w:rsidRPr="00374609" w:rsidRDefault="00696F4D" w:rsidP="00C51997">
            <w:pPr>
              <w:autoSpaceDE w:val="0"/>
              <w:autoSpaceDN w:val="0"/>
              <w:adjustRightInd w:val="0"/>
              <w:rPr>
                <w:sz w:val="22"/>
                <w:szCs w:val="22"/>
                <w:lang w:val="pl-PL"/>
              </w:rPr>
            </w:pPr>
            <w:r>
              <w:rPr>
                <w:sz w:val="22"/>
                <w:szCs w:val="22"/>
                <w:lang w:val="pl-PL"/>
              </w:rPr>
              <w:t>bardzo rzadko</w:t>
            </w:r>
          </w:p>
        </w:tc>
        <w:tc>
          <w:tcPr>
            <w:tcW w:w="4427" w:type="dxa"/>
          </w:tcPr>
          <w:p w14:paraId="145EC2EA" w14:textId="4549CF2E" w:rsidR="00696F4D" w:rsidRPr="003E277A" w:rsidRDefault="00696F4D" w:rsidP="00C51997">
            <w:pPr>
              <w:autoSpaceDE w:val="0"/>
              <w:autoSpaceDN w:val="0"/>
              <w:adjustRightInd w:val="0"/>
              <w:rPr>
                <w:b/>
                <w:bCs/>
                <w:sz w:val="22"/>
                <w:szCs w:val="22"/>
                <w:lang w:val="pl-PL"/>
              </w:rPr>
            </w:pPr>
            <w:r w:rsidRPr="00374609">
              <w:rPr>
                <w:bCs/>
                <w:sz w:val="22"/>
                <w:szCs w:val="22"/>
                <w:lang w:val="pl-PL"/>
              </w:rPr>
              <w:t xml:space="preserve">obrzęk naczynioruchowy, wzmożona potliwość, utrwalona wysypka polekowa, </w:t>
            </w:r>
            <w:r w:rsidRPr="003E6209">
              <w:rPr>
                <w:sz w:val="22"/>
                <w:szCs w:val="22"/>
                <w:lang w:val="pl-PL"/>
              </w:rPr>
              <w:t>ostra uogólniona osutka krostkowa, rumień wielopostaciowy, zespół Stevensa-Johnsona</w:t>
            </w:r>
          </w:p>
        </w:tc>
      </w:tr>
      <w:tr w:rsidR="000F169D" w14:paraId="5838F8DB" w14:textId="77777777" w:rsidTr="000F169D">
        <w:trPr>
          <w:trHeight w:val="83"/>
        </w:trPr>
        <w:tc>
          <w:tcPr>
            <w:tcW w:w="2518" w:type="dxa"/>
          </w:tcPr>
          <w:p w14:paraId="442F698F" w14:textId="6E683E3C" w:rsidR="000F169D" w:rsidRPr="003E277A" w:rsidRDefault="00696F4D" w:rsidP="000F169D">
            <w:pPr>
              <w:pStyle w:val="Nagwek1"/>
              <w:rPr>
                <w:bCs/>
                <w:u w:val="none"/>
              </w:rPr>
            </w:pPr>
            <w:r w:rsidRPr="003E277A">
              <w:rPr>
                <w:bCs/>
                <w:u w:val="none"/>
              </w:rPr>
              <w:t>Zaburzenia nerek i dróg moczowych</w:t>
            </w:r>
          </w:p>
        </w:tc>
        <w:tc>
          <w:tcPr>
            <w:tcW w:w="2268" w:type="dxa"/>
          </w:tcPr>
          <w:p w14:paraId="69F1782D" w14:textId="579DF896" w:rsidR="000F169D" w:rsidRDefault="00696F4D" w:rsidP="00C51997">
            <w:pPr>
              <w:autoSpaceDE w:val="0"/>
              <w:autoSpaceDN w:val="0"/>
              <w:adjustRightInd w:val="0"/>
              <w:rPr>
                <w:bCs/>
                <w:sz w:val="22"/>
                <w:szCs w:val="22"/>
                <w:lang w:val="pl-PL"/>
              </w:rPr>
            </w:pPr>
            <w:r>
              <w:rPr>
                <w:bCs/>
                <w:sz w:val="22"/>
                <w:szCs w:val="22"/>
                <w:lang w:val="pl-PL"/>
              </w:rPr>
              <w:t>rzadko</w:t>
            </w:r>
          </w:p>
        </w:tc>
        <w:tc>
          <w:tcPr>
            <w:tcW w:w="4427" w:type="dxa"/>
          </w:tcPr>
          <w:p w14:paraId="6F9C3F65" w14:textId="290DE479" w:rsidR="000F169D" w:rsidRPr="00374609" w:rsidRDefault="00696F4D" w:rsidP="00C51997">
            <w:pPr>
              <w:autoSpaceDE w:val="0"/>
              <w:autoSpaceDN w:val="0"/>
              <w:adjustRightInd w:val="0"/>
              <w:rPr>
                <w:sz w:val="22"/>
                <w:szCs w:val="22"/>
                <w:lang w:val="pl-PL"/>
              </w:rPr>
            </w:pPr>
            <w:r w:rsidRPr="00374609">
              <w:rPr>
                <w:sz w:val="22"/>
                <w:szCs w:val="22"/>
                <w:lang w:val="pl-PL"/>
              </w:rPr>
              <w:t>zatrzymanie moczu</w:t>
            </w:r>
          </w:p>
        </w:tc>
      </w:tr>
      <w:tr w:rsidR="00696F4D" w14:paraId="1F67CE62" w14:textId="77777777" w:rsidTr="003E277A">
        <w:trPr>
          <w:trHeight w:val="255"/>
        </w:trPr>
        <w:tc>
          <w:tcPr>
            <w:tcW w:w="2518" w:type="dxa"/>
            <w:vMerge w:val="restart"/>
          </w:tcPr>
          <w:p w14:paraId="6078F44C" w14:textId="1BF16253" w:rsidR="00696F4D" w:rsidRPr="00696F4D" w:rsidRDefault="00696F4D" w:rsidP="000F169D">
            <w:pPr>
              <w:pStyle w:val="Nagwek1"/>
              <w:rPr>
                <w:bCs/>
                <w:u w:val="none"/>
              </w:rPr>
            </w:pPr>
            <w:r w:rsidRPr="003E277A">
              <w:rPr>
                <w:bCs/>
                <w:u w:val="none"/>
              </w:rPr>
              <w:t>Zaburzenia ogólne i stany w miejscu podania</w:t>
            </w:r>
          </w:p>
        </w:tc>
        <w:tc>
          <w:tcPr>
            <w:tcW w:w="2268" w:type="dxa"/>
          </w:tcPr>
          <w:p w14:paraId="1050A442" w14:textId="5199915D" w:rsidR="00696F4D" w:rsidRPr="00374609" w:rsidRDefault="00696F4D" w:rsidP="00C51997">
            <w:pPr>
              <w:autoSpaceDE w:val="0"/>
              <w:autoSpaceDN w:val="0"/>
              <w:adjustRightInd w:val="0"/>
              <w:rPr>
                <w:sz w:val="22"/>
                <w:szCs w:val="22"/>
                <w:lang w:val="pl-PL"/>
              </w:rPr>
            </w:pPr>
            <w:r>
              <w:rPr>
                <w:sz w:val="22"/>
                <w:szCs w:val="22"/>
                <w:lang w:val="pl-PL"/>
              </w:rPr>
              <w:t>często</w:t>
            </w:r>
          </w:p>
        </w:tc>
        <w:tc>
          <w:tcPr>
            <w:tcW w:w="4427" w:type="dxa"/>
          </w:tcPr>
          <w:p w14:paraId="25D60AC4" w14:textId="2578C5E4" w:rsidR="00696F4D" w:rsidRPr="00374609" w:rsidRDefault="00696F4D" w:rsidP="00C51997">
            <w:pPr>
              <w:autoSpaceDE w:val="0"/>
              <w:autoSpaceDN w:val="0"/>
              <w:adjustRightInd w:val="0"/>
              <w:rPr>
                <w:sz w:val="22"/>
                <w:szCs w:val="22"/>
                <w:lang w:val="pl-PL"/>
              </w:rPr>
            </w:pPr>
            <w:r w:rsidRPr="00374609">
              <w:rPr>
                <w:sz w:val="22"/>
                <w:szCs w:val="22"/>
                <w:lang w:val="pl-PL"/>
              </w:rPr>
              <w:t>zmęczenie</w:t>
            </w:r>
          </w:p>
        </w:tc>
      </w:tr>
      <w:tr w:rsidR="00696F4D" w14:paraId="637AEDC3" w14:textId="77777777" w:rsidTr="003E277A">
        <w:trPr>
          <w:trHeight w:val="255"/>
        </w:trPr>
        <w:tc>
          <w:tcPr>
            <w:tcW w:w="2518" w:type="dxa"/>
            <w:vMerge/>
          </w:tcPr>
          <w:p w14:paraId="72806CBD" w14:textId="77777777" w:rsidR="00696F4D" w:rsidRPr="00696F4D" w:rsidRDefault="00696F4D" w:rsidP="000F169D">
            <w:pPr>
              <w:pStyle w:val="Nagwek1"/>
              <w:rPr>
                <w:bCs/>
                <w:u w:val="none"/>
              </w:rPr>
            </w:pPr>
          </w:p>
        </w:tc>
        <w:tc>
          <w:tcPr>
            <w:tcW w:w="2268" w:type="dxa"/>
          </w:tcPr>
          <w:p w14:paraId="1B8DF6D4" w14:textId="6812F2CB" w:rsidR="00696F4D" w:rsidRPr="00374609" w:rsidRDefault="00696F4D" w:rsidP="00C51997">
            <w:pPr>
              <w:autoSpaceDE w:val="0"/>
              <w:autoSpaceDN w:val="0"/>
              <w:adjustRightInd w:val="0"/>
              <w:rPr>
                <w:sz w:val="22"/>
                <w:szCs w:val="22"/>
                <w:lang w:val="pl-PL"/>
              </w:rPr>
            </w:pPr>
            <w:r>
              <w:rPr>
                <w:sz w:val="22"/>
                <w:szCs w:val="22"/>
                <w:lang w:val="pl-PL"/>
              </w:rPr>
              <w:t>niezbyt często</w:t>
            </w:r>
          </w:p>
        </w:tc>
        <w:tc>
          <w:tcPr>
            <w:tcW w:w="4427" w:type="dxa"/>
          </w:tcPr>
          <w:p w14:paraId="43D87E88" w14:textId="6A320BA1" w:rsidR="00696F4D" w:rsidRPr="00374609" w:rsidRDefault="00696F4D" w:rsidP="00C51997">
            <w:pPr>
              <w:autoSpaceDE w:val="0"/>
              <w:autoSpaceDN w:val="0"/>
              <w:adjustRightInd w:val="0"/>
              <w:rPr>
                <w:sz w:val="22"/>
                <w:szCs w:val="22"/>
                <w:lang w:val="pl-PL"/>
              </w:rPr>
            </w:pPr>
            <w:r w:rsidRPr="00374609">
              <w:rPr>
                <w:sz w:val="22"/>
                <w:szCs w:val="22"/>
                <w:lang w:val="pl-PL"/>
              </w:rPr>
              <w:t>złe samopoczucie, gorączka</w:t>
            </w:r>
          </w:p>
        </w:tc>
      </w:tr>
    </w:tbl>
    <w:p w14:paraId="47D746CB" w14:textId="77777777" w:rsidR="00087DAA" w:rsidRPr="00374609" w:rsidRDefault="00087DAA" w:rsidP="00C51997">
      <w:pPr>
        <w:autoSpaceDE w:val="0"/>
        <w:autoSpaceDN w:val="0"/>
        <w:adjustRightInd w:val="0"/>
        <w:rPr>
          <w:sz w:val="22"/>
          <w:szCs w:val="22"/>
          <w:lang w:val="pl-PL"/>
        </w:rPr>
      </w:pPr>
    </w:p>
    <w:p w14:paraId="4F6B6A4A" w14:textId="77777777" w:rsidR="00D33C5F" w:rsidRPr="00374609" w:rsidRDefault="00D33C5F" w:rsidP="00C51997">
      <w:pPr>
        <w:autoSpaceDE w:val="0"/>
        <w:autoSpaceDN w:val="0"/>
        <w:adjustRightInd w:val="0"/>
        <w:rPr>
          <w:sz w:val="22"/>
          <w:szCs w:val="22"/>
          <w:lang w:val="pl-PL"/>
        </w:rPr>
      </w:pPr>
    </w:p>
    <w:p w14:paraId="66D9896C" w14:textId="77777777" w:rsidR="00D33C5F" w:rsidRPr="003E6209" w:rsidRDefault="00D33C5F" w:rsidP="00787E14">
      <w:pPr>
        <w:ind w:right="54"/>
        <w:rPr>
          <w:sz w:val="22"/>
          <w:szCs w:val="22"/>
          <w:u w:val="single"/>
          <w:lang w:val="pl-PL"/>
        </w:rPr>
      </w:pPr>
      <w:r w:rsidRPr="003E6209">
        <w:rPr>
          <w:sz w:val="22"/>
          <w:szCs w:val="22"/>
          <w:u w:val="single"/>
          <w:lang w:val="pl-PL"/>
        </w:rPr>
        <w:t>Zgłaszanie podejrzewanych działań niepożądanych</w:t>
      </w:r>
    </w:p>
    <w:p w14:paraId="4279EDB1" w14:textId="77777777" w:rsidR="00D33C5F" w:rsidRDefault="00D33C5F" w:rsidP="00787E14">
      <w:pPr>
        <w:ind w:right="54"/>
        <w:rPr>
          <w:bCs/>
          <w:color w:val="000000"/>
          <w:sz w:val="22"/>
          <w:szCs w:val="22"/>
          <w:lang w:val="pl-PL" w:eastAsia="zh-CN"/>
        </w:rPr>
      </w:pPr>
      <w:r w:rsidRPr="003E6209">
        <w:rPr>
          <w:sz w:val="22"/>
          <w:szCs w:val="22"/>
          <w:lang w:val="pl-PL"/>
        </w:rPr>
        <w:t>Po</w:t>
      </w:r>
      <w:r w:rsidRPr="003E6209">
        <w:rPr>
          <w:spacing w:val="13"/>
          <w:sz w:val="22"/>
          <w:szCs w:val="22"/>
          <w:lang w:val="pl-PL"/>
        </w:rPr>
        <w:t xml:space="preserve"> </w:t>
      </w:r>
      <w:r w:rsidRPr="003E6209">
        <w:rPr>
          <w:sz w:val="22"/>
          <w:szCs w:val="22"/>
          <w:lang w:val="pl-PL"/>
        </w:rPr>
        <w:t>dopuszc</w:t>
      </w:r>
      <w:r w:rsidRPr="003E6209">
        <w:rPr>
          <w:spacing w:val="1"/>
          <w:sz w:val="22"/>
          <w:szCs w:val="22"/>
          <w:lang w:val="pl-PL"/>
        </w:rPr>
        <w:t>z</w:t>
      </w:r>
      <w:r w:rsidRPr="003E6209">
        <w:rPr>
          <w:sz w:val="22"/>
          <w:szCs w:val="22"/>
          <w:lang w:val="pl-PL"/>
        </w:rPr>
        <w:t>eniu</w:t>
      </w:r>
      <w:r w:rsidRPr="003E6209">
        <w:rPr>
          <w:spacing w:val="3"/>
          <w:sz w:val="22"/>
          <w:szCs w:val="22"/>
          <w:lang w:val="pl-PL"/>
        </w:rPr>
        <w:t xml:space="preserve"> </w:t>
      </w:r>
      <w:r w:rsidRPr="003E6209">
        <w:rPr>
          <w:sz w:val="22"/>
          <w:szCs w:val="22"/>
          <w:lang w:val="pl-PL"/>
        </w:rPr>
        <w:t>produktu</w:t>
      </w:r>
      <w:r w:rsidRPr="003E6209">
        <w:rPr>
          <w:spacing w:val="7"/>
          <w:sz w:val="22"/>
          <w:szCs w:val="22"/>
          <w:lang w:val="pl-PL"/>
        </w:rPr>
        <w:t xml:space="preserve"> </w:t>
      </w:r>
      <w:r w:rsidRPr="003E6209">
        <w:rPr>
          <w:sz w:val="22"/>
          <w:szCs w:val="22"/>
          <w:lang w:val="pl-PL"/>
        </w:rPr>
        <w:t>lecznicze</w:t>
      </w:r>
      <w:r w:rsidRPr="003E6209">
        <w:rPr>
          <w:spacing w:val="2"/>
          <w:sz w:val="22"/>
          <w:szCs w:val="22"/>
          <w:lang w:val="pl-PL"/>
        </w:rPr>
        <w:t>g</w:t>
      </w:r>
      <w:r w:rsidRPr="003E6209">
        <w:rPr>
          <w:sz w:val="22"/>
          <w:szCs w:val="22"/>
          <w:lang w:val="pl-PL"/>
        </w:rPr>
        <w:t>o</w:t>
      </w:r>
      <w:r w:rsidRPr="003E6209">
        <w:rPr>
          <w:spacing w:val="5"/>
          <w:sz w:val="22"/>
          <w:szCs w:val="22"/>
          <w:lang w:val="pl-PL"/>
        </w:rPr>
        <w:t xml:space="preserve"> </w:t>
      </w:r>
      <w:r w:rsidRPr="003E6209">
        <w:rPr>
          <w:sz w:val="22"/>
          <w:szCs w:val="22"/>
          <w:lang w:val="pl-PL"/>
        </w:rPr>
        <w:t>do</w:t>
      </w:r>
      <w:r w:rsidRPr="003E6209">
        <w:rPr>
          <w:spacing w:val="13"/>
          <w:sz w:val="22"/>
          <w:szCs w:val="22"/>
          <w:lang w:val="pl-PL"/>
        </w:rPr>
        <w:t xml:space="preserve"> </w:t>
      </w:r>
      <w:r w:rsidRPr="003E6209">
        <w:rPr>
          <w:sz w:val="22"/>
          <w:szCs w:val="22"/>
          <w:lang w:val="pl-PL"/>
        </w:rPr>
        <w:t>obrotu</w:t>
      </w:r>
      <w:r w:rsidRPr="003E6209">
        <w:rPr>
          <w:spacing w:val="10"/>
          <w:sz w:val="22"/>
          <w:szCs w:val="22"/>
          <w:lang w:val="pl-PL"/>
        </w:rPr>
        <w:t xml:space="preserve"> </w:t>
      </w:r>
      <w:r w:rsidRPr="003E6209">
        <w:rPr>
          <w:sz w:val="22"/>
          <w:szCs w:val="22"/>
          <w:lang w:val="pl-PL"/>
        </w:rPr>
        <w:t>istotne</w:t>
      </w:r>
      <w:r w:rsidRPr="003E6209">
        <w:rPr>
          <w:spacing w:val="10"/>
          <w:sz w:val="22"/>
          <w:szCs w:val="22"/>
          <w:lang w:val="pl-PL"/>
        </w:rPr>
        <w:t xml:space="preserve"> </w:t>
      </w:r>
      <w:r w:rsidRPr="003E6209">
        <w:rPr>
          <w:sz w:val="22"/>
          <w:szCs w:val="22"/>
          <w:lang w:val="pl-PL"/>
        </w:rPr>
        <w:t>jest</w:t>
      </w:r>
      <w:r w:rsidRPr="003E6209">
        <w:rPr>
          <w:spacing w:val="12"/>
          <w:sz w:val="22"/>
          <w:szCs w:val="22"/>
          <w:lang w:val="pl-PL"/>
        </w:rPr>
        <w:t xml:space="preserve"> </w:t>
      </w:r>
      <w:r w:rsidRPr="003E6209">
        <w:rPr>
          <w:sz w:val="22"/>
          <w:szCs w:val="22"/>
          <w:lang w:val="pl-PL"/>
        </w:rPr>
        <w:t>zgłaszanie</w:t>
      </w:r>
      <w:r w:rsidRPr="003E6209">
        <w:rPr>
          <w:spacing w:val="7"/>
          <w:sz w:val="22"/>
          <w:szCs w:val="22"/>
          <w:lang w:val="pl-PL"/>
        </w:rPr>
        <w:t xml:space="preserve"> </w:t>
      </w:r>
      <w:r w:rsidRPr="003E6209">
        <w:rPr>
          <w:sz w:val="22"/>
          <w:szCs w:val="22"/>
          <w:lang w:val="pl-PL"/>
        </w:rPr>
        <w:t>podejrzewa</w:t>
      </w:r>
      <w:r w:rsidRPr="003E6209">
        <w:rPr>
          <w:spacing w:val="2"/>
          <w:sz w:val="22"/>
          <w:szCs w:val="22"/>
          <w:lang w:val="pl-PL"/>
        </w:rPr>
        <w:t>ny</w:t>
      </w:r>
      <w:r w:rsidRPr="003E6209">
        <w:rPr>
          <w:sz w:val="22"/>
          <w:szCs w:val="22"/>
          <w:lang w:val="pl-PL"/>
        </w:rPr>
        <w:t>ch dzi</w:t>
      </w:r>
      <w:r w:rsidRPr="003E6209">
        <w:rPr>
          <w:spacing w:val="-1"/>
          <w:sz w:val="22"/>
          <w:szCs w:val="22"/>
          <w:lang w:val="pl-PL"/>
        </w:rPr>
        <w:t>a</w:t>
      </w:r>
      <w:r w:rsidRPr="003E6209">
        <w:rPr>
          <w:sz w:val="22"/>
          <w:szCs w:val="22"/>
          <w:lang w:val="pl-PL"/>
        </w:rPr>
        <w:t>łań niep</w:t>
      </w:r>
      <w:r w:rsidRPr="003E6209">
        <w:rPr>
          <w:spacing w:val="1"/>
          <w:sz w:val="22"/>
          <w:szCs w:val="22"/>
          <w:lang w:val="pl-PL"/>
        </w:rPr>
        <w:t>o</w:t>
      </w:r>
      <w:r w:rsidRPr="003E6209">
        <w:rPr>
          <w:sz w:val="22"/>
          <w:szCs w:val="22"/>
          <w:lang w:val="pl-PL"/>
        </w:rPr>
        <w:t>żąda</w:t>
      </w:r>
      <w:r w:rsidRPr="003E6209">
        <w:rPr>
          <w:spacing w:val="-1"/>
          <w:sz w:val="22"/>
          <w:szCs w:val="22"/>
          <w:lang w:val="pl-PL"/>
        </w:rPr>
        <w:t>n</w:t>
      </w:r>
      <w:r w:rsidRPr="003E6209">
        <w:rPr>
          <w:spacing w:val="2"/>
          <w:sz w:val="22"/>
          <w:szCs w:val="22"/>
          <w:lang w:val="pl-PL"/>
        </w:rPr>
        <w:t>y</w:t>
      </w:r>
      <w:r w:rsidRPr="003E6209">
        <w:rPr>
          <w:sz w:val="22"/>
          <w:szCs w:val="22"/>
          <w:lang w:val="pl-PL"/>
        </w:rPr>
        <w:t>ch. U</w:t>
      </w:r>
      <w:r w:rsidRPr="003E6209">
        <w:rPr>
          <w:spacing w:val="-2"/>
          <w:sz w:val="22"/>
          <w:szCs w:val="22"/>
          <w:lang w:val="pl-PL"/>
        </w:rPr>
        <w:t>m</w:t>
      </w:r>
      <w:r w:rsidRPr="003E6209">
        <w:rPr>
          <w:sz w:val="22"/>
          <w:szCs w:val="22"/>
          <w:lang w:val="pl-PL"/>
        </w:rPr>
        <w:t>ożliwia</w:t>
      </w:r>
      <w:r w:rsidRPr="003E6209">
        <w:rPr>
          <w:spacing w:val="4"/>
          <w:sz w:val="22"/>
          <w:szCs w:val="22"/>
          <w:lang w:val="pl-PL"/>
        </w:rPr>
        <w:t xml:space="preserve"> </w:t>
      </w:r>
      <w:r w:rsidRPr="003E6209">
        <w:rPr>
          <w:sz w:val="22"/>
          <w:szCs w:val="22"/>
          <w:lang w:val="pl-PL"/>
        </w:rPr>
        <w:t>to</w:t>
      </w:r>
      <w:r w:rsidRPr="003E6209">
        <w:rPr>
          <w:spacing w:val="12"/>
          <w:sz w:val="22"/>
          <w:szCs w:val="22"/>
          <w:lang w:val="pl-PL"/>
        </w:rPr>
        <w:t xml:space="preserve"> </w:t>
      </w:r>
      <w:r w:rsidRPr="003E6209">
        <w:rPr>
          <w:sz w:val="22"/>
          <w:szCs w:val="22"/>
          <w:lang w:val="pl-PL"/>
        </w:rPr>
        <w:t>nieprzerwane</w:t>
      </w:r>
      <w:r w:rsidRPr="003E6209">
        <w:rPr>
          <w:spacing w:val="4"/>
          <w:sz w:val="22"/>
          <w:szCs w:val="22"/>
          <w:lang w:val="pl-PL"/>
        </w:rPr>
        <w:t xml:space="preserve"> </w:t>
      </w:r>
      <w:r w:rsidRPr="003E6209">
        <w:rPr>
          <w:spacing w:val="-2"/>
          <w:sz w:val="22"/>
          <w:szCs w:val="22"/>
          <w:lang w:val="pl-PL"/>
        </w:rPr>
        <w:t>m</w:t>
      </w:r>
      <w:r w:rsidRPr="003E6209">
        <w:rPr>
          <w:sz w:val="22"/>
          <w:szCs w:val="22"/>
          <w:lang w:val="pl-PL"/>
        </w:rPr>
        <w:t>onitorowanie stosu</w:t>
      </w:r>
      <w:r w:rsidRPr="003E6209">
        <w:rPr>
          <w:spacing w:val="2"/>
          <w:sz w:val="22"/>
          <w:szCs w:val="22"/>
          <w:lang w:val="pl-PL"/>
        </w:rPr>
        <w:t>n</w:t>
      </w:r>
      <w:r w:rsidRPr="003E6209">
        <w:rPr>
          <w:sz w:val="22"/>
          <w:szCs w:val="22"/>
          <w:lang w:val="pl-PL"/>
        </w:rPr>
        <w:t>ku</w:t>
      </w:r>
      <w:r w:rsidRPr="003E6209">
        <w:rPr>
          <w:spacing w:val="6"/>
          <w:sz w:val="22"/>
          <w:szCs w:val="22"/>
          <w:lang w:val="pl-PL"/>
        </w:rPr>
        <w:t xml:space="preserve"> </w:t>
      </w:r>
      <w:r w:rsidRPr="003E6209">
        <w:rPr>
          <w:sz w:val="22"/>
          <w:szCs w:val="22"/>
          <w:lang w:val="pl-PL"/>
        </w:rPr>
        <w:t>kor</w:t>
      </w:r>
      <w:r w:rsidRPr="003E6209">
        <w:rPr>
          <w:spacing w:val="-1"/>
          <w:sz w:val="22"/>
          <w:szCs w:val="22"/>
          <w:lang w:val="pl-PL"/>
        </w:rPr>
        <w:t>z</w:t>
      </w:r>
      <w:r w:rsidRPr="003E6209">
        <w:rPr>
          <w:spacing w:val="2"/>
          <w:sz w:val="22"/>
          <w:szCs w:val="22"/>
          <w:lang w:val="pl-PL"/>
        </w:rPr>
        <w:t>y</w:t>
      </w:r>
      <w:r w:rsidRPr="003E6209">
        <w:rPr>
          <w:sz w:val="22"/>
          <w:szCs w:val="22"/>
          <w:lang w:val="pl-PL"/>
        </w:rPr>
        <w:t>ści</w:t>
      </w:r>
      <w:r w:rsidRPr="003E6209">
        <w:rPr>
          <w:spacing w:val="6"/>
          <w:sz w:val="22"/>
          <w:szCs w:val="22"/>
          <w:lang w:val="pl-PL"/>
        </w:rPr>
        <w:t xml:space="preserve"> </w:t>
      </w:r>
      <w:r w:rsidRPr="003E6209">
        <w:rPr>
          <w:sz w:val="22"/>
          <w:szCs w:val="22"/>
          <w:lang w:val="pl-PL"/>
        </w:rPr>
        <w:t>do</w:t>
      </w:r>
      <w:r w:rsidRPr="003E6209">
        <w:rPr>
          <w:spacing w:val="12"/>
          <w:sz w:val="22"/>
          <w:szCs w:val="22"/>
          <w:lang w:val="pl-PL"/>
        </w:rPr>
        <w:t xml:space="preserve"> </w:t>
      </w:r>
      <w:r w:rsidRPr="003E6209">
        <w:rPr>
          <w:spacing w:val="-1"/>
          <w:sz w:val="22"/>
          <w:szCs w:val="22"/>
          <w:lang w:val="pl-PL"/>
        </w:rPr>
        <w:t>r</w:t>
      </w:r>
      <w:r w:rsidRPr="003E6209">
        <w:rPr>
          <w:spacing w:val="2"/>
          <w:sz w:val="22"/>
          <w:szCs w:val="22"/>
          <w:lang w:val="pl-PL"/>
        </w:rPr>
        <w:t>y</w:t>
      </w:r>
      <w:r w:rsidRPr="003E6209">
        <w:rPr>
          <w:spacing w:val="-1"/>
          <w:sz w:val="22"/>
          <w:szCs w:val="22"/>
          <w:lang w:val="pl-PL"/>
        </w:rPr>
        <w:t>z</w:t>
      </w:r>
      <w:r w:rsidRPr="003E6209">
        <w:rPr>
          <w:spacing w:val="2"/>
          <w:sz w:val="22"/>
          <w:szCs w:val="22"/>
          <w:lang w:val="pl-PL"/>
        </w:rPr>
        <w:t>y</w:t>
      </w:r>
      <w:r w:rsidRPr="003E6209">
        <w:rPr>
          <w:sz w:val="22"/>
          <w:szCs w:val="22"/>
          <w:lang w:val="pl-PL"/>
        </w:rPr>
        <w:t>ka</w:t>
      </w:r>
      <w:r w:rsidRPr="003E6209">
        <w:rPr>
          <w:spacing w:val="8"/>
          <w:sz w:val="22"/>
          <w:szCs w:val="22"/>
          <w:lang w:val="pl-PL"/>
        </w:rPr>
        <w:t xml:space="preserve"> </w:t>
      </w:r>
      <w:r w:rsidRPr="003E6209">
        <w:rPr>
          <w:sz w:val="22"/>
          <w:szCs w:val="22"/>
          <w:lang w:val="pl-PL"/>
        </w:rPr>
        <w:t>stosowania prod</w:t>
      </w:r>
      <w:r w:rsidRPr="003E6209">
        <w:rPr>
          <w:spacing w:val="-1"/>
          <w:sz w:val="22"/>
          <w:szCs w:val="22"/>
          <w:lang w:val="pl-PL"/>
        </w:rPr>
        <w:t>u</w:t>
      </w:r>
      <w:r w:rsidRPr="003E6209">
        <w:rPr>
          <w:sz w:val="22"/>
          <w:szCs w:val="22"/>
          <w:lang w:val="pl-PL"/>
        </w:rPr>
        <w:t>ktu</w:t>
      </w:r>
      <w:r w:rsidRPr="003E6209">
        <w:rPr>
          <w:spacing w:val="3"/>
          <w:sz w:val="22"/>
          <w:szCs w:val="22"/>
          <w:lang w:val="pl-PL"/>
        </w:rPr>
        <w:t xml:space="preserve"> </w:t>
      </w:r>
      <w:r w:rsidRPr="003E6209">
        <w:rPr>
          <w:sz w:val="22"/>
          <w:szCs w:val="22"/>
          <w:lang w:val="pl-PL"/>
        </w:rPr>
        <w:t>le</w:t>
      </w:r>
      <w:r w:rsidRPr="003E6209">
        <w:rPr>
          <w:spacing w:val="-1"/>
          <w:sz w:val="22"/>
          <w:szCs w:val="22"/>
          <w:lang w:val="pl-PL"/>
        </w:rPr>
        <w:t>c</w:t>
      </w:r>
      <w:r w:rsidRPr="003E6209">
        <w:rPr>
          <w:sz w:val="22"/>
          <w:szCs w:val="22"/>
          <w:lang w:val="pl-PL"/>
        </w:rPr>
        <w:t>zniczego. Oso</w:t>
      </w:r>
      <w:r w:rsidRPr="003E6209">
        <w:rPr>
          <w:spacing w:val="-1"/>
          <w:sz w:val="22"/>
          <w:szCs w:val="22"/>
          <w:lang w:val="pl-PL"/>
        </w:rPr>
        <w:t>b</w:t>
      </w:r>
      <w:r w:rsidRPr="003E6209">
        <w:rPr>
          <w:sz w:val="22"/>
          <w:szCs w:val="22"/>
          <w:lang w:val="pl-PL"/>
        </w:rPr>
        <w:t>y</w:t>
      </w:r>
      <w:r w:rsidRPr="003E6209">
        <w:rPr>
          <w:spacing w:val="6"/>
          <w:sz w:val="22"/>
          <w:szCs w:val="22"/>
          <w:lang w:val="pl-PL"/>
        </w:rPr>
        <w:t xml:space="preserve"> </w:t>
      </w:r>
      <w:r w:rsidRPr="003E6209">
        <w:rPr>
          <w:sz w:val="22"/>
          <w:szCs w:val="22"/>
          <w:lang w:val="pl-PL"/>
        </w:rPr>
        <w:t>nal</w:t>
      </w:r>
      <w:r w:rsidRPr="003E6209">
        <w:rPr>
          <w:spacing w:val="-1"/>
          <w:sz w:val="22"/>
          <w:szCs w:val="22"/>
          <w:lang w:val="pl-PL"/>
        </w:rPr>
        <w:t>e</w:t>
      </w:r>
      <w:r w:rsidRPr="003E6209">
        <w:rPr>
          <w:sz w:val="22"/>
          <w:szCs w:val="22"/>
          <w:lang w:val="pl-PL"/>
        </w:rPr>
        <w:t>żące</w:t>
      </w:r>
      <w:r w:rsidRPr="003E6209">
        <w:rPr>
          <w:spacing w:val="4"/>
          <w:sz w:val="22"/>
          <w:szCs w:val="22"/>
          <w:lang w:val="pl-PL"/>
        </w:rPr>
        <w:t xml:space="preserve"> </w:t>
      </w:r>
      <w:r w:rsidRPr="003E6209">
        <w:rPr>
          <w:sz w:val="22"/>
          <w:szCs w:val="22"/>
          <w:lang w:val="pl-PL"/>
        </w:rPr>
        <w:t>do</w:t>
      </w:r>
      <w:r w:rsidRPr="003E6209">
        <w:rPr>
          <w:spacing w:val="9"/>
          <w:sz w:val="22"/>
          <w:szCs w:val="22"/>
          <w:lang w:val="pl-PL"/>
        </w:rPr>
        <w:t xml:space="preserve"> </w:t>
      </w:r>
      <w:r w:rsidRPr="003E6209">
        <w:rPr>
          <w:sz w:val="22"/>
          <w:szCs w:val="22"/>
          <w:lang w:val="pl-PL"/>
        </w:rPr>
        <w:t>fachow</w:t>
      </w:r>
      <w:r w:rsidRPr="003E6209">
        <w:rPr>
          <w:spacing w:val="-1"/>
          <w:sz w:val="22"/>
          <w:szCs w:val="22"/>
          <w:lang w:val="pl-PL"/>
        </w:rPr>
        <w:t>e</w:t>
      </w:r>
      <w:r w:rsidRPr="003E6209">
        <w:rPr>
          <w:sz w:val="22"/>
          <w:szCs w:val="22"/>
          <w:lang w:val="pl-PL"/>
        </w:rPr>
        <w:t>go</w:t>
      </w:r>
      <w:r w:rsidRPr="003E6209">
        <w:rPr>
          <w:spacing w:val="1"/>
          <w:sz w:val="22"/>
          <w:szCs w:val="22"/>
          <w:lang w:val="pl-PL"/>
        </w:rPr>
        <w:t xml:space="preserve"> </w:t>
      </w:r>
      <w:r w:rsidRPr="003E6209">
        <w:rPr>
          <w:sz w:val="22"/>
          <w:szCs w:val="22"/>
          <w:lang w:val="pl-PL"/>
        </w:rPr>
        <w:t>personelu</w:t>
      </w:r>
      <w:r w:rsidRPr="003E6209">
        <w:rPr>
          <w:spacing w:val="2"/>
          <w:sz w:val="22"/>
          <w:szCs w:val="22"/>
          <w:lang w:val="pl-PL"/>
        </w:rPr>
        <w:t xml:space="preserve"> </w:t>
      </w:r>
      <w:r w:rsidRPr="003E6209">
        <w:rPr>
          <w:sz w:val="22"/>
          <w:szCs w:val="22"/>
          <w:lang w:val="pl-PL"/>
        </w:rPr>
        <w:t>med</w:t>
      </w:r>
      <w:r w:rsidRPr="003E6209">
        <w:rPr>
          <w:spacing w:val="2"/>
          <w:sz w:val="22"/>
          <w:szCs w:val="22"/>
          <w:lang w:val="pl-PL"/>
        </w:rPr>
        <w:t>y</w:t>
      </w:r>
      <w:r w:rsidRPr="003E6209">
        <w:rPr>
          <w:sz w:val="22"/>
          <w:szCs w:val="22"/>
          <w:lang w:val="pl-PL"/>
        </w:rPr>
        <w:t>cznego powi</w:t>
      </w:r>
      <w:r w:rsidRPr="003E6209">
        <w:rPr>
          <w:spacing w:val="-1"/>
          <w:sz w:val="22"/>
          <w:szCs w:val="22"/>
          <w:lang w:val="pl-PL"/>
        </w:rPr>
        <w:t>nn</w:t>
      </w:r>
      <w:r w:rsidRPr="003E6209">
        <w:rPr>
          <w:sz w:val="22"/>
          <w:szCs w:val="22"/>
          <w:lang w:val="pl-PL"/>
        </w:rPr>
        <w:t>y</w:t>
      </w:r>
      <w:r w:rsidRPr="003E6209">
        <w:rPr>
          <w:spacing w:val="4"/>
          <w:sz w:val="22"/>
          <w:szCs w:val="22"/>
          <w:lang w:val="pl-PL"/>
        </w:rPr>
        <w:t xml:space="preserve"> </w:t>
      </w:r>
      <w:r w:rsidRPr="003E6209">
        <w:rPr>
          <w:sz w:val="22"/>
          <w:szCs w:val="22"/>
          <w:lang w:val="pl-PL"/>
        </w:rPr>
        <w:t>zgłasz</w:t>
      </w:r>
      <w:r w:rsidRPr="003E6209">
        <w:rPr>
          <w:spacing w:val="1"/>
          <w:sz w:val="22"/>
          <w:szCs w:val="22"/>
          <w:lang w:val="pl-PL"/>
        </w:rPr>
        <w:t>a</w:t>
      </w:r>
      <w:r w:rsidRPr="003E6209">
        <w:rPr>
          <w:sz w:val="22"/>
          <w:szCs w:val="22"/>
          <w:lang w:val="pl-PL"/>
        </w:rPr>
        <w:t>ć wszelkie</w:t>
      </w:r>
      <w:r w:rsidRPr="003E6209">
        <w:rPr>
          <w:spacing w:val="6"/>
          <w:sz w:val="22"/>
          <w:szCs w:val="22"/>
          <w:lang w:val="pl-PL"/>
        </w:rPr>
        <w:t xml:space="preserve"> </w:t>
      </w:r>
      <w:r w:rsidRPr="003E6209">
        <w:rPr>
          <w:sz w:val="22"/>
          <w:szCs w:val="22"/>
          <w:lang w:val="pl-PL"/>
        </w:rPr>
        <w:t>podejrzewane</w:t>
      </w:r>
      <w:r w:rsidRPr="003E6209">
        <w:rPr>
          <w:spacing w:val="2"/>
          <w:sz w:val="22"/>
          <w:szCs w:val="22"/>
          <w:lang w:val="pl-PL"/>
        </w:rPr>
        <w:t xml:space="preserve"> </w:t>
      </w:r>
      <w:r w:rsidRPr="003E6209">
        <w:rPr>
          <w:sz w:val="22"/>
          <w:szCs w:val="22"/>
          <w:lang w:val="pl-PL"/>
        </w:rPr>
        <w:t>dzi</w:t>
      </w:r>
      <w:r w:rsidRPr="003E6209">
        <w:rPr>
          <w:spacing w:val="-1"/>
          <w:sz w:val="22"/>
          <w:szCs w:val="22"/>
          <w:lang w:val="pl-PL"/>
        </w:rPr>
        <w:t>a</w:t>
      </w:r>
      <w:r w:rsidRPr="003E6209">
        <w:rPr>
          <w:sz w:val="22"/>
          <w:szCs w:val="22"/>
          <w:lang w:val="pl-PL"/>
        </w:rPr>
        <w:t>łania</w:t>
      </w:r>
      <w:r w:rsidRPr="003E6209">
        <w:rPr>
          <w:spacing w:val="5"/>
          <w:sz w:val="22"/>
          <w:szCs w:val="22"/>
          <w:lang w:val="pl-PL"/>
        </w:rPr>
        <w:t xml:space="preserve"> </w:t>
      </w:r>
      <w:r w:rsidRPr="003E6209">
        <w:rPr>
          <w:sz w:val="22"/>
          <w:szCs w:val="22"/>
          <w:lang w:val="pl-PL"/>
        </w:rPr>
        <w:t>ni</w:t>
      </w:r>
      <w:r w:rsidRPr="003E6209">
        <w:rPr>
          <w:spacing w:val="1"/>
          <w:sz w:val="22"/>
          <w:szCs w:val="22"/>
          <w:lang w:val="pl-PL"/>
        </w:rPr>
        <w:t>ep</w:t>
      </w:r>
      <w:r w:rsidRPr="003E6209">
        <w:rPr>
          <w:sz w:val="22"/>
          <w:szCs w:val="22"/>
          <w:lang w:val="pl-PL"/>
        </w:rPr>
        <w:t>ożądane</w:t>
      </w:r>
      <w:r w:rsidRPr="003E6209">
        <w:rPr>
          <w:spacing w:val="2"/>
          <w:sz w:val="22"/>
          <w:szCs w:val="22"/>
          <w:lang w:val="pl-PL"/>
        </w:rPr>
        <w:t xml:space="preserve"> </w:t>
      </w:r>
      <w:r w:rsidRPr="003E6209">
        <w:rPr>
          <w:sz w:val="22"/>
          <w:szCs w:val="22"/>
          <w:lang w:val="pl-PL"/>
        </w:rPr>
        <w:t>za</w:t>
      </w:r>
      <w:r w:rsidRPr="003E6209">
        <w:rPr>
          <w:spacing w:val="11"/>
          <w:sz w:val="22"/>
          <w:szCs w:val="22"/>
          <w:lang w:val="pl-PL"/>
        </w:rPr>
        <w:t xml:space="preserve"> </w:t>
      </w:r>
      <w:r w:rsidRPr="003E6209">
        <w:rPr>
          <w:sz w:val="22"/>
          <w:szCs w:val="22"/>
          <w:lang w:val="pl-PL"/>
        </w:rPr>
        <w:t>pośrednictwem Departamentu</w:t>
      </w:r>
      <w:r w:rsidRPr="003E6209">
        <w:rPr>
          <w:spacing w:val="1"/>
          <w:sz w:val="22"/>
          <w:szCs w:val="22"/>
          <w:lang w:val="pl-PL"/>
        </w:rPr>
        <w:t xml:space="preserve"> </w:t>
      </w:r>
      <w:r w:rsidRPr="003E6209">
        <w:rPr>
          <w:sz w:val="22"/>
          <w:szCs w:val="22"/>
          <w:lang w:val="pl-PL"/>
        </w:rPr>
        <w:t>Monitorowania Niep</w:t>
      </w:r>
      <w:r w:rsidRPr="003E6209">
        <w:rPr>
          <w:spacing w:val="1"/>
          <w:sz w:val="22"/>
          <w:szCs w:val="22"/>
          <w:lang w:val="pl-PL"/>
        </w:rPr>
        <w:t>o</w:t>
      </w:r>
      <w:r w:rsidRPr="003E6209">
        <w:rPr>
          <w:sz w:val="22"/>
          <w:szCs w:val="22"/>
          <w:lang w:val="pl-PL"/>
        </w:rPr>
        <w:t>żądanych Dzi</w:t>
      </w:r>
      <w:r w:rsidRPr="003E6209">
        <w:rPr>
          <w:spacing w:val="-1"/>
          <w:sz w:val="22"/>
          <w:szCs w:val="22"/>
          <w:lang w:val="pl-PL"/>
        </w:rPr>
        <w:t>a</w:t>
      </w:r>
      <w:r w:rsidRPr="003E6209">
        <w:rPr>
          <w:spacing w:val="1"/>
          <w:sz w:val="22"/>
          <w:szCs w:val="22"/>
          <w:lang w:val="pl-PL"/>
        </w:rPr>
        <w:t>ł</w:t>
      </w:r>
      <w:r w:rsidRPr="003E6209">
        <w:rPr>
          <w:sz w:val="22"/>
          <w:szCs w:val="22"/>
          <w:lang w:val="pl-PL"/>
        </w:rPr>
        <w:t>ań</w:t>
      </w:r>
      <w:r w:rsidRPr="003E6209">
        <w:rPr>
          <w:spacing w:val="8"/>
          <w:sz w:val="22"/>
          <w:szCs w:val="22"/>
          <w:lang w:val="pl-PL"/>
        </w:rPr>
        <w:t xml:space="preserve"> </w:t>
      </w:r>
      <w:r w:rsidRPr="003E6209">
        <w:rPr>
          <w:sz w:val="22"/>
          <w:szCs w:val="22"/>
          <w:lang w:val="pl-PL"/>
        </w:rPr>
        <w:t>Produktów</w:t>
      </w:r>
      <w:r w:rsidRPr="003E6209">
        <w:rPr>
          <w:spacing w:val="3"/>
          <w:sz w:val="22"/>
          <w:szCs w:val="22"/>
          <w:lang w:val="pl-PL"/>
        </w:rPr>
        <w:t xml:space="preserve"> </w:t>
      </w:r>
      <w:r w:rsidRPr="003E6209">
        <w:rPr>
          <w:sz w:val="22"/>
          <w:szCs w:val="22"/>
          <w:lang w:val="pl-PL"/>
        </w:rPr>
        <w:t>Lecznicz</w:t>
      </w:r>
      <w:r w:rsidRPr="003E6209">
        <w:rPr>
          <w:spacing w:val="2"/>
          <w:sz w:val="22"/>
          <w:szCs w:val="22"/>
          <w:lang w:val="pl-PL"/>
        </w:rPr>
        <w:t>y</w:t>
      </w:r>
      <w:r w:rsidRPr="003E6209">
        <w:rPr>
          <w:sz w:val="22"/>
          <w:szCs w:val="22"/>
          <w:lang w:val="pl-PL"/>
        </w:rPr>
        <w:t>ch</w:t>
      </w:r>
      <w:r w:rsidRPr="003E6209">
        <w:rPr>
          <w:spacing w:val="3"/>
          <w:sz w:val="22"/>
          <w:szCs w:val="22"/>
          <w:lang w:val="pl-PL"/>
        </w:rPr>
        <w:t xml:space="preserve"> </w:t>
      </w:r>
      <w:r w:rsidRPr="003E6209">
        <w:rPr>
          <w:sz w:val="22"/>
          <w:szCs w:val="22"/>
          <w:lang w:val="pl-PL"/>
        </w:rPr>
        <w:t>Urzędu</w:t>
      </w:r>
      <w:r w:rsidRPr="003E6209">
        <w:rPr>
          <w:spacing w:val="8"/>
          <w:sz w:val="22"/>
          <w:szCs w:val="22"/>
          <w:lang w:val="pl-PL"/>
        </w:rPr>
        <w:t xml:space="preserve"> </w:t>
      </w:r>
      <w:r w:rsidRPr="003E6209">
        <w:rPr>
          <w:sz w:val="22"/>
          <w:szCs w:val="22"/>
          <w:lang w:val="pl-PL"/>
        </w:rPr>
        <w:t>Rejest</w:t>
      </w:r>
      <w:r w:rsidRPr="003E6209">
        <w:rPr>
          <w:spacing w:val="1"/>
          <w:sz w:val="22"/>
          <w:szCs w:val="22"/>
          <w:lang w:val="pl-PL"/>
        </w:rPr>
        <w:t>r</w:t>
      </w:r>
      <w:r w:rsidRPr="003E6209">
        <w:rPr>
          <w:sz w:val="22"/>
          <w:szCs w:val="22"/>
          <w:lang w:val="pl-PL"/>
        </w:rPr>
        <w:t>acji</w:t>
      </w:r>
      <w:r w:rsidRPr="003E6209">
        <w:rPr>
          <w:spacing w:val="5"/>
          <w:sz w:val="22"/>
          <w:szCs w:val="22"/>
          <w:lang w:val="pl-PL"/>
        </w:rPr>
        <w:t xml:space="preserve"> </w:t>
      </w:r>
      <w:r w:rsidRPr="003E6209">
        <w:rPr>
          <w:sz w:val="22"/>
          <w:szCs w:val="22"/>
          <w:lang w:val="pl-PL"/>
        </w:rPr>
        <w:t>Produk</w:t>
      </w:r>
      <w:r w:rsidRPr="003E6209">
        <w:rPr>
          <w:spacing w:val="-1"/>
          <w:sz w:val="22"/>
          <w:szCs w:val="22"/>
          <w:lang w:val="pl-PL"/>
        </w:rPr>
        <w:t>t</w:t>
      </w:r>
      <w:r w:rsidRPr="003E6209">
        <w:rPr>
          <w:sz w:val="22"/>
          <w:szCs w:val="22"/>
          <w:lang w:val="pl-PL"/>
        </w:rPr>
        <w:t>ów</w:t>
      </w:r>
      <w:r w:rsidRPr="003E6209">
        <w:rPr>
          <w:spacing w:val="4"/>
          <w:sz w:val="22"/>
          <w:szCs w:val="22"/>
          <w:lang w:val="pl-PL"/>
        </w:rPr>
        <w:t xml:space="preserve"> </w:t>
      </w:r>
      <w:r w:rsidRPr="003E6209">
        <w:rPr>
          <w:sz w:val="22"/>
          <w:szCs w:val="22"/>
          <w:lang w:val="pl-PL"/>
        </w:rPr>
        <w:t>Lecznicz</w:t>
      </w:r>
      <w:r w:rsidRPr="003E6209">
        <w:rPr>
          <w:spacing w:val="2"/>
          <w:sz w:val="22"/>
          <w:szCs w:val="22"/>
          <w:lang w:val="pl-PL"/>
        </w:rPr>
        <w:t>y</w:t>
      </w:r>
      <w:r w:rsidRPr="003E6209">
        <w:rPr>
          <w:sz w:val="22"/>
          <w:szCs w:val="22"/>
          <w:lang w:val="pl-PL"/>
        </w:rPr>
        <w:t>ch, W</w:t>
      </w:r>
      <w:r w:rsidRPr="003E6209">
        <w:rPr>
          <w:spacing w:val="2"/>
          <w:sz w:val="22"/>
          <w:szCs w:val="22"/>
          <w:lang w:val="pl-PL"/>
        </w:rPr>
        <w:t>y</w:t>
      </w:r>
      <w:r w:rsidRPr="003E6209">
        <w:rPr>
          <w:spacing w:val="-1"/>
          <w:sz w:val="22"/>
          <w:szCs w:val="22"/>
          <w:lang w:val="pl-PL"/>
        </w:rPr>
        <w:t>r</w:t>
      </w:r>
      <w:r w:rsidRPr="003E6209">
        <w:rPr>
          <w:sz w:val="22"/>
          <w:szCs w:val="22"/>
          <w:lang w:val="pl-PL"/>
        </w:rPr>
        <w:t>obów</w:t>
      </w:r>
      <w:r w:rsidRPr="003E6209">
        <w:rPr>
          <w:spacing w:val="-9"/>
          <w:sz w:val="22"/>
          <w:szCs w:val="22"/>
          <w:lang w:val="pl-PL"/>
        </w:rPr>
        <w:t xml:space="preserve"> </w:t>
      </w:r>
      <w:r w:rsidRPr="003E6209">
        <w:rPr>
          <w:sz w:val="22"/>
          <w:szCs w:val="22"/>
          <w:lang w:val="pl-PL"/>
        </w:rPr>
        <w:t>M</w:t>
      </w:r>
      <w:r w:rsidRPr="003E6209">
        <w:rPr>
          <w:spacing w:val="-1"/>
          <w:sz w:val="22"/>
          <w:szCs w:val="22"/>
          <w:lang w:val="pl-PL"/>
        </w:rPr>
        <w:t>ed</w:t>
      </w:r>
      <w:r w:rsidRPr="003E6209">
        <w:rPr>
          <w:spacing w:val="2"/>
          <w:sz w:val="22"/>
          <w:szCs w:val="22"/>
          <w:lang w:val="pl-PL"/>
        </w:rPr>
        <w:t>y</w:t>
      </w:r>
      <w:r w:rsidRPr="003E6209">
        <w:rPr>
          <w:sz w:val="22"/>
          <w:szCs w:val="22"/>
          <w:lang w:val="pl-PL"/>
        </w:rPr>
        <w:t>cz</w:t>
      </w:r>
      <w:r w:rsidRPr="003E6209">
        <w:rPr>
          <w:spacing w:val="-1"/>
          <w:sz w:val="22"/>
          <w:szCs w:val="22"/>
          <w:lang w:val="pl-PL"/>
        </w:rPr>
        <w:t>n</w:t>
      </w:r>
      <w:r w:rsidRPr="003E6209">
        <w:rPr>
          <w:spacing w:val="2"/>
          <w:sz w:val="22"/>
          <w:szCs w:val="22"/>
          <w:lang w:val="pl-PL"/>
        </w:rPr>
        <w:t>y</w:t>
      </w:r>
      <w:r w:rsidRPr="003E6209">
        <w:rPr>
          <w:sz w:val="22"/>
          <w:szCs w:val="22"/>
          <w:lang w:val="pl-PL"/>
        </w:rPr>
        <w:t>ch</w:t>
      </w:r>
      <w:r w:rsidRPr="003E6209">
        <w:rPr>
          <w:spacing w:val="-11"/>
          <w:sz w:val="22"/>
          <w:szCs w:val="22"/>
          <w:lang w:val="pl-PL"/>
        </w:rPr>
        <w:t xml:space="preserve"> </w:t>
      </w:r>
      <w:r w:rsidRPr="003E6209">
        <w:rPr>
          <w:sz w:val="22"/>
          <w:szCs w:val="22"/>
          <w:lang w:val="pl-PL"/>
        </w:rPr>
        <w:t>i</w:t>
      </w:r>
      <w:r w:rsidRPr="003E6209">
        <w:rPr>
          <w:spacing w:val="-1"/>
          <w:sz w:val="22"/>
          <w:szCs w:val="22"/>
          <w:lang w:val="pl-PL"/>
        </w:rPr>
        <w:t xml:space="preserve"> </w:t>
      </w:r>
      <w:r w:rsidRPr="003E6209">
        <w:rPr>
          <w:sz w:val="22"/>
          <w:szCs w:val="22"/>
          <w:lang w:val="pl-PL"/>
        </w:rPr>
        <w:t>P</w:t>
      </w:r>
      <w:r w:rsidRPr="003E6209">
        <w:rPr>
          <w:spacing w:val="-1"/>
          <w:sz w:val="22"/>
          <w:szCs w:val="22"/>
          <w:lang w:val="pl-PL"/>
        </w:rPr>
        <w:t>r</w:t>
      </w:r>
      <w:r w:rsidRPr="003E6209">
        <w:rPr>
          <w:sz w:val="22"/>
          <w:szCs w:val="22"/>
          <w:lang w:val="pl-PL"/>
        </w:rPr>
        <w:t>oduk</w:t>
      </w:r>
      <w:r w:rsidRPr="003E6209">
        <w:rPr>
          <w:spacing w:val="-1"/>
          <w:sz w:val="22"/>
          <w:szCs w:val="22"/>
          <w:lang w:val="pl-PL"/>
        </w:rPr>
        <w:t>t</w:t>
      </w:r>
      <w:r w:rsidRPr="003E6209">
        <w:rPr>
          <w:sz w:val="22"/>
          <w:szCs w:val="22"/>
          <w:lang w:val="pl-PL"/>
        </w:rPr>
        <w:t>ów</w:t>
      </w:r>
      <w:r w:rsidRPr="003E6209">
        <w:rPr>
          <w:spacing w:val="-10"/>
          <w:sz w:val="22"/>
          <w:szCs w:val="22"/>
          <w:lang w:val="pl-PL"/>
        </w:rPr>
        <w:t xml:space="preserve"> </w:t>
      </w:r>
      <w:r w:rsidRPr="003E6209">
        <w:rPr>
          <w:sz w:val="22"/>
          <w:szCs w:val="22"/>
          <w:lang w:val="pl-PL"/>
        </w:rPr>
        <w:t>Bi</w:t>
      </w:r>
      <w:r w:rsidRPr="003E6209">
        <w:rPr>
          <w:spacing w:val="-1"/>
          <w:sz w:val="22"/>
          <w:szCs w:val="22"/>
          <w:lang w:val="pl-PL"/>
        </w:rPr>
        <w:t>o</w:t>
      </w:r>
      <w:r w:rsidRPr="003E6209">
        <w:rPr>
          <w:sz w:val="22"/>
          <w:szCs w:val="22"/>
          <w:lang w:val="pl-PL"/>
        </w:rPr>
        <w:t>bójcz</w:t>
      </w:r>
      <w:r w:rsidRPr="003E6209">
        <w:rPr>
          <w:spacing w:val="2"/>
          <w:sz w:val="22"/>
          <w:szCs w:val="22"/>
          <w:lang w:val="pl-PL"/>
        </w:rPr>
        <w:t>y</w:t>
      </w:r>
      <w:r w:rsidRPr="003E6209">
        <w:rPr>
          <w:sz w:val="22"/>
          <w:szCs w:val="22"/>
          <w:lang w:val="pl-PL"/>
        </w:rPr>
        <w:t xml:space="preserve">ch, </w:t>
      </w:r>
      <w:r w:rsidRPr="003E6209">
        <w:rPr>
          <w:bCs/>
          <w:color w:val="000000"/>
          <w:sz w:val="22"/>
          <w:szCs w:val="22"/>
          <w:lang w:val="pl-PL" w:eastAsia="zh-CN"/>
        </w:rPr>
        <w:t xml:space="preserve">Al. Jerozolimskie 181C, PL-02 222 Warszawa, </w:t>
      </w:r>
      <w:r w:rsidR="00D82D4E">
        <w:rPr>
          <w:bCs/>
          <w:color w:val="000000"/>
          <w:sz w:val="22"/>
          <w:szCs w:val="22"/>
          <w:lang w:val="pl-PL" w:eastAsia="zh-CN"/>
        </w:rPr>
        <w:br/>
      </w:r>
      <w:r w:rsidRPr="003E6209">
        <w:rPr>
          <w:bCs/>
          <w:color w:val="000000"/>
          <w:sz w:val="22"/>
          <w:szCs w:val="22"/>
          <w:lang w:val="pl-PL" w:eastAsia="zh-CN"/>
        </w:rPr>
        <w:t>tel.: + 48 22 49 21</w:t>
      </w:r>
      <w:r w:rsidRPr="00B34975">
        <w:rPr>
          <w:bCs/>
          <w:color w:val="000000"/>
          <w:sz w:val="22"/>
          <w:szCs w:val="22"/>
          <w:lang w:val="pl-PL" w:eastAsia="zh-CN"/>
        </w:rPr>
        <w:t> </w:t>
      </w:r>
      <w:r w:rsidRPr="003E6209">
        <w:rPr>
          <w:bCs/>
          <w:color w:val="000000"/>
          <w:sz w:val="22"/>
          <w:szCs w:val="22"/>
          <w:lang w:val="pl-PL" w:eastAsia="zh-CN"/>
        </w:rPr>
        <w:t>301, faks: + 48 22 49 21</w:t>
      </w:r>
      <w:r w:rsidRPr="00B34975">
        <w:rPr>
          <w:bCs/>
          <w:color w:val="000000"/>
          <w:sz w:val="22"/>
          <w:szCs w:val="22"/>
          <w:lang w:val="pl-PL" w:eastAsia="zh-CN"/>
        </w:rPr>
        <w:t> </w:t>
      </w:r>
      <w:r w:rsidRPr="003E6209">
        <w:rPr>
          <w:bCs/>
          <w:color w:val="000000"/>
          <w:sz w:val="22"/>
          <w:szCs w:val="22"/>
          <w:lang w:val="pl-PL" w:eastAsia="zh-CN"/>
        </w:rPr>
        <w:t xml:space="preserve">309, </w:t>
      </w:r>
      <w:r w:rsidR="00BA72CC" w:rsidRPr="00BA72CC">
        <w:rPr>
          <w:bCs/>
          <w:color w:val="000000"/>
          <w:sz w:val="22"/>
          <w:szCs w:val="22"/>
          <w:lang w:val="pl-PL" w:eastAsia="zh-CN"/>
        </w:rPr>
        <w:t xml:space="preserve">Strona internetowa: </w:t>
      </w:r>
      <w:hyperlink r:id="rId8" w:history="1">
        <w:r w:rsidR="00227B58" w:rsidRPr="00A921FE">
          <w:rPr>
            <w:rStyle w:val="Hipercze"/>
            <w:bCs/>
            <w:color w:val="000000" w:themeColor="text1"/>
            <w:sz w:val="22"/>
            <w:szCs w:val="22"/>
            <w:lang w:val="pl-PL" w:eastAsia="zh-CN"/>
          </w:rPr>
          <w:t>https://smz.ezdrowie.gov.pl</w:t>
        </w:r>
      </w:hyperlink>
      <w:r w:rsidR="00227B58" w:rsidRPr="00A921FE">
        <w:rPr>
          <w:bCs/>
          <w:color w:val="000000" w:themeColor="text1"/>
          <w:sz w:val="22"/>
          <w:szCs w:val="22"/>
          <w:lang w:val="pl-PL" w:eastAsia="zh-CN"/>
        </w:rPr>
        <w:t>.</w:t>
      </w:r>
    </w:p>
    <w:p w14:paraId="5BDAEEA6" w14:textId="328CC4F4" w:rsidR="00D33C5F" w:rsidRPr="00374609" w:rsidRDefault="00227B58" w:rsidP="006631F4">
      <w:pPr>
        <w:autoSpaceDE w:val="0"/>
        <w:autoSpaceDN w:val="0"/>
        <w:adjustRightInd w:val="0"/>
        <w:rPr>
          <w:sz w:val="22"/>
          <w:szCs w:val="22"/>
          <w:lang w:val="pl-PL"/>
        </w:rPr>
      </w:pPr>
      <w:r>
        <w:rPr>
          <w:bCs/>
          <w:color w:val="000000"/>
          <w:sz w:val="22"/>
          <w:szCs w:val="22"/>
          <w:lang w:val="pl-PL" w:eastAsia="zh-CN"/>
        </w:rPr>
        <w:t>Działania niepożądane można zgłaszać również podmiotowi odpowiedzialnemu.</w:t>
      </w:r>
    </w:p>
    <w:p w14:paraId="79024F89" w14:textId="77777777" w:rsidR="00D33C5F" w:rsidRPr="00374609" w:rsidRDefault="00D33C5F" w:rsidP="00C51997">
      <w:pPr>
        <w:autoSpaceDE w:val="0"/>
        <w:autoSpaceDN w:val="0"/>
        <w:adjustRightInd w:val="0"/>
        <w:rPr>
          <w:b/>
          <w:bCs/>
          <w:sz w:val="22"/>
          <w:szCs w:val="22"/>
          <w:lang w:val="pl-PL"/>
        </w:rPr>
      </w:pPr>
    </w:p>
    <w:p w14:paraId="68B236EC"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4.9</w:t>
      </w:r>
      <w:r w:rsidRPr="00374609">
        <w:rPr>
          <w:b/>
          <w:bCs/>
          <w:iCs/>
          <w:sz w:val="22"/>
          <w:szCs w:val="22"/>
          <w:lang w:val="pl-PL"/>
        </w:rPr>
        <w:tab/>
      </w:r>
      <w:r w:rsidRPr="00374609">
        <w:rPr>
          <w:b/>
          <w:bCs/>
          <w:sz w:val="22"/>
          <w:szCs w:val="22"/>
          <w:lang w:val="pl-PL"/>
        </w:rPr>
        <w:t>Przedawkowanie</w:t>
      </w:r>
    </w:p>
    <w:p w14:paraId="17F1FB31" w14:textId="77777777" w:rsidR="00D33C5F" w:rsidRPr="00374609" w:rsidRDefault="00D33C5F" w:rsidP="00C51997">
      <w:pPr>
        <w:autoSpaceDE w:val="0"/>
        <w:autoSpaceDN w:val="0"/>
        <w:adjustRightInd w:val="0"/>
        <w:rPr>
          <w:i/>
          <w:iCs/>
          <w:sz w:val="22"/>
          <w:szCs w:val="22"/>
          <w:lang w:val="pl-PL"/>
        </w:rPr>
      </w:pPr>
    </w:p>
    <w:p w14:paraId="393E3927" w14:textId="77777777" w:rsidR="00D33C5F" w:rsidRPr="00374609" w:rsidRDefault="00D33C5F" w:rsidP="00C51997">
      <w:pPr>
        <w:autoSpaceDE w:val="0"/>
        <w:autoSpaceDN w:val="0"/>
        <w:adjustRightInd w:val="0"/>
        <w:rPr>
          <w:sz w:val="22"/>
          <w:szCs w:val="22"/>
          <w:lang w:val="pl-PL"/>
        </w:rPr>
      </w:pPr>
      <w:r w:rsidRPr="00374609">
        <w:rPr>
          <w:sz w:val="22"/>
          <w:szCs w:val="22"/>
          <w:lang w:val="pl-PL"/>
        </w:rPr>
        <w:t>Objawy obserwowane po znacznym przedawkowaniu związane są głównie z nadmiernym działaniem przeciwcholinergicznym, depresją lub paradoksalnym pobudzeniem OUN. Należą do nich: nudności, wymioty, tachykardia, gorączka, senność, zaburzenia odruchu źrenicznego, drżenie, splątanie lub omamy, a w późniejszym okresie obniżenie poziomu świadomości, depresja oddechowa, drgawki, niedociśnienie tętnicze lub zaburzenia rytmu serca oraz pogłębiająca się śpiączka i zapaść krążeniowo-oddechowa.</w:t>
      </w:r>
    </w:p>
    <w:p w14:paraId="23236968" w14:textId="77777777" w:rsidR="00D33C5F" w:rsidRPr="00374609" w:rsidRDefault="00D33C5F" w:rsidP="00C51997">
      <w:pPr>
        <w:pStyle w:val="Tekstpodstawowy2"/>
        <w:tabs>
          <w:tab w:val="left" w:pos="3420"/>
        </w:tabs>
      </w:pPr>
      <w:r w:rsidRPr="00374609">
        <w:t xml:space="preserve">W przypadku znacznego przedawkowania konieczne jest ścisłe kontrolowanie drożności dróg oddechowych, oddychania i krążenia (ciągły zapis EKG) oraz zapewnienie odpowiedniej podaży tlenu. Monitorowanie akcji serca oraz ciśnienia tętniczego należy prowadzić przez 24 godziny, </w:t>
      </w:r>
      <w:r w:rsidR="00D82D4E">
        <w:br/>
      </w:r>
      <w:r w:rsidRPr="00374609">
        <w:t xml:space="preserve">do ustąpienia objawów przedawkowania. U pacjentów z zaburzeniami świadomości należ ustalić, </w:t>
      </w:r>
      <w:r w:rsidR="00D82D4E">
        <w:br/>
      </w:r>
      <w:r w:rsidRPr="00374609">
        <w:t xml:space="preserve">czy nie przyjmowali jednocześnie innych leków lub alkoholu, oraz podać im tlen, nalokson, glukozę </w:t>
      </w:r>
      <w:r w:rsidR="00D82D4E">
        <w:br/>
      </w:r>
      <w:r w:rsidRPr="00374609">
        <w:t>i tiaminę, jeśli zajdzie taka konieczność.</w:t>
      </w:r>
    </w:p>
    <w:p w14:paraId="208F8543" w14:textId="77777777" w:rsidR="00D33C5F" w:rsidRPr="00374609" w:rsidRDefault="00D33C5F" w:rsidP="00C51997">
      <w:pPr>
        <w:tabs>
          <w:tab w:val="left" w:pos="3420"/>
        </w:tabs>
        <w:autoSpaceDE w:val="0"/>
        <w:autoSpaceDN w:val="0"/>
        <w:adjustRightInd w:val="0"/>
        <w:rPr>
          <w:sz w:val="22"/>
          <w:szCs w:val="22"/>
          <w:lang w:val="pl-PL"/>
        </w:rPr>
      </w:pPr>
      <w:r w:rsidRPr="00374609">
        <w:rPr>
          <w:sz w:val="22"/>
          <w:szCs w:val="22"/>
          <w:lang w:val="pl-PL"/>
        </w:rPr>
        <w:t>Jeśli zajdzie konieczność podania środka obkurczającego naczynia, należy zastosować noradrenalinę lub metaraminol. Nie należy stosować adrenaliny.</w:t>
      </w:r>
    </w:p>
    <w:p w14:paraId="3CF823F2" w14:textId="77777777" w:rsidR="00D33C5F" w:rsidRPr="00374609" w:rsidRDefault="00D33C5F" w:rsidP="00C51997">
      <w:pPr>
        <w:tabs>
          <w:tab w:val="left" w:pos="3420"/>
        </w:tabs>
        <w:autoSpaceDE w:val="0"/>
        <w:autoSpaceDN w:val="0"/>
        <w:adjustRightInd w:val="0"/>
        <w:rPr>
          <w:sz w:val="22"/>
          <w:szCs w:val="22"/>
          <w:lang w:val="pl-PL"/>
        </w:rPr>
      </w:pPr>
      <w:r w:rsidRPr="00374609">
        <w:rPr>
          <w:sz w:val="22"/>
          <w:szCs w:val="22"/>
          <w:lang w:val="pl-PL"/>
        </w:rPr>
        <w:t xml:space="preserve">U tych pacjentów z objawami przedawkowania, u których mogą wystąpić objawy zaburzeń świadomości, śpiączka lub drgawki, nie należy stosować preparatów wymiotnicy ze względu </w:t>
      </w:r>
      <w:r w:rsidR="00D82D4E">
        <w:rPr>
          <w:sz w:val="22"/>
          <w:szCs w:val="22"/>
          <w:lang w:val="pl-PL"/>
        </w:rPr>
        <w:br/>
      </w:r>
      <w:r w:rsidRPr="00374609">
        <w:rPr>
          <w:sz w:val="22"/>
          <w:szCs w:val="22"/>
          <w:lang w:val="pl-PL"/>
        </w:rPr>
        <w:t>na niebezpieczeństwo wystąpienia zachłystowego zapalenia płuc. Jeśli doszło do spożycia leku</w:t>
      </w:r>
      <w:r w:rsidR="00D82D4E">
        <w:rPr>
          <w:sz w:val="22"/>
          <w:szCs w:val="22"/>
          <w:lang w:val="pl-PL"/>
        </w:rPr>
        <w:br/>
      </w:r>
      <w:r w:rsidRPr="00374609">
        <w:rPr>
          <w:sz w:val="22"/>
          <w:szCs w:val="22"/>
          <w:lang w:val="pl-PL"/>
        </w:rPr>
        <w:t xml:space="preserve"> w klinicznie istotnej ilości, można wykonać płukanie żołądka po uprzednim wykonaniu intubacji dotchawiczej.</w:t>
      </w:r>
    </w:p>
    <w:p w14:paraId="1687D521" w14:textId="77777777" w:rsidR="00D33C5F" w:rsidRPr="00374609" w:rsidRDefault="00D33C5F" w:rsidP="00C51997">
      <w:pPr>
        <w:tabs>
          <w:tab w:val="left" w:pos="3420"/>
        </w:tabs>
        <w:autoSpaceDE w:val="0"/>
        <w:autoSpaceDN w:val="0"/>
        <w:adjustRightInd w:val="0"/>
        <w:rPr>
          <w:sz w:val="22"/>
          <w:szCs w:val="22"/>
          <w:lang w:val="pl-PL"/>
        </w:rPr>
      </w:pPr>
      <w:r w:rsidRPr="00374609">
        <w:rPr>
          <w:sz w:val="22"/>
          <w:szCs w:val="22"/>
          <w:lang w:val="pl-PL"/>
        </w:rPr>
        <w:t>Istnieje niewiele danych potwierdzających skuteczność stosowania węgla aktywowanego.</w:t>
      </w:r>
    </w:p>
    <w:p w14:paraId="74082123" w14:textId="77777777" w:rsidR="00D33C5F" w:rsidRPr="00374609" w:rsidRDefault="00D33C5F" w:rsidP="00C51997">
      <w:pPr>
        <w:tabs>
          <w:tab w:val="left" w:pos="3420"/>
        </w:tabs>
        <w:autoSpaceDE w:val="0"/>
        <w:autoSpaceDN w:val="0"/>
        <w:adjustRightInd w:val="0"/>
        <w:rPr>
          <w:sz w:val="22"/>
          <w:szCs w:val="22"/>
          <w:lang w:val="pl-PL"/>
        </w:rPr>
      </w:pPr>
      <w:r w:rsidRPr="00374609">
        <w:rPr>
          <w:sz w:val="22"/>
          <w:szCs w:val="22"/>
          <w:lang w:val="pl-PL"/>
        </w:rPr>
        <w:t>Wątpliwe jest, by hemodializa czy hemoperfuzja miały istotne zastosowanie w leczeniu pacjentów, którzy przedawkowali hydroksyzynę.</w:t>
      </w:r>
    </w:p>
    <w:p w14:paraId="76EC26DC" w14:textId="77777777" w:rsidR="00D33C5F" w:rsidRPr="00374609" w:rsidRDefault="00D33C5F" w:rsidP="00C51997">
      <w:pPr>
        <w:tabs>
          <w:tab w:val="left" w:pos="3420"/>
        </w:tabs>
        <w:autoSpaceDE w:val="0"/>
        <w:autoSpaceDN w:val="0"/>
        <w:adjustRightInd w:val="0"/>
        <w:rPr>
          <w:sz w:val="22"/>
          <w:szCs w:val="22"/>
          <w:lang w:val="pl-PL"/>
        </w:rPr>
      </w:pPr>
      <w:r w:rsidRPr="00374609">
        <w:rPr>
          <w:sz w:val="22"/>
          <w:szCs w:val="22"/>
          <w:lang w:val="pl-PL"/>
        </w:rPr>
        <w:t>Brak jest swoistej odtrutki.</w:t>
      </w:r>
    </w:p>
    <w:p w14:paraId="5C9BBC88" w14:textId="77777777" w:rsidR="00D33C5F" w:rsidRPr="00374609" w:rsidRDefault="00D33C5F" w:rsidP="00C51997">
      <w:pPr>
        <w:tabs>
          <w:tab w:val="left" w:pos="3420"/>
        </w:tabs>
        <w:autoSpaceDE w:val="0"/>
        <w:autoSpaceDN w:val="0"/>
        <w:adjustRightInd w:val="0"/>
        <w:rPr>
          <w:sz w:val="22"/>
          <w:szCs w:val="22"/>
          <w:lang w:val="pl-PL"/>
        </w:rPr>
      </w:pPr>
      <w:r w:rsidRPr="00374609">
        <w:rPr>
          <w:sz w:val="22"/>
          <w:szCs w:val="22"/>
          <w:lang w:val="pl-PL"/>
        </w:rPr>
        <w:t>Dane literaturowe wskazują, że w przypadku wystąpienia silnego, zagrażającego życiu działania przeciwcholinergicznego opornego na stosowanie innych preparatów, skuteczne może okazać się podanie fizostygminy w dawce terapeutycznej. Fizostygminy nie należy stosować wyłącznie w celu niedopuszczenia do zapadnięcia pacjenta w sen.</w:t>
      </w:r>
    </w:p>
    <w:p w14:paraId="5D9C9BED" w14:textId="77777777" w:rsidR="00D33C5F" w:rsidRPr="00374609" w:rsidRDefault="00D33C5F" w:rsidP="00C51997">
      <w:pPr>
        <w:tabs>
          <w:tab w:val="left" w:pos="3420"/>
        </w:tabs>
        <w:autoSpaceDE w:val="0"/>
        <w:autoSpaceDN w:val="0"/>
        <w:adjustRightInd w:val="0"/>
        <w:rPr>
          <w:sz w:val="22"/>
          <w:szCs w:val="22"/>
          <w:lang w:val="pl-PL"/>
        </w:rPr>
      </w:pPr>
      <w:r w:rsidRPr="00374609">
        <w:rPr>
          <w:sz w:val="22"/>
          <w:szCs w:val="22"/>
          <w:lang w:val="pl-PL"/>
        </w:rPr>
        <w:t xml:space="preserve">W przypadku jednoczesnego spożycia trójpierścieniowych leków przeciwdepresyjnych, stosowanie fizostygminy może wywołać drgawki i oporne na leczenie zatrzymanie akcji serca. Stosowania </w:t>
      </w:r>
      <w:r w:rsidRPr="00374609">
        <w:rPr>
          <w:sz w:val="22"/>
          <w:szCs w:val="22"/>
          <w:lang w:val="pl-PL"/>
        </w:rPr>
        <w:lastRenderedPageBreak/>
        <w:t>fizostygminy należy również unikać u pacjentów z zaburzeniami przewodzenia bodźców w obrębie serca.</w:t>
      </w:r>
    </w:p>
    <w:p w14:paraId="5C16A9DD" w14:textId="77777777" w:rsidR="00D33C5F" w:rsidRPr="00374609" w:rsidRDefault="00D33C5F" w:rsidP="00C51997">
      <w:pPr>
        <w:autoSpaceDE w:val="0"/>
        <w:autoSpaceDN w:val="0"/>
        <w:adjustRightInd w:val="0"/>
        <w:rPr>
          <w:b/>
          <w:bCs/>
          <w:sz w:val="22"/>
          <w:szCs w:val="22"/>
          <w:lang w:val="pl-PL"/>
        </w:rPr>
      </w:pPr>
    </w:p>
    <w:p w14:paraId="6C7F6A29" w14:textId="77777777" w:rsidR="00D33C5F" w:rsidRPr="00374609" w:rsidRDefault="00D33C5F" w:rsidP="00C51997">
      <w:pPr>
        <w:autoSpaceDE w:val="0"/>
        <w:autoSpaceDN w:val="0"/>
        <w:adjustRightInd w:val="0"/>
        <w:rPr>
          <w:b/>
          <w:bCs/>
          <w:sz w:val="22"/>
          <w:szCs w:val="22"/>
          <w:lang w:val="pl-PL"/>
        </w:rPr>
      </w:pPr>
    </w:p>
    <w:p w14:paraId="6F188FCB" w14:textId="77777777" w:rsidR="00D33C5F" w:rsidRPr="00374609" w:rsidRDefault="00D33C5F" w:rsidP="00F05A4A">
      <w:pPr>
        <w:widowControl w:val="0"/>
        <w:tabs>
          <w:tab w:val="left" w:pos="540"/>
        </w:tabs>
        <w:rPr>
          <w:b/>
          <w:sz w:val="22"/>
          <w:szCs w:val="22"/>
          <w:lang w:val="pl-PL"/>
        </w:rPr>
      </w:pPr>
      <w:r w:rsidRPr="00374609">
        <w:rPr>
          <w:b/>
          <w:bCs/>
          <w:iCs/>
          <w:sz w:val="22"/>
          <w:szCs w:val="22"/>
          <w:lang w:val="pl-PL"/>
        </w:rPr>
        <w:t>5.</w:t>
      </w:r>
      <w:r w:rsidRPr="00374609">
        <w:rPr>
          <w:b/>
          <w:bCs/>
          <w:iCs/>
          <w:sz w:val="22"/>
          <w:szCs w:val="22"/>
          <w:lang w:val="pl-PL"/>
        </w:rPr>
        <w:tab/>
      </w:r>
      <w:r w:rsidRPr="00374609">
        <w:rPr>
          <w:b/>
          <w:bCs/>
          <w:sz w:val="22"/>
          <w:szCs w:val="22"/>
          <w:lang w:val="pl-PL"/>
        </w:rPr>
        <w:t>WŁAŚCIWOŚCI FARMAKOLOGICZNE</w:t>
      </w:r>
    </w:p>
    <w:p w14:paraId="1C5143FA" w14:textId="77777777" w:rsidR="00D33C5F" w:rsidRPr="00374609" w:rsidRDefault="00D33C5F" w:rsidP="00C51997">
      <w:pPr>
        <w:autoSpaceDE w:val="0"/>
        <w:autoSpaceDN w:val="0"/>
        <w:adjustRightInd w:val="0"/>
        <w:rPr>
          <w:sz w:val="22"/>
          <w:szCs w:val="22"/>
          <w:lang w:val="pl-PL"/>
        </w:rPr>
      </w:pPr>
    </w:p>
    <w:p w14:paraId="74A99094"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5.1</w:t>
      </w:r>
      <w:r w:rsidRPr="00374609">
        <w:rPr>
          <w:b/>
          <w:bCs/>
          <w:iCs/>
          <w:sz w:val="22"/>
          <w:szCs w:val="22"/>
          <w:lang w:val="pl-PL"/>
        </w:rPr>
        <w:tab/>
      </w:r>
      <w:r w:rsidRPr="00374609">
        <w:rPr>
          <w:b/>
          <w:bCs/>
          <w:sz w:val="22"/>
          <w:szCs w:val="22"/>
          <w:lang w:val="pl-PL"/>
        </w:rPr>
        <w:t>Właściwości farmakodynamiczne</w:t>
      </w:r>
    </w:p>
    <w:p w14:paraId="281C77E7" w14:textId="77777777" w:rsidR="00D33C5F" w:rsidRPr="00374609" w:rsidRDefault="00D33C5F" w:rsidP="00C51997">
      <w:pPr>
        <w:autoSpaceDE w:val="0"/>
        <w:autoSpaceDN w:val="0"/>
        <w:adjustRightInd w:val="0"/>
        <w:rPr>
          <w:sz w:val="22"/>
          <w:szCs w:val="22"/>
          <w:lang w:val="pl-PL"/>
        </w:rPr>
      </w:pPr>
    </w:p>
    <w:p w14:paraId="67308F64" w14:textId="77777777" w:rsidR="00D33C5F" w:rsidRPr="00374609" w:rsidRDefault="00D33C5F" w:rsidP="00C51997">
      <w:pPr>
        <w:autoSpaceDE w:val="0"/>
        <w:autoSpaceDN w:val="0"/>
        <w:adjustRightInd w:val="0"/>
        <w:rPr>
          <w:sz w:val="22"/>
          <w:szCs w:val="22"/>
          <w:lang w:val="pl-PL"/>
        </w:rPr>
      </w:pPr>
      <w:r w:rsidRPr="00374609">
        <w:rPr>
          <w:sz w:val="22"/>
          <w:szCs w:val="22"/>
          <w:lang w:val="pl-PL"/>
        </w:rPr>
        <w:t>Grupa farmakoterapeutyczna: leki psycholeptyczne, anksjolityki.</w:t>
      </w:r>
    </w:p>
    <w:p w14:paraId="4CF9CB31" w14:textId="77777777" w:rsidR="00D33C5F" w:rsidRPr="00374609" w:rsidRDefault="00D33C5F" w:rsidP="00C51997">
      <w:pPr>
        <w:autoSpaceDE w:val="0"/>
        <w:autoSpaceDN w:val="0"/>
        <w:adjustRightInd w:val="0"/>
        <w:rPr>
          <w:sz w:val="22"/>
          <w:szCs w:val="22"/>
          <w:lang w:val="pl-PL"/>
        </w:rPr>
      </w:pPr>
      <w:r w:rsidRPr="00374609">
        <w:rPr>
          <w:sz w:val="22"/>
          <w:szCs w:val="22"/>
          <w:lang w:val="pl-PL"/>
        </w:rPr>
        <w:t>Kod ATC: N05BB01</w:t>
      </w:r>
    </w:p>
    <w:p w14:paraId="25F4E4CE" w14:textId="77777777" w:rsidR="00D33C5F" w:rsidRPr="00374609" w:rsidRDefault="00D33C5F" w:rsidP="00C51997">
      <w:pPr>
        <w:autoSpaceDE w:val="0"/>
        <w:autoSpaceDN w:val="0"/>
        <w:adjustRightInd w:val="0"/>
        <w:rPr>
          <w:sz w:val="22"/>
          <w:szCs w:val="22"/>
          <w:lang w:val="pl-PL"/>
        </w:rPr>
      </w:pPr>
    </w:p>
    <w:p w14:paraId="3EFA69AF"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Chlorowodorek hydroksyzyny jest pochodną difenylometanu, chemicznie niezwiązaną </w:t>
      </w:r>
      <w:r w:rsidR="00D82D4E">
        <w:rPr>
          <w:sz w:val="22"/>
          <w:szCs w:val="22"/>
          <w:lang w:val="pl-PL"/>
        </w:rPr>
        <w:br/>
      </w:r>
      <w:r w:rsidRPr="00374609">
        <w:rPr>
          <w:sz w:val="22"/>
          <w:szCs w:val="22"/>
          <w:lang w:val="pl-PL"/>
        </w:rPr>
        <w:t>z fenotiazynami, rezerpiną, meprobamatem czy benzodiazepinami.</w:t>
      </w:r>
    </w:p>
    <w:p w14:paraId="27B536EB" w14:textId="77777777" w:rsidR="00D33C5F" w:rsidRPr="00374609" w:rsidRDefault="00D33C5F" w:rsidP="00C51997">
      <w:pPr>
        <w:autoSpaceDE w:val="0"/>
        <w:autoSpaceDN w:val="0"/>
        <w:adjustRightInd w:val="0"/>
        <w:rPr>
          <w:sz w:val="22"/>
          <w:szCs w:val="22"/>
          <w:lang w:val="pl-PL"/>
        </w:rPr>
      </w:pPr>
    </w:p>
    <w:p w14:paraId="6E088EC4" w14:textId="77777777" w:rsidR="00D33C5F" w:rsidRPr="00374609" w:rsidRDefault="00D33C5F" w:rsidP="00C51997">
      <w:pPr>
        <w:autoSpaceDE w:val="0"/>
        <w:autoSpaceDN w:val="0"/>
        <w:adjustRightInd w:val="0"/>
        <w:rPr>
          <w:sz w:val="22"/>
          <w:szCs w:val="22"/>
          <w:u w:val="single"/>
          <w:lang w:val="pl-PL"/>
        </w:rPr>
      </w:pPr>
      <w:r w:rsidRPr="00374609">
        <w:rPr>
          <w:sz w:val="22"/>
          <w:szCs w:val="22"/>
          <w:u w:val="single"/>
          <w:lang w:val="pl-PL"/>
        </w:rPr>
        <w:t>Mechanizm działania</w:t>
      </w:r>
    </w:p>
    <w:p w14:paraId="5959D449"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Chlorowodorek hydroksyzyny nie hamuje czynności kory mózgowej. Jego działanie może polegać </w:t>
      </w:r>
      <w:r w:rsidR="00D82D4E">
        <w:rPr>
          <w:sz w:val="22"/>
          <w:szCs w:val="22"/>
          <w:lang w:val="pl-PL"/>
        </w:rPr>
        <w:br/>
      </w:r>
      <w:r w:rsidRPr="00374609">
        <w:rPr>
          <w:sz w:val="22"/>
          <w:szCs w:val="22"/>
          <w:lang w:val="pl-PL"/>
        </w:rPr>
        <w:t>na hamowaniu aktywności niektórych obszarów podkorowych ośrodkowego układu nerwowego.</w:t>
      </w:r>
    </w:p>
    <w:p w14:paraId="6631E1B0" w14:textId="77777777" w:rsidR="00D33C5F" w:rsidRPr="00374609" w:rsidRDefault="00D33C5F" w:rsidP="00C51997">
      <w:pPr>
        <w:autoSpaceDE w:val="0"/>
        <w:autoSpaceDN w:val="0"/>
        <w:adjustRightInd w:val="0"/>
        <w:rPr>
          <w:sz w:val="22"/>
          <w:szCs w:val="22"/>
          <w:lang w:val="pl-PL"/>
        </w:rPr>
      </w:pPr>
    </w:p>
    <w:p w14:paraId="22AC0FBB" w14:textId="77777777" w:rsidR="00D33C5F" w:rsidRPr="00374609" w:rsidRDefault="00D33C5F" w:rsidP="00C51997">
      <w:pPr>
        <w:autoSpaceDE w:val="0"/>
        <w:autoSpaceDN w:val="0"/>
        <w:adjustRightInd w:val="0"/>
        <w:rPr>
          <w:sz w:val="22"/>
          <w:szCs w:val="22"/>
          <w:u w:val="single"/>
          <w:lang w:val="pl-PL"/>
        </w:rPr>
      </w:pPr>
      <w:r w:rsidRPr="00374609">
        <w:rPr>
          <w:sz w:val="22"/>
          <w:szCs w:val="22"/>
          <w:u w:val="single"/>
          <w:lang w:val="pl-PL"/>
        </w:rPr>
        <w:t>Działanie farmakodynamiczne</w:t>
      </w:r>
    </w:p>
    <w:p w14:paraId="3DE436E6"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Działanie przeciwhistaminowe i rozszerzające oskrzela zostało wykazane doświadczalnie i potwierdzone klinicznie, natomiast działanie przeciwwymiotne wykazano przy użyciu próby apomorfinowej i próby veriloidowej. Badania farmakologiczne i kliniczne wskazują, że hydroksyzyna stosowana w dawkach terapeutycznych nie zwiększa wydzielania ani kwasowości kwasu żołądkowego i w większości przypadków wykazuje łagodne działanie przeciwwydzielnicze. Wykazano zmniejszenie odczynu bąbel­rumień u zdrowych, dorosłych ochotników oraz u dzieci po śródskórnym podaniu histaminy lub antygenów. Wykazano również, że hydroksyzyna jest skuteczna </w:t>
      </w:r>
      <w:r w:rsidR="00D82D4E">
        <w:rPr>
          <w:sz w:val="22"/>
          <w:szCs w:val="22"/>
          <w:lang w:val="pl-PL"/>
        </w:rPr>
        <w:br/>
      </w:r>
      <w:r w:rsidRPr="00374609">
        <w:rPr>
          <w:sz w:val="22"/>
          <w:szCs w:val="22"/>
          <w:lang w:val="pl-PL"/>
        </w:rPr>
        <w:t>w zmniejszaniu świądu w różnych postaciach pokrzywki, wyprysku i zapalenia skóry.</w:t>
      </w:r>
    </w:p>
    <w:p w14:paraId="771AF7B5" w14:textId="77777777" w:rsidR="00D33C5F" w:rsidRPr="00374609" w:rsidRDefault="00D33C5F" w:rsidP="00C51997">
      <w:pPr>
        <w:autoSpaceDE w:val="0"/>
        <w:autoSpaceDN w:val="0"/>
        <w:adjustRightInd w:val="0"/>
        <w:rPr>
          <w:sz w:val="22"/>
          <w:szCs w:val="22"/>
          <w:lang w:val="pl-PL"/>
        </w:rPr>
      </w:pPr>
      <w:r w:rsidRPr="00374609">
        <w:rPr>
          <w:sz w:val="22"/>
          <w:szCs w:val="22"/>
          <w:lang w:val="pl-PL"/>
        </w:rPr>
        <w:t>U pacjentów z niewydolnością wątroby działanie przeciwhistaminowe pojedynczej dawki hydroksyzyny może ulec wydłużeniu do 96 godzin od zastosowania.</w:t>
      </w:r>
    </w:p>
    <w:p w14:paraId="609DD902" w14:textId="77777777" w:rsidR="00D33C5F" w:rsidRPr="00374609" w:rsidRDefault="00D33C5F" w:rsidP="00C51997">
      <w:pPr>
        <w:autoSpaceDE w:val="0"/>
        <w:autoSpaceDN w:val="0"/>
        <w:adjustRightInd w:val="0"/>
        <w:rPr>
          <w:sz w:val="22"/>
          <w:szCs w:val="22"/>
          <w:lang w:val="pl-PL"/>
        </w:rPr>
      </w:pPr>
    </w:p>
    <w:p w14:paraId="229AFE1E"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Na podstawie zapisów EKG wykonanych u zdrowych ochotników przyjmujących hydroksyzynę stwierdzono, że wykazuje ona działanie anksjolityczno-sedacyjne. Działanie anksjolityczne potwierdzono u pacjentów przy użyciu różnych klasycznych testów psychometrycznych. Polisomnograficzny zapis snu u pacjentów z zaburzeniami lękowymi i bezsennością wykazał wydłużenie całkowitego czasu snu, skrócenie całkowitego czasu przebudzeń w nocy oraz skrócenie czasu zasypiania po podaniu 50 mg hydroksyzyny na dobę w dawce jednorazowej lub w dawkach podzielonych. U pacjentów z zaburzeniami lękowymi stwierdzono zmniejszenie napięcia mięśniowego po zastosowaniu dawki dobowej 3 x 50 mg. Nie zaobserwowano zaburzeń pamięci. </w:t>
      </w:r>
      <w:r w:rsidR="00D82D4E">
        <w:rPr>
          <w:sz w:val="22"/>
          <w:szCs w:val="22"/>
          <w:lang w:val="pl-PL"/>
        </w:rPr>
        <w:br/>
      </w:r>
      <w:r w:rsidRPr="00374609">
        <w:rPr>
          <w:sz w:val="22"/>
          <w:szCs w:val="22"/>
          <w:lang w:val="pl-PL"/>
        </w:rPr>
        <w:t>Po 4 tygodniach leczenia pacjentów z zaburzeniami lękowymi nie wystąpiły objawy odstawienne.</w:t>
      </w:r>
    </w:p>
    <w:p w14:paraId="2F1376F4" w14:textId="77777777" w:rsidR="00D33C5F" w:rsidRPr="00374609" w:rsidRDefault="00D33C5F" w:rsidP="00C51997">
      <w:pPr>
        <w:autoSpaceDE w:val="0"/>
        <w:autoSpaceDN w:val="0"/>
        <w:adjustRightInd w:val="0"/>
        <w:rPr>
          <w:sz w:val="22"/>
          <w:szCs w:val="22"/>
          <w:lang w:val="pl-PL"/>
        </w:rPr>
      </w:pPr>
    </w:p>
    <w:p w14:paraId="18C72F02" w14:textId="77777777" w:rsidR="00D33C5F" w:rsidRPr="00374609" w:rsidRDefault="00D33C5F" w:rsidP="00C51997">
      <w:pPr>
        <w:autoSpaceDE w:val="0"/>
        <w:autoSpaceDN w:val="0"/>
        <w:adjustRightInd w:val="0"/>
        <w:rPr>
          <w:sz w:val="22"/>
          <w:szCs w:val="22"/>
          <w:lang w:val="pl-PL"/>
        </w:rPr>
      </w:pPr>
      <w:r w:rsidRPr="00374609">
        <w:rPr>
          <w:sz w:val="22"/>
          <w:szCs w:val="22"/>
          <w:lang w:val="pl-PL"/>
        </w:rPr>
        <w:t>Początek działania</w:t>
      </w:r>
    </w:p>
    <w:p w14:paraId="2C631454" w14:textId="77777777" w:rsidR="00D33C5F" w:rsidRPr="00374609" w:rsidRDefault="00D33C5F" w:rsidP="00C51997">
      <w:pPr>
        <w:autoSpaceDE w:val="0"/>
        <w:autoSpaceDN w:val="0"/>
        <w:adjustRightInd w:val="0"/>
        <w:rPr>
          <w:sz w:val="22"/>
          <w:szCs w:val="22"/>
          <w:lang w:val="pl-PL"/>
        </w:rPr>
      </w:pPr>
      <w:r w:rsidRPr="00374609">
        <w:rPr>
          <w:sz w:val="22"/>
          <w:szCs w:val="22"/>
          <w:lang w:val="pl-PL"/>
        </w:rPr>
        <w:t>Działanie przeciwhistaminowe rozpoczyna się około 1 godzinę po podaniu doustnym produktu, natomiast działanie sedacyjne po 5-10 minutach od przyjęcia doustnego hydroksyzyny w postaci syropu i po 30-45 minutach od przyjęcia doustnego w postaci tabletek.</w:t>
      </w:r>
    </w:p>
    <w:p w14:paraId="700FA19F" w14:textId="77777777" w:rsidR="00D33C5F" w:rsidRPr="00374609" w:rsidRDefault="00D33C5F" w:rsidP="00C51997">
      <w:pPr>
        <w:autoSpaceDE w:val="0"/>
        <w:autoSpaceDN w:val="0"/>
        <w:adjustRightInd w:val="0"/>
        <w:rPr>
          <w:sz w:val="22"/>
          <w:szCs w:val="22"/>
          <w:lang w:val="pl-PL"/>
        </w:rPr>
      </w:pPr>
    </w:p>
    <w:p w14:paraId="22B83910" w14:textId="77777777" w:rsidR="00D33C5F" w:rsidRPr="00374609" w:rsidRDefault="00D33C5F" w:rsidP="00C51997">
      <w:pPr>
        <w:autoSpaceDE w:val="0"/>
        <w:autoSpaceDN w:val="0"/>
        <w:adjustRightInd w:val="0"/>
        <w:rPr>
          <w:sz w:val="22"/>
          <w:szCs w:val="22"/>
          <w:lang w:val="pl-PL"/>
        </w:rPr>
      </w:pPr>
      <w:r w:rsidRPr="00374609">
        <w:rPr>
          <w:sz w:val="22"/>
          <w:szCs w:val="22"/>
          <w:lang w:val="pl-PL"/>
        </w:rPr>
        <w:t>Hydroksyzyna działa również spazmolitycznie i sympatykolitycznie oraz łagodnie przeciwbólowo. Charakteryzuje ją niewielkie powinowactwo do receptorów muskarynowych.</w:t>
      </w:r>
    </w:p>
    <w:p w14:paraId="1071EEA9" w14:textId="77777777" w:rsidR="00D33C5F" w:rsidRPr="00374609" w:rsidRDefault="00D33C5F" w:rsidP="00C51997">
      <w:pPr>
        <w:autoSpaceDE w:val="0"/>
        <w:autoSpaceDN w:val="0"/>
        <w:adjustRightInd w:val="0"/>
        <w:rPr>
          <w:b/>
          <w:bCs/>
          <w:sz w:val="22"/>
          <w:szCs w:val="22"/>
          <w:lang w:val="pl-PL"/>
        </w:rPr>
      </w:pPr>
    </w:p>
    <w:p w14:paraId="7DDD86AF"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5.2</w:t>
      </w:r>
      <w:r w:rsidRPr="00374609">
        <w:rPr>
          <w:b/>
          <w:bCs/>
          <w:iCs/>
          <w:sz w:val="22"/>
          <w:szCs w:val="22"/>
          <w:lang w:val="pl-PL"/>
        </w:rPr>
        <w:tab/>
      </w:r>
      <w:r w:rsidRPr="00374609">
        <w:rPr>
          <w:b/>
          <w:bCs/>
          <w:sz w:val="22"/>
          <w:szCs w:val="22"/>
          <w:lang w:val="pl-PL"/>
        </w:rPr>
        <w:t>Właściwości farmakokinetyczne</w:t>
      </w:r>
    </w:p>
    <w:p w14:paraId="3684D7BE" w14:textId="77777777" w:rsidR="00D33C5F" w:rsidRPr="00374609" w:rsidRDefault="00D33C5F" w:rsidP="00C51997">
      <w:pPr>
        <w:autoSpaceDE w:val="0"/>
        <w:autoSpaceDN w:val="0"/>
        <w:adjustRightInd w:val="0"/>
        <w:rPr>
          <w:sz w:val="22"/>
          <w:szCs w:val="22"/>
          <w:lang w:val="pl-PL"/>
        </w:rPr>
      </w:pPr>
    </w:p>
    <w:p w14:paraId="21556AB8" w14:textId="77777777" w:rsidR="00D33C5F" w:rsidRPr="00374609" w:rsidRDefault="00D33C5F" w:rsidP="00C51997">
      <w:pPr>
        <w:pStyle w:val="Nagwek1"/>
      </w:pPr>
      <w:r w:rsidRPr="00374609">
        <w:t>Wchłanianie</w:t>
      </w:r>
    </w:p>
    <w:p w14:paraId="64EBCE63" w14:textId="77777777" w:rsidR="00D33C5F" w:rsidRPr="00374609" w:rsidRDefault="00D33C5F" w:rsidP="00C51997">
      <w:pPr>
        <w:pStyle w:val="Tekstpodstawowy2"/>
      </w:pPr>
      <w:r w:rsidRPr="00374609">
        <w:t>Po podaniu doustnym hydroksyzyna jest szybko wchłaniana z przewodu pokarmowego. Stężenie maksymalne w osoczu (C</w:t>
      </w:r>
      <w:r w:rsidRPr="00374609">
        <w:rPr>
          <w:vertAlign w:val="subscript"/>
        </w:rPr>
        <w:t>max</w:t>
      </w:r>
      <w:r w:rsidRPr="00374609">
        <w:rPr>
          <w:vertAlign w:val="subscript"/>
        </w:rPr>
        <w:softHyphen/>
      </w:r>
      <w:r w:rsidRPr="00374609">
        <w:t>), wynoszące u osób dorosłych zwykle 30 i 70 ng/ml po podaniu doustnym pojedynczych dawek odpowiednio 25 i 50 mg, osiąga około 2 godziny od przyjęcia doustnego. Szybkość i zakres ekspozycji na hydroksyzynę są bardzo podobne podczas podawania</w:t>
      </w:r>
      <w:r w:rsidR="00D82D4E">
        <w:br/>
      </w:r>
      <w:r w:rsidRPr="00374609">
        <w:lastRenderedPageBreak/>
        <w:t xml:space="preserve">jej w postaci tabletek i w postaci syropu. Po kolejnej dawce podawanej raz na dobę stężenie wzrasta </w:t>
      </w:r>
      <w:r w:rsidR="00D82D4E">
        <w:br/>
      </w:r>
      <w:r w:rsidRPr="00374609">
        <w:t>o 30%. Biodostępność hydroksyzyny po podaniu doustnym wynosi 80% tej, jaką obserwuje się po podaniu domięśniowym. Po podaniu domięśniowym pojedynczej dawki 50 mg, stężenie maksymalne C</w:t>
      </w:r>
      <w:r w:rsidRPr="00374609">
        <w:rPr>
          <w:vertAlign w:val="subscript"/>
        </w:rPr>
        <w:t>max</w:t>
      </w:r>
      <w:r w:rsidRPr="00374609">
        <w:t xml:space="preserve"> wynosi zazwyczaj 65 ng/ml.</w:t>
      </w:r>
    </w:p>
    <w:p w14:paraId="455998FC" w14:textId="77777777" w:rsidR="00D33C5F" w:rsidRPr="00374609" w:rsidRDefault="00D33C5F" w:rsidP="00C51997">
      <w:pPr>
        <w:rPr>
          <w:sz w:val="22"/>
          <w:szCs w:val="22"/>
          <w:lang w:val="pl-PL"/>
        </w:rPr>
      </w:pPr>
    </w:p>
    <w:p w14:paraId="194EE067" w14:textId="77777777" w:rsidR="00D33C5F" w:rsidRPr="00374609" w:rsidRDefault="00D33C5F" w:rsidP="00C51997">
      <w:pPr>
        <w:rPr>
          <w:sz w:val="22"/>
          <w:szCs w:val="22"/>
          <w:u w:val="single"/>
          <w:lang w:val="pl-PL"/>
        </w:rPr>
      </w:pPr>
      <w:r w:rsidRPr="00374609">
        <w:rPr>
          <w:sz w:val="22"/>
          <w:szCs w:val="22"/>
          <w:u w:val="single"/>
          <w:lang w:val="pl-PL"/>
        </w:rPr>
        <w:t>Dystrybucja</w:t>
      </w:r>
    </w:p>
    <w:p w14:paraId="020395A1" w14:textId="77777777" w:rsidR="00D33C5F" w:rsidRPr="00374609" w:rsidRDefault="00D33C5F" w:rsidP="00C51997">
      <w:pPr>
        <w:rPr>
          <w:sz w:val="22"/>
          <w:szCs w:val="22"/>
          <w:lang w:val="pl-PL"/>
        </w:rPr>
      </w:pPr>
      <w:r w:rsidRPr="00374609">
        <w:rPr>
          <w:sz w:val="22"/>
          <w:szCs w:val="22"/>
          <w:lang w:val="pl-PL"/>
        </w:rPr>
        <w:t>Hydroksyzyna jest szeroko dystrybuowana w organizmie i na ogół osiąga większe stężenia w tkankach niż w osoczu. Pozorna objętość dystrybucji u dorosłych wynosi 7 do 16 l/kg mc.</w:t>
      </w:r>
    </w:p>
    <w:p w14:paraId="5E8FFC88" w14:textId="77777777" w:rsidR="00D33C5F" w:rsidRPr="00374609" w:rsidRDefault="00D33C5F" w:rsidP="00C51997">
      <w:pPr>
        <w:rPr>
          <w:sz w:val="22"/>
          <w:szCs w:val="22"/>
          <w:lang w:val="pl-PL"/>
        </w:rPr>
      </w:pPr>
      <w:r w:rsidRPr="00374609">
        <w:rPr>
          <w:sz w:val="22"/>
          <w:szCs w:val="22"/>
          <w:lang w:val="pl-PL"/>
        </w:rPr>
        <w:t>Hydroksyzyna przenika do skóry po podaniu doustnym. Jej stężenie w skórze jest większe niż w surowicy, zarówno po pojedynczym, jak i po wielokrotnym podaniu.</w:t>
      </w:r>
    </w:p>
    <w:p w14:paraId="54D7CC57" w14:textId="77777777" w:rsidR="00D33C5F" w:rsidRPr="00374609" w:rsidRDefault="00D33C5F" w:rsidP="00C51997">
      <w:pPr>
        <w:rPr>
          <w:sz w:val="22"/>
          <w:szCs w:val="22"/>
          <w:lang w:val="pl-PL"/>
        </w:rPr>
      </w:pPr>
      <w:r w:rsidRPr="00374609">
        <w:rPr>
          <w:sz w:val="22"/>
          <w:szCs w:val="22"/>
          <w:lang w:val="pl-PL"/>
        </w:rPr>
        <w:t>Hydroksyzyna przechodzi przez barierę krew-mózg oraz przez barierę łożyskową, osiągając większe stężenia w organizmie płodu niż matki.</w:t>
      </w:r>
    </w:p>
    <w:p w14:paraId="75C71BC4" w14:textId="77777777" w:rsidR="00D33C5F" w:rsidRPr="00374609" w:rsidRDefault="00D33C5F" w:rsidP="00C51997">
      <w:pPr>
        <w:rPr>
          <w:sz w:val="22"/>
          <w:szCs w:val="22"/>
          <w:lang w:val="pl-PL"/>
        </w:rPr>
      </w:pPr>
    </w:p>
    <w:p w14:paraId="72811933" w14:textId="77777777" w:rsidR="00D33C5F" w:rsidRPr="00374609" w:rsidRDefault="00D33C5F" w:rsidP="00C51997">
      <w:pPr>
        <w:rPr>
          <w:sz w:val="22"/>
          <w:szCs w:val="22"/>
          <w:u w:val="single"/>
          <w:lang w:val="pl-PL"/>
        </w:rPr>
      </w:pPr>
      <w:r w:rsidRPr="00374609">
        <w:rPr>
          <w:sz w:val="22"/>
          <w:szCs w:val="22"/>
          <w:u w:val="single"/>
          <w:lang w:val="pl-PL"/>
        </w:rPr>
        <w:t>Metabolizm</w:t>
      </w:r>
    </w:p>
    <w:p w14:paraId="5DB0A20D" w14:textId="77777777" w:rsidR="00D33C5F" w:rsidRPr="00374609" w:rsidRDefault="00D33C5F" w:rsidP="00C51997">
      <w:pPr>
        <w:rPr>
          <w:sz w:val="22"/>
          <w:szCs w:val="22"/>
          <w:lang w:val="pl-PL"/>
        </w:rPr>
      </w:pPr>
      <w:r w:rsidRPr="00374609">
        <w:rPr>
          <w:sz w:val="22"/>
          <w:szCs w:val="22"/>
          <w:lang w:val="pl-PL"/>
        </w:rPr>
        <w:t>Hydroksyzyna jest w znacznym stopniu metabolizowana. W powstawaniu głównego metabolitu – cetyryzyny (45% dawki doustnej) bierze udział dehydrogenaza alkoholowa. Metabolit ten wywiera istotne działanie blokujące na obwodowe receptory H</w:t>
      </w:r>
      <w:r w:rsidRPr="00374609">
        <w:rPr>
          <w:sz w:val="22"/>
          <w:szCs w:val="22"/>
          <w:vertAlign w:val="subscript"/>
          <w:lang w:val="pl-PL"/>
        </w:rPr>
        <w:t>1</w:t>
      </w:r>
      <w:r w:rsidRPr="00374609">
        <w:rPr>
          <w:sz w:val="22"/>
          <w:szCs w:val="22"/>
          <w:lang w:val="pl-PL"/>
        </w:rPr>
        <w:t xml:space="preserve">. Zidentyfikowano również kilka innych metabolitów, w tym metabolit N-dealkilowany oraz metabolit O-dealkilowany o okresie półtrwania </w:t>
      </w:r>
      <w:r w:rsidR="00D82D4E">
        <w:rPr>
          <w:sz w:val="22"/>
          <w:szCs w:val="22"/>
          <w:lang w:val="pl-PL"/>
        </w:rPr>
        <w:br/>
      </w:r>
      <w:r w:rsidRPr="00374609">
        <w:rPr>
          <w:sz w:val="22"/>
          <w:szCs w:val="22"/>
          <w:lang w:val="pl-PL"/>
        </w:rPr>
        <w:t>w osoczu wynoszącym 59 godzin. Ich metabolizm odbywa się głównie przy udziale CYP3A4/5.</w:t>
      </w:r>
    </w:p>
    <w:p w14:paraId="5C45B58C" w14:textId="77777777" w:rsidR="00D33C5F" w:rsidRPr="00374609" w:rsidRDefault="00D33C5F" w:rsidP="00C51997">
      <w:pPr>
        <w:rPr>
          <w:sz w:val="22"/>
          <w:szCs w:val="22"/>
          <w:lang w:val="pl-PL"/>
        </w:rPr>
      </w:pPr>
    </w:p>
    <w:p w14:paraId="79529A1E" w14:textId="77777777" w:rsidR="00D33C5F" w:rsidRPr="00374609" w:rsidRDefault="00D33C5F" w:rsidP="00C51997">
      <w:pPr>
        <w:rPr>
          <w:sz w:val="22"/>
          <w:szCs w:val="22"/>
          <w:u w:val="single"/>
          <w:lang w:val="pl-PL"/>
        </w:rPr>
      </w:pPr>
      <w:r w:rsidRPr="00374609">
        <w:rPr>
          <w:sz w:val="22"/>
          <w:szCs w:val="22"/>
          <w:u w:val="single"/>
          <w:lang w:val="pl-PL"/>
        </w:rPr>
        <w:t>Eliminacja</w:t>
      </w:r>
    </w:p>
    <w:p w14:paraId="70EF5E11" w14:textId="77777777" w:rsidR="00D33C5F" w:rsidRPr="00374609" w:rsidRDefault="00D33C5F" w:rsidP="00C51997">
      <w:pPr>
        <w:rPr>
          <w:b/>
          <w:sz w:val="22"/>
          <w:szCs w:val="22"/>
          <w:lang w:val="pl-PL"/>
        </w:rPr>
      </w:pPr>
      <w:r w:rsidRPr="00374609">
        <w:rPr>
          <w:sz w:val="22"/>
          <w:szCs w:val="22"/>
          <w:lang w:val="pl-PL"/>
        </w:rPr>
        <w:t xml:space="preserve">U dorosłych okres półtrwania hydroksyzyny wynosi około 14 godzin (zakres: 7–20 godzin). Pozorny całkowity klirens, określony w badaniach, wynosi 13 ml/min/kg mc. Tylko 0.8% podanej dawki jest wydalane w postaci niezmienionej z moczem. Główny metabolit (cetyryzyna) jest wydalany </w:t>
      </w:r>
      <w:r w:rsidR="00D82D4E">
        <w:rPr>
          <w:sz w:val="22"/>
          <w:szCs w:val="22"/>
          <w:lang w:val="pl-PL"/>
        </w:rPr>
        <w:br/>
      </w:r>
      <w:r w:rsidRPr="00374609">
        <w:rPr>
          <w:sz w:val="22"/>
          <w:szCs w:val="22"/>
          <w:lang w:val="pl-PL"/>
        </w:rPr>
        <w:t>z moczem (25% dawki doustnej i 16% dawki domięśniowej hydroksyzyny).</w:t>
      </w:r>
    </w:p>
    <w:p w14:paraId="29F8A50B" w14:textId="77777777" w:rsidR="00D33C5F" w:rsidRPr="00374609" w:rsidRDefault="00D33C5F" w:rsidP="00C51997">
      <w:pPr>
        <w:rPr>
          <w:b/>
          <w:sz w:val="22"/>
          <w:szCs w:val="22"/>
          <w:lang w:val="pl-PL"/>
        </w:rPr>
      </w:pPr>
    </w:p>
    <w:p w14:paraId="42E05C01" w14:textId="77777777" w:rsidR="00D33C5F" w:rsidRPr="00374609" w:rsidRDefault="00D33C5F" w:rsidP="00C51997">
      <w:pPr>
        <w:rPr>
          <w:b/>
          <w:sz w:val="22"/>
          <w:szCs w:val="22"/>
          <w:lang w:val="pl-PL"/>
        </w:rPr>
      </w:pPr>
      <w:r w:rsidRPr="00374609">
        <w:rPr>
          <w:b/>
          <w:sz w:val="22"/>
          <w:szCs w:val="22"/>
          <w:lang w:val="pl-PL"/>
        </w:rPr>
        <w:t>Szczególne grupy pacjentów</w:t>
      </w:r>
    </w:p>
    <w:p w14:paraId="3436775E" w14:textId="77777777" w:rsidR="00D33C5F" w:rsidRPr="00374609" w:rsidRDefault="00D33C5F" w:rsidP="00C51997">
      <w:pPr>
        <w:rPr>
          <w:sz w:val="22"/>
          <w:szCs w:val="22"/>
          <w:lang w:val="pl-PL"/>
        </w:rPr>
      </w:pPr>
    </w:p>
    <w:p w14:paraId="288E254B" w14:textId="77777777" w:rsidR="00D33C5F" w:rsidRPr="00374609" w:rsidRDefault="00D33C5F" w:rsidP="00C51997">
      <w:pPr>
        <w:pStyle w:val="Nagwek1"/>
      </w:pPr>
      <w:r w:rsidRPr="00374609">
        <w:t>Pacjenci w podeszłym wieku</w:t>
      </w:r>
    </w:p>
    <w:p w14:paraId="70398768" w14:textId="77777777" w:rsidR="00D33C5F" w:rsidRPr="00374609" w:rsidRDefault="00D33C5F" w:rsidP="00C51997">
      <w:pPr>
        <w:rPr>
          <w:sz w:val="22"/>
          <w:szCs w:val="22"/>
          <w:lang w:val="pl-PL"/>
        </w:rPr>
      </w:pPr>
      <w:r w:rsidRPr="00374609">
        <w:rPr>
          <w:sz w:val="22"/>
          <w:szCs w:val="22"/>
          <w:lang w:val="pl-PL"/>
        </w:rPr>
        <w:t xml:space="preserve">Farmakokinetykę hydroksyzyny badano u 9 zdrowych osób w podeszłym wieku (69,5 ± 3,7 lat), którym podawano ją doustnie w pojedynczej dawce wynoszącej 0,7 mg/kg mc. Okres półtrwania </w:t>
      </w:r>
      <w:r w:rsidR="00D82D4E">
        <w:rPr>
          <w:sz w:val="22"/>
          <w:szCs w:val="22"/>
          <w:lang w:val="pl-PL"/>
        </w:rPr>
        <w:br/>
      </w:r>
      <w:r w:rsidRPr="00374609">
        <w:rPr>
          <w:sz w:val="22"/>
          <w:szCs w:val="22"/>
          <w:lang w:val="pl-PL"/>
        </w:rPr>
        <w:t>w fazie eliminacji hydroksyzyny był wydłużony do 29 godzin, a pozorna objętość dystrybucji była zwiększona do 22,5 l/kg mc. U pacjentów w podeszłym wieku zaleca się zmniejszenie dawki dobowej hydroksyzyny (patrz punkt 4.2).</w:t>
      </w:r>
    </w:p>
    <w:p w14:paraId="6A0CA6D3" w14:textId="77777777" w:rsidR="00D33C5F" w:rsidRPr="00374609" w:rsidRDefault="00D33C5F" w:rsidP="00C51997">
      <w:pPr>
        <w:rPr>
          <w:sz w:val="22"/>
          <w:szCs w:val="22"/>
          <w:lang w:val="pl-PL"/>
        </w:rPr>
      </w:pPr>
    </w:p>
    <w:p w14:paraId="0268EB36" w14:textId="77777777" w:rsidR="00D33C5F" w:rsidRPr="00374609" w:rsidRDefault="00D33C5F" w:rsidP="00C51997">
      <w:pPr>
        <w:pStyle w:val="Nagwek1"/>
      </w:pPr>
      <w:r w:rsidRPr="00374609">
        <w:t>Dzieci</w:t>
      </w:r>
    </w:p>
    <w:p w14:paraId="0E142214" w14:textId="77777777" w:rsidR="00D33C5F" w:rsidRPr="00374609" w:rsidRDefault="00D33C5F" w:rsidP="00C51997">
      <w:pPr>
        <w:rPr>
          <w:sz w:val="22"/>
          <w:szCs w:val="22"/>
          <w:lang w:val="pl-PL"/>
        </w:rPr>
      </w:pPr>
      <w:r w:rsidRPr="00374609">
        <w:rPr>
          <w:sz w:val="22"/>
          <w:szCs w:val="22"/>
          <w:lang w:val="pl-PL"/>
        </w:rPr>
        <w:t>Farmakokinetykę hydroksyzyny analizowano u 12 dzieci (6,1 ± 4,6 lat; 22,0 ± 12,0 kg mc.), którym podawano ją doustnie w pojedynczej dawce wynoszącej 0,7 mg/kg mc. W badanej grupie pozorny klirens osoczowy był około 2,5 raza większy niż u dorosłych, natomiast okres półtrwania był krótszy niż u dorosłych (wynosił około 4 godziny u rocznych pacjentów i 11 godzin u czternastoletnich uczestników badania). U dzieci konieczne jest dostosowanie dawki (patrz punkt 4.2).</w:t>
      </w:r>
    </w:p>
    <w:p w14:paraId="356C1A3B" w14:textId="77777777" w:rsidR="00D33C5F" w:rsidRPr="00374609" w:rsidRDefault="00D33C5F" w:rsidP="00C51997">
      <w:pPr>
        <w:rPr>
          <w:sz w:val="22"/>
          <w:szCs w:val="22"/>
          <w:lang w:val="pl-PL"/>
        </w:rPr>
      </w:pPr>
    </w:p>
    <w:p w14:paraId="0F37266C" w14:textId="77777777" w:rsidR="00D33C5F" w:rsidRPr="00374609" w:rsidRDefault="00D33C5F" w:rsidP="00C51997">
      <w:pPr>
        <w:pStyle w:val="Nagwek1"/>
      </w:pPr>
      <w:r w:rsidRPr="00374609">
        <w:t>Pacjenci z niewydolnością wątroby</w:t>
      </w:r>
    </w:p>
    <w:p w14:paraId="51C9C0AB" w14:textId="77777777" w:rsidR="00D33C5F" w:rsidRPr="00374609" w:rsidRDefault="00D33C5F" w:rsidP="00C51997">
      <w:pPr>
        <w:rPr>
          <w:sz w:val="22"/>
          <w:szCs w:val="22"/>
          <w:lang w:val="pl-PL"/>
        </w:rPr>
      </w:pPr>
      <w:r w:rsidRPr="00374609">
        <w:rPr>
          <w:sz w:val="22"/>
          <w:szCs w:val="22"/>
          <w:lang w:val="pl-PL"/>
        </w:rPr>
        <w:t>U pacjentów z wtórną niewydolnością wątroby spowodowaną pierwotną, żółciową marskością wątroby, całkowity klirens hydroksyzyny wynosił 66% klirensu osób zdrowych. Okres półtrwania był wydłużony do 37 godzin, a stężenie głównego metabolitu (cetyryzyny) w surowicy krwi było większe niż u młodych osób z prawidłową czynnością wątroby. U pacjentów z niewydolnością wątroby należy zmniejszyć dawkę dobową hydroksyzyny, lub zmniejszyć częstość jej dawkowania (patrz punkt 4.2).</w:t>
      </w:r>
    </w:p>
    <w:p w14:paraId="43F14C3E" w14:textId="77777777" w:rsidR="00D33C5F" w:rsidRPr="00374609" w:rsidRDefault="00D33C5F" w:rsidP="00C51997">
      <w:pPr>
        <w:rPr>
          <w:sz w:val="22"/>
          <w:szCs w:val="22"/>
          <w:lang w:val="pl-PL"/>
        </w:rPr>
      </w:pPr>
    </w:p>
    <w:p w14:paraId="1B06C47C" w14:textId="77777777" w:rsidR="00D33C5F" w:rsidRPr="00374609" w:rsidRDefault="00D33C5F" w:rsidP="00C51997">
      <w:pPr>
        <w:pStyle w:val="Nagwek1"/>
      </w:pPr>
      <w:r w:rsidRPr="00374609">
        <w:t xml:space="preserve">Pacjenci z niewydolnością nerek </w:t>
      </w:r>
    </w:p>
    <w:p w14:paraId="6DAC9A57" w14:textId="77777777" w:rsidR="00D33C5F" w:rsidRPr="00374609" w:rsidRDefault="00D33C5F" w:rsidP="00C51997">
      <w:pPr>
        <w:rPr>
          <w:sz w:val="22"/>
          <w:szCs w:val="22"/>
          <w:lang w:val="pl-PL"/>
        </w:rPr>
      </w:pPr>
      <w:r w:rsidRPr="00374609">
        <w:rPr>
          <w:sz w:val="22"/>
          <w:szCs w:val="22"/>
          <w:lang w:val="pl-PL"/>
        </w:rPr>
        <w:t xml:space="preserve">Farmakokinetykę hydroksyzyny badano u 8 pacjentów z ciężką niewydolnością nerek (klirens kreatyniny: 24 ± 7 ml/min). Zakres ekspozycji (AUC) na hydroksyzynę nie uległ istotnej zmianie, natomiast na główny metabolit (cetyryzynę), zwiększył się. Cetyryzyna nie jest skutecznie usuwana </w:t>
      </w:r>
      <w:r w:rsidR="00D82D4E">
        <w:rPr>
          <w:sz w:val="22"/>
          <w:szCs w:val="22"/>
          <w:lang w:val="pl-PL"/>
        </w:rPr>
        <w:br/>
      </w:r>
      <w:r w:rsidRPr="00374609">
        <w:rPr>
          <w:sz w:val="22"/>
          <w:szCs w:val="22"/>
          <w:lang w:val="pl-PL"/>
        </w:rPr>
        <w:t xml:space="preserve">za pomocą hemodializy – aby uniknąć znacznego jej nagromadzenia po wielokrotnych dawkach </w:t>
      </w:r>
      <w:r w:rsidRPr="00374609">
        <w:rPr>
          <w:sz w:val="22"/>
          <w:szCs w:val="22"/>
          <w:lang w:val="pl-PL"/>
        </w:rPr>
        <w:lastRenderedPageBreak/>
        <w:t>hydroksyzyny, u pacjentów z niewydolnością nerek dawkę dobową produktu Hydroxyzinum VP należy zmniejszyć</w:t>
      </w:r>
      <w:r w:rsidRPr="003E6209">
        <w:rPr>
          <w:sz w:val="22"/>
          <w:szCs w:val="22"/>
          <w:lang w:val="pl-PL"/>
        </w:rPr>
        <w:t xml:space="preserve"> (patrz punkt 4.2).</w:t>
      </w:r>
    </w:p>
    <w:p w14:paraId="11A9FEE2" w14:textId="77777777" w:rsidR="00D33C5F" w:rsidRPr="00374609" w:rsidRDefault="00D33C5F" w:rsidP="00C51997">
      <w:pPr>
        <w:pStyle w:val="Tekstpodstawowy2"/>
        <w:rPr>
          <w:b/>
          <w:bCs/>
        </w:rPr>
      </w:pPr>
      <w:r w:rsidRPr="00374609">
        <w:t xml:space="preserve"> </w:t>
      </w:r>
    </w:p>
    <w:p w14:paraId="41A3E092"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5.3</w:t>
      </w:r>
      <w:r w:rsidRPr="00374609">
        <w:rPr>
          <w:b/>
          <w:bCs/>
          <w:iCs/>
          <w:sz w:val="22"/>
          <w:szCs w:val="22"/>
          <w:lang w:val="pl-PL"/>
        </w:rPr>
        <w:tab/>
      </w:r>
      <w:r w:rsidRPr="00374609">
        <w:rPr>
          <w:b/>
          <w:bCs/>
          <w:sz w:val="22"/>
          <w:szCs w:val="22"/>
          <w:lang w:val="pl-PL"/>
        </w:rPr>
        <w:t>Przedkliniczne dane o bezpieczeństwie</w:t>
      </w:r>
    </w:p>
    <w:p w14:paraId="46EB0AEB" w14:textId="77777777" w:rsidR="00D33C5F" w:rsidRPr="00374609" w:rsidRDefault="00D33C5F" w:rsidP="00C51997">
      <w:pPr>
        <w:autoSpaceDE w:val="0"/>
        <w:autoSpaceDN w:val="0"/>
        <w:adjustRightInd w:val="0"/>
        <w:rPr>
          <w:sz w:val="22"/>
          <w:szCs w:val="22"/>
          <w:lang w:val="pl-PL"/>
        </w:rPr>
      </w:pPr>
    </w:p>
    <w:p w14:paraId="420EB6F5" w14:textId="77777777" w:rsidR="00D33C5F" w:rsidRPr="00374609" w:rsidRDefault="00D33C5F" w:rsidP="00C51997">
      <w:pPr>
        <w:autoSpaceDE w:val="0"/>
        <w:autoSpaceDN w:val="0"/>
        <w:adjustRightInd w:val="0"/>
        <w:rPr>
          <w:b/>
          <w:bCs/>
          <w:sz w:val="22"/>
          <w:szCs w:val="22"/>
          <w:lang w:val="pl-PL"/>
        </w:rPr>
      </w:pPr>
      <w:r w:rsidRPr="003E6209">
        <w:rPr>
          <w:sz w:val="22"/>
          <w:szCs w:val="22"/>
          <w:lang w:val="pl-PL"/>
        </w:rPr>
        <w:t>Badania farmakologiczne ukierunkowane na ocenę bezpieczeństwa oraz badania toksykologiczne nie ujawniły istotnego zagrożenia związanego ze stosowaniem hydroksyzyny. Brak danych</w:t>
      </w:r>
      <w:r>
        <w:rPr>
          <w:sz w:val="22"/>
          <w:szCs w:val="22"/>
          <w:lang w:val="pl-PL"/>
        </w:rPr>
        <w:t>,</w:t>
      </w:r>
      <w:r w:rsidRPr="003E6209">
        <w:rPr>
          <w:sz w:val="22"/>
          <w:szCs w:val="22"/>
          <w:lang w:val="pl-PL"/>
        </w:rPr>
        <w:t xml:space="preserve"> o istotnym znaczeniu klinicznym, nieopisanych we wcześniejszych punktach Charakterystyki Produktu Leczniczego. </w:t>
      </w:r>
    </w:p>
    <w:p w14:paraId="498DA9D3" w14:textId="77777777" w:rsidR="00D33C5F" w:rsidRDefault="00D33C5F" w:rsidP="00C51997">
      <w:pPr>
        <w:autoSpaceDE w:val="0"/>
        <w:autoSpaceDN w:val="0"/>
        <w:adjustRightInd w:val="0"/>
        <w:rPr>
          <w:b/>
          <w:bCs/>
          <w:sz w:val="22"/>
          <w:szCs w:val="22"/>
          <w:lang w:val="pl-PL"/>
        </w:rPr>
      </w:pPr>
    </w:p>
    <w:p w14:paraId="51E97D4F" w14:textId="77777777" w:rsidR="00D3143B" w:rsidRPr="00374609" w:rsidRDefault="00D3143B" w:rsidP="00C51997">
      <w:pPr>
        <w:autoSpaceDE w:val="0"/>
        <w:autoSpaceDN w:val="0"/>
        <w:adjustRightInd w:val="0"/>
        <w:rPr>
          <w:b/>
          <w:bCs/>
          <w:sz w:val="22"/>
          <w:szCs w:val="22"/>
          <w:lang w:val="pl-PL"/>
        </w:rPr>
      </w:pPr>
    </w:p>
    <w:p w14:paraId="5AB8CECE" w14:textId="77777777" w:rsidR="00D33C5F" w:rsidRPr="00374609" w:rsidRDefault="00D33C5F" w:rsidP="00F05A4A">
      <w:pPr>
        <w:widowControl w:val="0"/>
        <w:tabs>
          <w:tab w:val="left" w:pos="540"/>
        </w:tabs>
        <w:rPr>
          <w:b/>
          <w:sz w:val="22"/>
          <w:szCs w:val="22"/>
          <w:lang w:val="pl-PL"/>
        </w:rPr>
      </w:pPr>
      <w:r w:rsidRPr="00374609">
        <w:rPr>
          <w:b/>
          <w:bCs/>
          <w:iCs/>
          <w:sz w:val="22"/>
          <w:szCs w:val="22"/>
          <w:lang w:val="pl-PL"/>
        </w:rPr>
        <w:t>6.</w:t>
      </w:r>
      <w:r w:rsidRPr="00374609">
        <w:rPr>
          <w:b/>
          <w:bCs/>
          <w:iCs/>
          <w:sz w:val="22"/>
          <w:szCs w:val="22"/>
          <w:lang w:val="pl-PL"/>
        </w:rPr>
        <w:tab/>
      </w:r>
      <w:r w:rsidRPr="00374609">
        <w:rPr>
          <w:b/>
          <w:bCs/>
          <w:sz w:val="22"/>
          <w:szCs w:val="22"/>
          <w:lang w:val="pl-PL"/>
        </w:rPr>
        <w:t>DANE FARMACEUTYCZNE</w:t>
      </w:r>
    </w:p>
    <w:p w14:paraId="7EE295CA" w14:textId="77777777" w:rsidR="00D33C5F" w:rsidRPr="00374609" w:rsidRDefault="00D33C5F" w:rsidP="00C51997">
      <w:pPr>
        <w:autoSpaceDE w:val="0"/>
        <w:autoSpaceDN w:val="0"/>
        <w:adjustRightInd w:val="0"/>
        <w:rPr>
          <w:b/>
          <w:bCs/>
          <w:sz w:val="22"/>
          <w:szCs w:val="22"/>
          <w:lang w:val="pl-PL"/>
        </w:rPr>
      </w:pPr>
    </w:p>
    <w:p w14:paraId="5599683C"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6.1</w:t>
      </w:r>
      <w:r w:rsidRPr="00374609">
        <w:rPr>
          <w:b/>
          <w:bCs/>
          <w:iCs/>
          <w:sz w:val="22"/>
          <w:szCs w:val="22"/>
          <w:lang w:val="pl-PL"/>
        </w:rPr>
        <w:tab/>
      </w:r>
      <w:r w:rsidRPr="00374609">
        <w:rPr>
          <w:b/>
          <w:bCs/>
          <w:sz w:val="22"/>
          <w:szCs w:val="22"/>
          <w:lang w:val="pl-PL"/>
        </w:rPr>
        <w:t>Wykaz substancji pomocniczych</w:t>
      </w:r>
    </w:p>
    <w:p w14:paraId="79409764" w14:textId="77777777" w:rsidR="00D33C5F" w:rsidRPr="00374609" w:rsidRDefault="00D33C5F" w:rsidP="00C51997">
      <w:pPr>
        <w:autoSpaceDE w:val="0"/>
        <w:autoSpaceDN w:val="0"/>
        <w:adjustRightInd w:val="0"/>
        <w:rPr>
          <w:sz w:val="22"/>
          <w:szCs w:val="22"/>
          <w:lang w:val="pl-PL"/>
        </w:rPr>
      </w:pPr>
    </w:p>
    <w:p w14:paraId="3DFCD01D" w14:textId="77777777" w:rsidR="00D33C5F" w:rsidRPr="00374609" w:rsidRDefault="00D33C5F" w:rsidP="00C51997">
      <w:pPr>
        <w:autoSpaceDE w:val="0"/>
        <w:autoSpaceDN w:val="0"/>
        <w:adjustRightInd w:val="0"/>
        <w:rPr>
          <w:sz w:val="22"/>
          <w:szCs w:val="22"/>
          <w:lang w:val="pl-PL"/>
        </w:rPr>
      </w:pPr>
      <w:r w:rsidRPr="00374609">
        <w:rPr>
          <w:sz w:val="22"/>
          <w:szCs w:val="22"/>
          <w:lang w:val="pl-PL"/>
        </w:rPr>
        <w:t>Sodu benzoesan (E 211)</w:t>
      </w:r>
    </w:p>
    <w:p w14:paraId="26C8BAE2"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Maltitol ciekły </w:t>
      </w:r>
    </w:p>
    <w:p w14:paraId="7DB63B7A"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Glikol propylenowy </w:t>
      </w:r>
    </w:p>
    <w:p w14:paraId="5314AD2F"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Aromat Tutti-Frutti </w:t>
      </w:r>
    </w:p>
    <w:p w14:paraId="5B44B346" w14:textId="77777777" w:rsidR="00D33C5F" w:rsidRPr="00374609" w:rsidRDefault="00D33C5F" w:rsidP="00C51997">
      <w:pPr>
        <w:autoSpaceDE w:val="0"/>
        <w:autoSpaceDN w:val="0"/>
        <w:adjustRightInd w:val="0"/>
        <w:rPr>
          <w:sz w:val="22"/>
          <w:szCs w:val="22"/>
          <w:lang w:val="pl-PL"/>
        </w:rPr>
      </w:pPr>
      <w:r w:rsidRPr="00374609">
        <w:rPr>
          <w:sz w:val="22"/>
          <w:szCs w:val="22"/>
          <w:lang w:val="pl-PL"/>
        </w:rPr>
        <w:t>Woda oczyszczona</w:t>
      </w:r>
    </w:p>
    <w:p w14:paraId="759E5E0A" w14:textId="77777777" w:rsidR="00D33C5F" w:rsidRPr="00374609" w:rsidRDefault="00D33C5F" w:rsidP="00C51997">
      <w:pPr>
        <w:autoSpaceDE w:val="0"/>
        <w:autoSpaceDN w:val="0"/>
        <w:adjustRightInd w:val="0"/>
        <w:rPr>
          <w:sz w:val="22"/>
          <w:szCs w:val="22"/>
          <w:lang w:val="pl-PL"/>
        </w:rPr>
      </w:pPr>
      <w:r w:rsidRPr="00374609">
        <w:rPr>
          <w:sz w:val="22"/>
          <w:szCs w:val="22"/>
          <w:lang w:val="pl-PL"/>
        </w:rPr>
        <w:t>Kwas solny stężony</w:t>
      </w:r>
    </w:p>
    <w:p w14:paraId="578AAF20" w14:textId="77777777" w:rsidR="00D33C5F" w:rsidRPr="00374609" w:rsidRDefault="00D33C5F" w:rsidP="00C51997">
      <w:pPr>
        <w:autoSpaceDE w:val="0"/>
        <w:autoSpaceDN w:val="0"/>
        <w:adjustRightInd w:val="0"/>
        <w:rPr>
          <w:b/>
          <w:bCs/>
          <w:sz w:val="22"/>
          <w:szCs w:val="22"/>
          <w:lang w:val="pl-PL"/>
        </w:rPr>
      </w:pPr>
    </w:p>
    <w:p w14:paraId="7E6D4473"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6.2</w:t>
      </w:r>
      <w:r w:rsidRPr="00374609">
        <w:rPr>
          <w:b/>
          <w:bCs/>
          <w:iCs/>
          <w:sz w:val="22"/>
          <w:szCs w:val="22"/>
          <w:lang w:val="pl-PL"/>
        </w:rPr>
        <w:tab/>
      </w:r>
      <w:r w:rsidRPr="00374609">
        <w:rPr>
          <w:b/>
          <w:bCs/>
          <w:sz w:val="22"/>
          <w:szCs w:val="22"/>
          <w:lang w:val="pl-PL"/>
        </w:rPr>
        <w:t>Niezgodności farmaceutyczne</w:t>
      </w:r>
    </w:p>
    <w:p w14:paraId="40E7EA36" w14:textId="77777777" w:rsidR="00D33C5F" w:rsidRPr="00374609" w:rsidRDefault="00D33C5F" w:rsidP="00C51997">
      <w:pPr>
        <w:autoSpaceDE w:val="0"/>
        <w:autoSpaceDN w:val="0"/>
        <w:adjustRightInd w:val="0"/>
        <w:rPr>
          <w:sz w:val="22"/>
          <w:szCs w:val="22"/>
          <w:lang w:val="pl-PL"/>
        </w:rPr>
      </w:pPr>
    </w:p>
    <w:p w14:paraId="1C10EBF7" w14:textId="77777777" w:rsidR="00D33C5F" w:rsidRPr="00374609" w:rsidRDefault="00D33C5F" w:rsidP="00C51997">
      <w:pPr>
        <w:autoSpaceDE w:val="0"/>
        <w:autoSpaceDN w:val="0"/>
        <w:adjustRightInd w:val="0"/>
        <w:rPr>
          <w:sz w:val="22"/>
          <w:szCs w:val="22"/>
          <w:lang w:val="pl-PL"/>
        </w:rPr>
      </w:pPr>
      <w:r w:rsidRPr="00374609">
        <w:rPr>
          <w:sz w:val="22"/>
          <w:szCs w:val="22"/>
          <w:lang w:val="pl-PL"/>
        </w:rPr>
        <w:t>Nie dotyczy.</w:t>
      </w:r>
    </w:p>
    <w:p w14:paraId="50392E1C" w14:textId="77777777" w:rsidR="00D33C5F" w:rsidRPr="00374609" w:rsidRDefault="00D33C5F" w:rsidP="00C51997">
      <w:pPr>
        <w:autoSpaceDE w:val="0"/>
        <w:autoSpaceDN w:val="0"/>
        <w:adjustRightInd w:val="0"/>
        <w:rPr>
          <w:b/>
          <w:bCs/>
          <w:sz w:val="22"/>
          <w:szCs w:val="22"/>
          <w:lang w:val="pl-PL"/>
        </w:rPr>
      </w:pPr>
    </w:p>
    <w:p w14:paraId="3CAAB7AC"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6.3</w:t>
      </w:r>
      <w:r w:rsidRPr="00374609">
        <w:rPr>
          <w:b/>
          <w:bCs/>
          <w:iCs/>
          <w:sz w:val="22"/>
          <w:szCs w:val="22"/>
          <w:lang w:val="pl-PL"/>
        </w:rPr>
        <w:tab/>
      </w:r>
      <w:r w:rsidRPr="00374609">
        <w:rPr>
          <w:b/>
          <w:bCs/>
          <w:sz w:val="22"/>
          <w:szCs w:val="22"/>
          <w:lang w:val="pl-PL"/>
        </w:rPr>
        <w:t>Okres ważności</w:t>
      </w:r>
    </w:p>
    <w:p w14:paraId="7C55109B" w14:textId="77777777" w:rsidR="00D33C5F" w:rsidRPr="00374609" w:rsidRDefault="00D33C5F" w:rsidP="00C51997">
      <w:pPr>
        <w:autoSpaceDE w:val="0"/>
        <w:autoSpaceDN w:val="0"/>
        <w:adjustRightInd w:val="0"/>
        <w:rPr>
          <w:sz w:val="22"/>
          <w:szCs w:val="22"/>
          <w:lang w:val="pl-PL"/>
        </w:rPr>
      </w:pPr>
    </w:p>
    <w:p w14:paraId="666B0351" w14:textId="77777777" w:rsidR="00D33C5F" w:rsidRPr="00374609" w:rsidRDefault="00D33C5F" w:rsidP="00C51997">
      <w:pPr>
        <w:autoSpaceDE w:val="0"/>
        <w:autoSpaceDN w:val="0"/>
        <w:adjustRightInd w:val="0"/>
        <w:rPr>
          <w:sz w:val="22"/>
          <w:szCs w:val="22"/>
          <w:lang w:val="pl-PL"/>
        </w:rPr>
      </w:pPr>
      <w:r w:rsidRPr="00374609">
        <w:rPr>
          <w:sz w:val="22"/>
          <w:szCs w:val="22"/>
          <w:lang w:val="pl-PL"/>
        </w:rPr>
        <w:t>3 lata</w:t>
      </w:r>
    </w:p>
    <w:p w14:paraId="326B21C1" w14:textId="77777777" w:rsidR="00D33C5F" w:rsidRPr="00374609" w:rsidRDefault="00D33C5F" w:rsidP="00C51997">
      <w:pPr>
        <w:autoSpaceDE w:val="0"/>
        <w:autoSpaceDN w:val="0"/>
        <w:adjustRightInd w:val="0"/>
        <w:rPr>
          <w:sz w:val="22"/>
          <w:szCs w:val="22"/>
          <w:lang w:val="pl-PL"/>
        </w:rPr>
      </w:pPr>
    </w:p>
    <w:p w14:paraId="52FAAF18" w14:textId="77777777" w:rsidR="00D33C5F" w:rsidRPr="00374609" w:rsidRDefault="00D33C5F" w:rsidP="00C51997">
      <w:pPr>
        <w:autoSpaceDE w:val="0"/>
        <w:autoSpaceDN w:val="0"/>
        <w:adjustRightInd w:val="0"/>
        <w:rPr>
          <w:sz w:val="22"/>
          <w:szCs w:val="22"/>
          <w:lang w:val="pl-PL"/>
        </w:rPr>
      </w:pPr>
      <w:r w:rsidRPr="00374609">
        <w:rPr>
          <w:sz w:val="22"/>
          <w:szCs w:val="22"/>
          <w:lang w:val="pl-PL"/>
        </w:rPr>
        <w:t>Okres ważności po pierwszym otwarciu butelki po 120 ml: 48 dni</w:t>
      </w:r>
    </w:p>
    <w:p w14:paraId="761C1E95" w14:textId="77777777" w:rsidR="00D33C5F" w:rsidRPr="00374609" w:rsidRDefault="00D33C5F" w:rsidP="00C51997">
      <w:pPr>
        <w:autoSpaceDE w:val="0"/>
        <w:autoSpaceDN w:val="0"/>
        <w:adjustRightInd w:val="0"/>
        <w:rPr>
          <w:sz w:val="22"/>
          <w:szCs w:val="22"/>
          <w:lang w:val="pl-PL"/>
        </w:rPr>
      </w:pPr>
      <w:r w:rsidRPr="00374609">
        <w:rPr>
          <w:sz w:val="22"/>
          <w:szCs w:val="22"/>
          <w:lang w:val="pl-PL"/>
        </w:rPr>
        <w:t>Okres ważności po pierwszym otwarciu butelki po 200 ml: 80 dni</w:t>
      </w:r>
    </w:p>
    <w:p w14:paraId="2FCE256D" w14:textId="77777777" w:rsidR="00D33C5F" w:rsidRPr="00374609" w:rsidRDefault="00D33C5F" w:rsidP="00C51997">
      <w:pPr>
        <w:autoSpaceDE w:val="0"/>
        <w:autoSpaceDN w:val="0"/>
        <w:adjustRightInd w:val="0"/>
        <w:rPr>
          <w:b/>
          <w:bCs/>
          <w:sz w:val="22"/>
          <w:szCs w:val="22"/>
          <w:lang w:val="pl-PL"/>
        </w:rPr>
      </w:pPr>
    </w:p>
    <w:p w14:paraId="127EA4A3"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6.4</w:t>
      </w:r>
      <w:r w:rsidRPr="00374609">
        <w:rPr>
          <w:b/>
          <w:bCs/>
          <w:iCs/>
          <w:sz w:val="22"/>
          <w:szCs w:val="22"/>
          <w:lang w:val="pl-PL"/>
        </w:rPr>
        <w:tab/>
      </w:r>
      <w:r w:rsidRPr="00374609">
        <w:rPr>
          <w:b/>
          <w:bCs/>
          <w:sz w:val="22"/>
          <w:szCs w:val="22"/>
          <w:lang w:val="pl-PL"/>
        </w:rPr>
        <w:t>Specjalne środki ostrożności podczas przechowywania</w:t>
      </w:r>
    </w:p>
    <w:p w14:paraId="1F7EB31F" w14:textId="77777777" w:rsidR="00D33C5F" w:rsidRPr="00374609" w:rsidRDefault="00D33C5F" w:rsidP="00C51997">
      <w:pPr>
        <w:autoSpaceDE w:val="0"/>
        <w:autoSpaceDN w:val="0"/>
        <w:adjustRightInd w:val="0"/>
        <w:rPr>
          <w:sz w:val="22"/>
          <w:szCs w:val="22"/>
          <w:lang w:val="pl-PL"/>
        </w:rPr>
      </w:pPr>
    </w:p>
    <w:p w14:paraId="5AAA5EB0" w14:textId="77777777" w:rsidR="00D33C5F" w:rsidRPr="00374609" w:rsidRDefault="00D33C5F" w:rsidP="00C51997">
      <w:pPr>
        <w:autoSpaceDE w:val="0"/>
        <w:autoSpaceDN w:val="0"/>
        <w:adjustRightInd w:val="0"/>
        <w:rPr>
          <w:sz w:val="22"/>
          <w:szCs w:val="22"/>
          <w:lang w:val="pl-PL"/>
        </w:rPr>
      </w:pPr>
      <w:r w:rsidRPr="00374609">
        <w:rPr>
          <w:sz w:val="22"/>
          <w:szCs w:val="22"/>
          <w:lang w:val="pl-PL"/>
        </w:rPr>
        <w:t>Przechowywać w temperaturze poniżej 25ºC.</w:t>
      </w:r>
    </w:p>
    <w:p w14:paraId="54FF6924" w14:textId="77777777" w:rsidR="00D33C5F" w:rsidRPr="00374609" w:rsidRDefault="00D33C5F" w:rsidP="00C51997">
      <w:pPr>
        <w:autoSpaceDE w:val="0"/>
        <w:autoSpaceDN w:val="0"/>
        <w:adjustRightInd w:val="0"/>
        <w:rPr>
          <w:sz w:val="22"/>
          <w:szCs w:val="22"/>
          <w:lang w:val="pl-PL"/>
        </w:rPr>
      </w:pPr>
      <w:r w:rsidRPr="00374609">
        <w:rPr>
          <w:sz w:val="22"/>
          <w:szCs w:val="22"/>
          <w:lang w:val="pl-PL"/>
        </w:rPr>
        <w:t xml:space="preserve">Przechowywać w oryginalnym opakowaniu. </w:t>
      </w:r>
    </w:p>
    <w:p w14:paraId="657176CC" w14:textId="77777777" w:rsidR="00D33C5F" w:rsidRPr="00374609" w:rsidRDefault="00D33C5F" w:rsidP="00C51997">
      <w:pPr>
        <w:autoSpaceDE w:val="0"/>
        <w:autoSpaceDN w:val="0"/>
        <w:adjustRightInd w:val="0"/>
        <w:rPr>
          <w:b/>
          <w:bCs/>
          <w:sz w:val="22"/>
          <w:szCs w:val="22"/>
          <w:lang w:val="pl-PL"/>
        </w:rPr>
      </w:pPr>
    </w:p>
    <w:p w14:paraId="4CE75F74" w14:textId="77777777" w:rsidR="00D33C5F" w:rsidRPr="00374609" w:rsidRDefault="00D33C5F" w:rsidP="00BA4173">
      <w:pPr>
        <w:autoSpaceDE w:val="0"/>
        <w:autoSpaceDN w:val="0"/>
        <w:adjustRightInd w:val="0"/>
        <w:rPr>
          <w:sz w:val="22"/>
          <w:szCs w:val="22"/>
          <w:lang w:val="pl-PL"/>
        </w:rPr>
      </w:pPr>
      <w:r w:rsidRPr="00374609">
        <w:rPr>
          <w:sz w:val="22"/>
          <w:szCs w:val="22"/>
          <w:lang w:val="pl-PL"/>
        </w:rPr>
        <w:t>Warunki przechowywania po pierwszym otwarciu:</w:t>
      </w:r>
    </w:p>
    <w:p w14:paraId="6345BBD5" w14:textId="77777777" w:rsidR="00D33C5F" w:rsidRPr="00374609" w:rsidRDefault="00D33C5F" w:rsidP="00BA4173">
      <w:pPr>
        <w:autoSpaceDE w:val="0"/>
        <w:autoSpaceDN w:val="0"/>
        <w:adjustRightInd w:val="0"/>
        <w:rPr>
          <w:sz w:val="22"/>
          <w:szCs w:val="22"/>
          <w:lang w:val="pl-PL"/>
        </w:rPr>
      </w:pPr>
      <w:r w:rsidRPr="00374609">
        <w:rPr>
          <w:sz w:val="22"/>
          <w:szCs w:val="22"/>
          <w:lang w:val="pl-PL"/>
        </w:rPr>
        <w:t xml:space="preserve">Przechowywać w temperaturze poniżej 25ºC. </w:t>
      </w:r>
    </w:p>
    <w:p w14:paraId="0543BA4B" w14:textId="77777777" w:rsidR="00D33C5F" w:rsidRPr="00374609" w:rsidRDefault="00D33C5F" w:rsidP="00BA4173">
      <w:pPr>
        <w:autoSpaceDE w:val="0"/>
        <w:autoSpaceDN w:val="0"/>
        <w:adjustRightInd w:val="0"/>
        <w:rPr>
          <w:sz w:val="22"/>
          <w:szCs w:val="22"/>
          <w:lang w:val="pl-PL"/>
        </w:rPr>
      </w:pPr>
      <w:r w:rsidRPr="00374609">
        <w:rPr>
          <w:sz w:val="22"/>
          <w:szCs w:val="22"/>
          <w:lang w:val="pl-PL"/>
        </w:rPr>
        <w:t>Przechowywać w oryginalnym opakowaniu.</w:t>
      </w:r>
    </w:p>
    <w:p w14:paraId="124E6F8B" w14:textId="77777777" w:rsidR="00D33C5F" w:rsidRPr="00374609" w:rsidRDefault="00D33C5F" w:rsidP="00C51997">
      <w:pPr>
        <w:autoSpaceDE w:val="0"/>
        <w:autoSpaceDN w:val="0"/>
        <w:adjustRightInd w:val="0"/>
        <w:rPr>
          <w:b/>
          <w:bCs/>
          <w:iCs/>
          <w:sz w:val="22"/>
          <w:szCs w:val="22"/>
          <w:lang w:val="pl-PL"/>
        </w:rPr>
      </w:pPr>
    </w:p>
    <w:p w14:paraId="6619E5FC"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6.5</w:t>
      </w:r>
      <w:r w:rsidRPr="00374609">
        <w:rPr>
          <w:b/>
          <w:bCs/>
          <w:iCs/>
          <w:sz w:val="22"/>
          <w:szCs w:val="22"/>
          <w:lang w:val="pl-PL"/>
        </w:rPr>
        <w:tab/>
      </w:r>
      <w:r w:rsidRPr="00374609">
        <w:rPr>
          <w:b/>
          <w:bCs/>
          <w:sz w:val="22"/>
          <w:szCs w:val="22"/>
          <w:lang w:val="pl-PL"/>
        </w:rPr>
        <w:t>Rodzaj i zawartość opakowania</w:t>
      </w:r>
    </w:p>
    <w:p w14:paraId="0A98E11F" w14:textId="77777777" w:rsidR="00D33C5F" w:rsidRPr="00374609" w:rsidRDefault="00D33C5F" w:rsidP="00C51997">
      <w:pPr>
        <w:autoSpaceDE w:val="0"/>
        <w:autoSpaceDN w:val="0"/>
        <w:adjustRightInd w:val="0"/>
        <w:rPr>
          <w:sz w:val="22"/>
          <w:szCs w:val="22"/>
          <w:lang w:val="pl-PL"/>
        </w:rPr>
      </w:pPr>
    </w:p>
    <w:p w14:paraId="26011D4F" w14:textId="77777777" w:rsidR="00D33C5F" w:rsidRPr="00374609" w:rsidRDefault="00D33C5F" w:rsidP="00C51997">
      <w:pPr>
        <w:rPr>
          <w:sz w:val="22"/>
          <w:szCs w:val="22"/>
          <w:lang w:val="pl-PL"/>
        </w:rPr>
      </w:pPr>
      <w:r w:rsidRPr="00374609">
        <w:rPr>
          <w:sz w:val="22"/>
          <w:szCs w:val="22"/>
          <w:lang w:val="pl-PL"/>
        </w:rPr>
        <w:t>Butelka ze szkła brunatnego (typu III) o pojemności 125 ml lub 200 ml, zamknięta polipropylenową zakrętką z zabezpieczeniem przed dostępem dzieci typu „child-proof” i z zabezpieczeniem gwarancyjnym. Do butelki dołączona jest miarka z polipropylenu o pojemności 15 ml. Opakowanie zewnętrzne – tekturowe pudełko.</w:t>
      </w:r>
    </w:p>
    <w:p w14:paraId="13CE1846" w14:textId="77777777" w:rsidR="00D33C5F" w:rsidRPr="00374609" w:rsidRDefault="00D33C5F" w:rsidP="00C51997">
      <w:pPr>
        <w:rPr>
          <w:sz w:val="22"/>
          <w:szCs w:val="22"/>
          <w:lang w:val="pl-PL"/>
        </w:rPr>
      </w:pPr>
      <w:r w:rsidRPr="00374609">
        <w:rPr>
          <w:sz w:val="22"/>
          <w:szCs w:val="22"/>
          <w:lang w:val="pl-PL"/>
        </w:rPr>
        <w:t>Wielkości opakowań: 120 ml lub 200 ml.</w:t>
      </w:r>
    </w:p>
    <w:p w14:paraId="6485EE39" w14:textId="77777777" w:rsidR="00D33C5F" w:rsidRPr="00374609" w:rsidRDefault="00D33C5F" w:rsidP="00C51997">
      <w:pPr>
        <w:autoSpaceDE w:val="0"/>
        <w:autoSpaceDN w:val="0"/>
        <w:adjustRightInd w:val="0"/>
        <w:rPr>
          <w:b/>
          <w:bCs/>
          <w:sz w:val="22"/>
          <w:szCs w:val="22"/>
          <w:lang w:val="pl-PL"/>
        </w:rPr>
      </w:pPr>
    </w:p>
    <w:p w14:paraId="0110F4C6" w14:textId="77777777" w:rsidR="00D33C5F" w:rsidRPr="00374609" w:rsidRDefault="00D33C5F" w:rsidP="00F05A4A">
      <w:pPr>
        <w:tabs>
          <w:tab w:val="left" w:pos="540"/>
        </w:tabs>
        <w:autoSpaceDE w:val="0"/>
        <w:autoSpaceDN w:val="0"/>
        <w:adjustRightInd w:val="0"/>
        <w:rPr>
          <w:b/>
          <w:bCs/>
          <w:sz w:val="22"/>
          <w:szCs w:val="22"/>
          <w:lang w:val="pl-PL"/>
        </w:rPr>
      </w:pPr>
      <w:r w:rsidRPr="00374609">
        <w:rPr>
          <w:b/>
          <w:bCs/>
          <w:iCs/>
          <w:sz w:val="22"/>
          <w:szCs w:val="22"/>
          <w:lang w:val="pl-PL"/>
        </w:rPr>
        <w:t>6.6</w:t>
      </w:r>
      <w:r w:rsidRPr="00374609">
        <w:rPr>
          <w:b/>
          <w:bCs/>
          <w:iCs/>
          <w:sz w:val="22"/>
          <w:szCs w:val="22"/>
          <w:lang w:val="pl-PL"/>
        </w:rPr>
        <w:tab/>
      </w:r>
      <w:r w:rsidRPr="00374609">
        <w:rPr>
          <w:b/>
          <w:bCs/>
          <w:sz w:val="22"/>
          <w:szCs w:val="22"/>
          <w:lang w:val="pl-PL"/>
        </w:rPr>
        <w:t xml:space="preserve">Specjalne środki ostrożności dotyczące usuwania i </w:t>
      </w:r>
      <w:r w:rsidRPr="00374609">
        <w:rPr>
          <w:b/>
          <w:sz w:val="22"/>
          <w:szCs w:val="22"/>
          <w:lang w:val="pl-PL"/>
        </w:rPr>
        <w:t xml:space="preserve">przygotowania produktu leczniczego </w:t>
      </w:r>
      <w:r w:rsidR="00D82D4E">
        <w:rPr>
          <w:b/>
          <w:sz w:val="22"/>
          <w:szCs w:val="22"/>
          <w:lang w:val="pl-PL"/>
        </w:rPr>
        <w:br/>
      </w:r>
      <w:r w:rsidRPr="00374609">
        <w:rPr>
          <w:b/>
          <w:sz w:val="22"/>
          <w:szCs w:val="22"/>
          <w:lang w:val="pl-PL"/>
        </w:rPr>
        <w:t>do stosowania</w:t>
      </w:r>
    </w:p>
    <w:p w14:paraId="028B1145" w14:textId="77777777" w:rsidR="00D33C5F" w:rsidRPr="00374609" w:rsidRDefault="00D33C5F" w:rsidP="00C51997">
      <w:pPr>
        <w:autoSpaceDE w:val="0"/>
        <w:autoSpaceDN w:val="0"/>
        <w:adjustRightInd w:val="0"/>
        <w:rPr>
          <w:sz w:val="22"/>
          <w:szCs w:val="22"/>
          <w:lang w:val="pl-PL"/>
        </w:rPr>
      </w:pPr>
    </w:p>
    <w:p w14:paraId="2C224688" w14:textId="77777777" w:rsidR="00D33C5F" w:rsidRPr="00374609" w:rsidRDefault="00D33C5F" w:rsidP="00C51997">
      <w:pPr>
        <w:autoSpaceDE w:val="0"/>
        <w:autoSpaceDN w:val="0"/>
        <w:adjustRightInd w:val="0"/>
        <w:rPr>
          <w:sz w:val="22"/>
          <w:szCs w:val="22"/>
          <w:lang w:val="pl-PL"/>
        </w:rPr>
      </w:pPr>
      <w:r w:rsidRPr="00374609">
        <w:rPr>
          <w:sz w:val="22"/>
          <w:szCs w:val="22"/>
          <w:lang w:val="pl-PL"/>
        </w:rPr>
        <w:t>Brak szczególnych wymagań.</w:t>
      </w:r>
    </w:p>
    <w:p w14:paraId="39F892CD" w14:textId="77777777" w:rsidR="00D33C5F" w:rsidRPr="00374609" w:rsidRDefault="00D33C5F" w:rsidP="00C51997">
      <w:pPr>
        <w:autoSpaceDE w:val="0"/>
        <w:autoSpaceDN w:val="0"/>
        <w:adjustRightInd w:val="0"/>
        <w:rPr>
          <w:b/>
          <w:bCs/>
          <w:sz w:val="22"/>
          <w:szCs w:val="22"/>
          <w:lang w:val="pl-PL"/>
        </w:rPr>
      </w:pPr>
    </w:p>
    <w:p w14:paraId="1024A74B" w14:textId="77777777" w:rsidR="00D33C5F" w:rsidRPr="00374609" w:rsidRDefault="00D33C5F" w:rsidP="00C51997">
      <w:pPr>
        <w:autoSpaceDE w:val="0"/>
        <w:autoSpaceDN w:val="0"/>
        <w:adjustRightInd w:val="0"/>
        <w:rPr>
          <w:b/>
          <w:bCs/>
          <w:sz w:val="22"/>
          <w:szCs w:val="22"/>
          <w:lang w:val="pl-PL"/>
        </w:rPr>
      </w:pPr>
    </w:p>
    <w:p w14:paraId="693297C0" w14:textId="77777777" w:rsidR="00D33C5F" w:rsidRPr="00374609" w:rsidRDefault="00D33C5F" w:rsidP="00F05A4A">
      <w:pPr>
        <w:widowControl w:val="0"/>
        <w:tabs>
          <w:tab w:val="left" w:pos="540"/>
        </w:tabs>
        <w:rPr>
          <w:b/>
          <w:sz w:val="22"/>
          <w:szCs w:val="22"/>
          <w:lang w:val="pl-PL"/>
        </w:rPr>
      </w:pPr>
      <w:r w:rsidRPr="00374609">
        <w:rPr>
          <w:b/>
          <w:bCs/>
          <w:iCs/>
          <w:sz w:val="22"/>
          <w:szCs w:val="22"/>
          <w:lang w:val="pl-PL"/>
        </w:rPr>
        <w:t>7.</w:t>
      </w:r>
      <w:r w:rsidRPr="00374609">
        <w:rPr>
          <w:b/>
          <w:bCs/>
          <w:iCs/>
          <w:sz w:val="22"/>
          <w:szCs w:val="22"/>
          <w:lang w:val="pl-PL"/>
        </w:rPr>
        <w:tab/>
      </w:r>
      <w:r w:rsidRPr="00374609">
        <w:rPr>
          <w:b/>
          <w:bCs/>
          <w:sz w:val="22"/>
          <w:szCs w:val="22"/>
          <w:lang w:val="pl-PL"/>
        </w:rPr>
        <w:t>PODMIOT ODPOWIEDZIALNY POSIADAJĄCY POZWOLENIE NA DOPUSZCZENIE</w:t>
      </w:r>
      <w:r w:rsidRPr="00374609">
        <w:rPr>
          <w:b/>
          <w:sz w:val="22"/>
          <w:szCs w:val="22"/>
          <w:lang w:val="pl-PL"/>
        </w:rPr>
        <w:t xml:space="preserve"> </w:t>
      </w:r>
      <w:r w:rsidRPr="00374609">
        <w:rPr>
          <w:b/>
          <w:bCs/>
          <w:sz w:val="22"/>
          <w:szCs w:val="22"/>
          <w:lang w:val="pl-PL"/>
        </w:rPr>
        <w:t>DO OBROTU</w:t>
      </w:r>
    </w:p>
    <w:p w14:paraId="54F480BB" w14:textId="77777777" w:rsidR="00D33C5F" w:rsidRPr="00374609" w:rsidRDefault="00D33C5F" w:rsidP="00C51997">
      <w:pPr>
        <w:autoSpaceDE w:val="0"/>
        <w:autoSpaceDN w:val="0"/>
        <w:adjustRightInd w:val="0"/>
        <w:rPr>
          <w:sz w:val="22"/>
          <w:szCs w:val="22"/>
          <w:lang w:val="pl-PL"/>
        </w:rPr>
      </w:pPr>
    </w:p>
    <w:p w14:paraId="42FB79EC" w14:textId="77777777" w:rsidR="00BA72CC" w:rsidRPr="002722E1" w:rsidRDefault="00BA72CC" w:rsidP="00BA72CC">
      <w:pPr>
        <w:autoSpaceDE w:val="0"/>
        <w:autoSpaceDN w:val="0"/>
        <w:adjustRightInd w:val="0"/>
        <w:rPr>
          <w:snapToGrid w:val="0"/>
          <w:sz w:val="22"/>
          <w:szCs w:val="22"/>
          <w:lang w:val="en-US"/>
        </w:rPr>
      </w:pPr>
      <w:r w:rsidRPr="002722E1">
        <w:rPr>
          <w:snapToGrid w:val="0"/>
          <w:sz w:val="22"/>
          <w:szCs w:val="22"/>
          <w:lang w:val="en-US"/>
        </w:rPr>
        <w:t>Bausch Health Ireland Limited</w:t>
      </w:r>
    </w:p>
    <w:p w14:paraId="44813378" w14:textId="77777777" w:rsidR="00BA72CC" w:rsidRPr="002722E1" w:rsidRDefault="00BA72CC" w:rsidP="00BA72CC">
      <w:pPr>
        <w:autoSpaceDE w:val="0"/>
        <w:autoSpaceDN w:val="0"/>
        <w:adjustRightInd w:val="0"/>
        <w:rPr>
          <w:snapToGrid w:val="0"/>
          <w:sz w:val="22"/>
          <w:szCs w:val="22"/>
          <w:lang w:val="en-US"/>
        </w:rPr>
      </w:pPr>
      <w:r w:rsidRPr="002722E1">
        <w:rPr>
          <w:snapToGrid w:val="0"/>
          <w:sz w:val="22"/>
          <w:szCs w:val="22"/>
          <w:lang w:val="en-US"/>
        </w:rPr>
        <w:t>3013 Lake Drive</w:t>
      </w:r>
    </w:p>
    <w:p w14:paraId="2BA0492E" w14:textId="77777777" w:rsidR="00BA72CC" w:rsidRPr="002722E1" w:rsidRDefault="00BA72CC" w:rsidP="00BA72CC">
      <w:pPr>
        <w:autoSpaceDE w:val="0"/>
        <w:autoSpaceDN w:val="0"/>
        <w:adjustRightInd w:val="0"/>
        <w:rPr>
          <w:snapToGrid w:val="0"/>
          <w:sz w:val="22"/>
          <w:szCs w:val="22"/>
          <w:lang w:val="en-US"/>
        </w:rPr>
      </w:pPr>
      <w:r w:rsidRPr="002722E1">
        <w:rPr>
          <w:snapToGrid w:val="0"/>
          <w:sz w:val="22"/>
          <w:szCs w:val="22"/>
          <w:lang w:val="en-US"/>
        </w:rPr>
        <w:t>Citywest Business Campus</w:t>
      </w:r>
    </w:p>
    <w:p w14:paraId="3F24213C" w14:textId="77777777" w:rsidR="00BA72CC" w:rsidRPr="002722E1" w:rsidRDefault="00BA72CC" w:rsidP="00BA72CC">
      <w:pPr>
        <w:autoSpaceDE w:val="0"/>
        <w:autoSpaceDN w:val="0"/>
        <w:adjustRightInd w:val="0"/>
        <w:rPr>
          <w:snapToGrid w:val="0"/>
          <w:sz w:val="22"/>
          <w:szCs w:val="22"/>
          <w:lang w:val="en-US"/>
        </w:rPr>
      </w:pPr>
      <w:r w:rsidRPr="002722E1">
        <w:rPr>
          <w:snapToGrid w:val="0"/>
          <w:sz w:val="22"/>
          <w:szCs w:val="22"/>
          <w:lang w:val="en-US"/>
        </w:rPr>
        <w:t>Dublin 24, D24PPT3</w:t>
      </w:r>
    </w:p>
    <w:p w14:paraId="681BC520" w14:textId="77777777" w:rsidR="00BA72CC" w:rsidRDefault="00BA72CC" w:rsidP="00BA72CC">
      <w:pPr>
        <w:autoSpaceDE w:val="0"/>
        <w:autoSpaceDN w:val="0"/>
        <w:adjustRightInd w:val="0"/>
        <w:rPr>
          <w:snapToGrid w:val="0"/>
          <w:sz w:val="22"/>
          <w:szCs w:val="22"/>
          <w:lang w:val="en-US"/>
        </w:rPr>
      </w:pPr>
      <w:r w:rsidRPr="002722E1">
        <w:rPr>
          <w:snapToGrid w:val="0"/>
          <w:sz w:val="22"/>
          <w:szCs w:val="22"/>
          <w:lang w:val="en-US"/>
        </w:rPr>
        <w:t>Irlandia</w:t>
      </w:r>
    </w:p>
    <w:p w14:paraId="0C663DA9" w14:textId="77777777" w:rsidR="00D33C5F" w:rsidRPr="002722E1" w:rsidRDefault="00D33C5F" w:rsidP="00C51997">
      <w:pPr>
        <w:autoSpaceDE w:val="0"/>
        <w:autoSpaceDN w:val="0"/>
        <w:adjustRightInd w:val="0"/>
        <w:rPr>
          <w:b/>
          <w:bCs/>
          <w:sz w:val="22"/>
          <w:szCs w:val="22"/>
          <w:lang w:val="en-US"/>
        </w:rPr>
      </w:pPr>
    </w:p>
    <w:p w14:paraId="4958387D" w14:textId="77777777" w:rsidR="00D33C5F" w:rsidRPr="00374609" w:rsidRDefault="00D33C5F" w:rsidP="00F05A4A">
      <w:pPr>
        <w:widowControl w:val="0"/>
        <w:tabs>
          <w:tab w:val="left" w:pos="0"/>
          <w:tab w:val="left" w:pos="540"/>
        </w:tabs>
        <w:rPr>
          <w:b/>
          <w:sz w:val="22"/>
          <w:szCs w:val="22"/>
          <w:lang w:val="pl-PL"/>
        </w:rPr>
      </w:pPr>
      <w:r w:rsidRPr="00374609">
        <w:rPr>
          <w:b/>
          <w:bCs/>
          <w:iCs/>
          <w:sz w:val="22"/>
          <w:szCs w:val="22"/>
          <w:lang w:val="pl-PL"/>
        </w:rPr>
        <w:t>8.</w:t>
      </w:r>
      <w:r w:rsidRPr="00374609">
        <w:rPr>
          <w:b/>
          <w:bCs/>
          <w:iCs/>
          <w:sz w:val="22"/>
          <w:szCs w:val="22"/>
          <w:lang w:val="pl-PL"/>
        </w:rPr>
        <w:tab/>
      </w:r>
      <w:r w:rsidRPr="00374609">
        <w:rPr>
          <w:b/>
          <w:bCs/>
          <w:sz w:val="22"/>
          <w:szCs w:val="22"/>
          <w:lang w:val="pl-PL"/>
        </w:rPr>
        <w:t>NUMER POZWOLENIA NA DOPUSZCZENIE DO OBROTU</w:t>
      </w:r>
    </w:p>
    <w:p w14:paraId="587BE0CF" w14:textId="77777777" w:rsidR="00D33C5F" w:rsidRPr="00374609" w:rsidRDefault="00D33C5F" w:rsidP="00C51997">
      <w:pPr>
        <w:autoSpaceDE w:val="0"/>
        <w:autoSpaceDN w:val="0"/>
        <w:adjustRightInd w:val="0"/>
        <w:rPr>
          <w:bCs/>
          <w:sz w:val="22"/>
          <w:szCs w:val="22"/>
          <w:lang w:val="pl-PL"/>
        </w:rPr>
      </w:pPr>
    </w:p>
    <w:p w14:paraId="236C5764" w14:textId="77777777" w:rsidR="00D33C5F" w:rsidRPr="00374609" w:rsidRDefault="00D33C5F" w:rsidP="00C51997">
      <w:pPr>
        <w:autoSpaceDE w:val="0"/>
        <w:autoSpaceDN w:val="0"/>
        <w:adjustRightInd w:val="0"/>
        <w:rPr>
          <w:bCs/>
          <w:sz w:val="22"/>
          <w:szCs w:val="22"/>
          <w:lang w:val="pl-PL"/>
        </w:rPr>
      </w:pPr>
      <w:r w:rsidRPr="00374609">
        <w:rPr>
          <w:bCs/>
          <w:sz w:val="22"/>
          <w:szCs w:val="22"/>
          <w:lang w:val="pl-PL"/>
        </w:rPr>
        <w:t>20279</w:t>
      </w:r>
    </w:p>
    <w:p w14:paraId="0E616A47" w14:textId="77777777" w:rsidR="00D33C5F" w:rsidRPr="00374609" w:rsidRDefault="00D33C5F" w:rsidP="00C51997">
      <w:pPr>
        <w:autoSpaceDE w:val="0"/>
        <w:autoSpaceDN w:val="0"/>
        <w:adjustRightInd w:val="0"/>
        <w:rPr>
          <w:bCs/>
          <w:sz w:val="22"/>
          <w:szCs w:val="22"/>
          <w:lang w:val="pl-PL"/>
        </w:rPr>
      </w:pPr>
    </w:p>
    <w:p w14:paraId="4A36DC31" w14:textId="77777777" w:rsidR="00D33C5F" w:rsidRPr="00374609" w:rsidRDefault="00D33C5F" w:rsidP="00C51997">
      <w:pPr>
        <w:autoSpaceDE w:val="0"/>
        <w:autoSpaceDN w:val="0"/>
        <w:adjustRightInd w:val="0"/>
        <w:rPr>
          <w:bCs/>
          <w:sz w:val="22"/>
          <w:szCs w:val="22"/>
          <w:lang w:val="pl-PL"/>
        </w:rPr>
      </w:pPr>
    </w:p>
    <w:p w14:paraId="35AA18B2" w14:textId="5D6C9257" w:rsidR="00D33C5F" w:rsidRPr="00374609" w:rsidRDefault="00D33C5F" w:rsidP="00F05A4A">
      <w:pPr>
        <w:widowControl w:val="0"/>
        <w:tabs>
          <w:tab w:val="left" w:pos="540"/>
        </w:tabs>
        <w:rPr>
          <w:b/>
          <w:bCs/>
          <w:sz w:val="22"/>
          <w:szCs w:val="22"/>
          <w:lang w:val="pl-PL"/>
        </w:rPr>
      </w:pPr>
      <w:r w:rsidRPr="00374609">
        <w:rPr>
          <w:b/>
          <w:bCs/>
          <w:iCs/>
          <w:sz w:val="22"/>
          <w:szCs w:val="22"/>
          <w:lang w:val="pl-PL"/>
        </w:rPr>
        <w:t>9.</w:t>
      </w:r>
      <w:r w:rsidRPr="00374609">
        <w:rPr>
          <w:b/>
          <w:bCs/>
          <w:iCs/>
          <w:sz w:val="22"/>
          <w:szCs w:val="22"/>
          <w:lang w:val="pl-PL"/>
        </w:rPr>
        <w:tab/>
      </w:r>
      <w:r w:rsidRPr="00374609">
        <w:rPr>
          <w:b/>
          <w:bCs/>
          <w:sz w:val="22"/>
          <w:szCs w:val="22"/>
          <w:lang w:val="pl-PL"/>
        </w:rPr>
        <w:t>DATA WYDANIA PIERWSZEGO POZWOLENIA NA DOPUSZCZENIE DO OBROTU</w:t>
      </w:r>
      <w:r w:rsidR="008D0A49">
        <w:rPr>
          <w:b/>
          <w:bCs/>
          <w:sz w:val="22"/>
          <w:szCs w:val="22"/>
          <w:lang w:val="pl-PL"/>
        </w:rPr>
        <w:t xml:space="preserve"> I </w:t>
      </w:r>
      <w:r w:rsidRPr="00374609">
        <w:rPr>
          <w:b/>
          <w:bCs/>
          <w:sz w:val="22"/>
          <w:szCs w:val="22"/>
          <w:lang w:val="pl-PL"/>
        </w:rPr>
        <w:t>DATA PRZEDŁUŻENIA POZWOLENIA</w:t>
      </w:r>
    </w:p>
    <w:p w14:paraId="598236C9" w14:textId="77777777" w:rsidR="00D33C5F" w:rsidRPr="00374609" w:rsidRDefault="00D33C5F" w:rsidP="00C623CC">
      <w:pPr>
        <w:rPr>
          <w:noProof/>
          <w:sz w:val="22"/>
          <w:szCs w:val="22"/>
          <w:lang w:val="pl-PL"/>
        </w:rPr>
      </w:pPr>
    </w:p>
    <w:p w14:paraId="737C99DA" w14:textId="77777777" w:rsidR="00D33C5F" w:rsidRDefault="00D33C5F" w:rsidP="00C623CC">
      <w:pPr>
        <w:rPr>
          <w:noProof/>
          <w:sz w:val="22"/>
          <w:szCs w:val="22"/>
          <w:lang w:val="pl-PL"/>
        </w:rPr>
      </w:pPr>
      <w:r w:rsidRPr="00374609">
        <w:rPr>
          <w:noProof/>
          <w:sz w:val="22"/>
          <w:szCs w:val="22"/>
          <w:lang w:val="pl-PL"/>
        </w:rPr>
        <w:t>Data wydania pierwszego pozwolenia na dopuszczenie do obrotu: 18 czerwca 2012</w:t>
      </w:r>
    </w:p>
    <w:p w14:paraId="0E27426D" w14:textId="77777777" w:rsidR="000B30DC" w:rsidRPr="00374609" w:rsidRDefault="000B30DC" w:rsidP="00C623CC">
      <w:pPr>
        <w:rPr>
          <w:noProof/>
          <w:sz w:val="22"/>
          <w:szCs w:val="22"/>
          <w:lang w:val="pl-PL"/>
        </w:rPr>
      </w:pPr>
      <w:r>
        <w:rPr>
          <w:noProof/>
          <w:sz w:val="22"/>
          <w:szCs w:val="22"/>
          <w:lang w:val="pl-PL"/>
        </w:rPr>
        <w:t>Data przedłużenia pozwolenia na dopuszczenie do obrotu: 13 kwietnia 2017</w:t>
      </w:r>
    </w:p>
    <w:p w14:paraId="132BF763" w14:textId="77777777" w:rsidR="00D33C5F" w:rsidRPr="00374609" w:rsidRDefault="00D33C5F" w:rsidP="00C51997">
      <w:pPr>
        <w:autoSpaceDE w:val="0"/>
        <w:autoSpaceDN w:val="0"/>
        <w:adjustRightInd w:val="0"/>
        <w:rPr>
          <w:sz w:val="22"/>
          <w:szCs w:val="22"/>
          <w:lang w:val="pl-PL"/>
        </w:rPr>
      </w:pPr>
    </w:p>
    <w:p w14:paraId="18BE55C0" w14:textId="77777777" w:rsidR="00D33C5F" w:rsidRPr="00374609" w:rsidRDefault="00D33C5F" w:rsidP="00C51997">
      <w:pPr>
        <w:autoSpaceDE w:val="0"/>
        <w:autoSpaceDN w:val="0"/>
        <w:adjustRightInd w:val="0"/>
        <w:rPr>
          <w:b/>
          <w:bCs/>
          <w:sz w:val="22"/>
          <w:szCs w:val="22"/>
          <w:lang w:val="pl-PL"/>
        </w:rPr>
      </w:pPr>
    </w:p>
    <w:p w14:paraId="58EC76D9" w14:textId="77777777" w:rsidR="00D33C5F" w:rsidRDefault="00D33C5F" w:rsidP="00F05A4A">
      <w:pPr>
        <w:widowControl w:val="0"/>
        <w:tabs>
          <w:tab w:val="left" w:pos="540"/>
        </w:tabs>
        <w:rPr>
          <w:b/>
          <w:bCs/>
          <w:sz w:val="22"/>
          <w:szCs w:val="22"/>
          <w:lang w:val="pl-PL"/>
        </w:rPr>
      </w:pPr>
      <w:r w:rsidRPr="00374609">
        <w:rPr>
          <w:b/>
          <w:bCs/>
          <w:iCs/>
          <w:sz w:val="22"/>
          <w:szCs w:val="22"/>
          <w:lang w:val="pl-PL"/>
        </w:rPr>
        <w:t>10.</w:t>
      </w:r>
      <w:r w:rsidRPr="00374609">
        <w:rPr>
          <w:b/>
          <w:bCs/>
          <w:iCs/>
          <w:sz w:val="22"/>
          <w:szCs w:val="22"/>
          <w:lang w:val="pl-PL"/>
        </w:rPr>
        <w:tab/>
      </w:r>
      <w:r w:rsidRPr="00374609">
        <w:rPr>
          <w:b/>
          <w:bCs/>
          <w:sz w:val="22"/>
          <w:szCs w:val="22"/>
          <w:lang w:val="pl-PL"/>
        </w:rPr>
        <w:t>DATA ZATWIERDZENIA LUB CZĘŚCIOWEJ ZMIANY TEKSTU CHARAKTERYSTYKI PRODUKTU LECZNICZEGO</w:t>
      </w:r>
    </w:p>
    <w:p w14:paraId="02984358" w14:textId="77777777" w:rsidR="001F714F" w:rsidRPr="00374609" w:rsidRDefault="001F714F" w:rsidP="00F05A4A">
      <w:pPr>
        <w:widowControl w:val="0"/>
        <w:tabs>
          <w:tab w:val="left" w:pos="540"/>
        </w:tabs>
        <w:rPr>
          <w:b/>
          <w:bCs/>
          <w:sz w:val="22"/>
          <w:szCs w:val="22"/>
          <w:lang w:val="pl-PL"/>
        </w:rPr>
      </w:pPr>
    </w:p>
    <w:p w14:paraId="265C38A6" w14:textId="2936FB4F" w:rsidR="00D33C5F" w:rsidRPr="00374609" w:rsidRDefault="00D33C5F" w:rsidP="00C51997">
      <w:pPr>
        <w:autoSpaceDE w:val="0"/>
        <w:autoSpaceDN w:val="0"/>
        <w:adjustRightInd w:val="0"/>
        <w:rPr>
          <w:sz w:val="22"/>
          <w:szCs w:val="22"/>
          <w:lang w:val="pl-PL"/>
        </w:rPr>
      </w:pPr>
    </w:p>
    <w:p w14:paraId="3AF5FC31" w14:textId="7B5E21EA" w:rsidR="00D33C5F" w:rsidRPr="00374609" w:rsidRDefault="006B6119" w:rsidP="00C51997">
      <w:pPr>
        <w:autoSpaceDE w:val="0"/>
        <w:autoSpaceDN w:val="0"/>
        <w:adjustRightInd w:val="0"/>
        <w:rPr>
          <w:sz w:val="22"/>
          <w:szCs w:val="22"/>
          <w:lang w:val="pl-PL"/>
        </w:rPr>
      </w:pPr>
      <w:r>
        <w:rPr>
          <w:sz w:val="22"/>
          <w:szCs w:val="22"/>
          <w:lang w:val="pl-PL"/>
        </w:rPr>
        <w:t>07.01.2021 r.</w:t>
      </w:r>
      <w:bookmarkStart w:id="2" w:name="_GoBack"/>
      <w:bookmarkEnd w:id="2"/>
    </w:p>
    <w:sectPr w:rsidR="00D33C5F" w:rsidRPr="00374609" w:rsidSect="006E5CC8">
      <w:footerReference w:type="even" r:id="rId9"/>
      <w:footerReference w:type="default" r:id="rId10"/>
      <w:footerReference w:type="first" r:id="rId11"/>
      <w:pgSz w:w="11907" w:h="16839" w:code="9"/>
      <w:pgMar w:top="1417" w:right="1417" w:bottom="1417" w:left="1417" w:header="737" w:footer="73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3A95E" w14:textId="77777777" w:rsidR="00D30BD2" w:rsidRDefault="00D30BD2">
      <w:r>
        <w:separator/>
      </w:r>
    </w:p>
  </w:endnote>
  <w:endnote w:type="continuationSeparator" w:id="0">
    <w:p w14:paraId="6723B0C4" w14:textId="77777777" w:rsidR="00D30BD2" w:rsidRDefault="00D3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05FD" w14:textId="77777777" w:rsidR="00D33C5F" w:rsidRDefault="00D33C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4635F7B" w14:textId="77777777" w:rsidR="00D33C5F" w:rsidRDefault="00D33C5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83E2C" w14:textId="77777777" w:rsidR="00D33C5F" w:rsidRDefault="00D33C5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426AA">
      <w:rPr>
        <w:rStyle w:val="Numerstrony"/>
        <w:noProof/>
      </w:rPr>
      <w:t>3</w:t>
    </w:r>
    <w:r>
      <w:rPr>
        <w:rStyle w:val="Numerstrony"/>
      </w:rPr>
      <w:fldChar w:fldCharType="end"/>
    </w:r>
  </w:p>
  <w:p w14:paraId="5F75EAEF" w14:textId="77777777" w:rsidR="00D33C5F" w:rsidRDefault="00D33C5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C359" w14:textId="77777777" w:rsidR="00D33C5F" w:rsidRDefault="00D33C5F" w:rsidP="003910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426AA">
      <w:rPr>
        <w:rStyle w:val="Numerstrony"/>
        <w:noProof/>
      </w:rPr>
      <w:t>1</w:t>
    </w:r>
    <w:r>
      <w:rPr>
        <w:rStyle w:val="Numerstrony"/>
      </w:rPr>
      <w:fldChar w:fldCharType="end"/>
    </w:r>
  </w:p>
  <w:p w14:paraId="4CBB07D8" w14:textId="77777777" w:rsidR="00D33C5F" w:rsidRDefault="00D33C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1C4D" w14:textId="77777777" w:rsidR="00D30BD2" w:rsidRDefault="00D30BD2">
      <w:r>
        <w:separator/>
      </w:r>
    </w:p>
  </w:footnote>
  <w:footnote w:type="continuationSeparator" w:id="0">
    <w:p w14:paraId="3F0259E1" w14:textId="77777777" w:rsidR="00D30BD2" w:rsidRDefault="00D30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F5B8D"/>
    <w:multiLevelType w:val="hybridMultilevel"/>
    <w:tmpl w:val="FE9C343E"/>
    <w:lvl w:ilvl="0" w:tplc="66E859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9172950"/>
    <w:multiLevelType w:val="hybridMultilevel"/>
    <w:tmpl w:val="37DAEEB4"/>
    <w:lvl w:ilvl="0" w:tplc="82265420">
      <w:numFmt w:val="bullet"/>
      <w:lvlText w:val="-"/>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C7206"/>
    <w:multiLevelType w:val="hybridMultilevel"/>
    <w:tmpl w:val="4E72D6EC"/>
    <w:lvl w:ilvl="0" w:tplc="66E8594A">
      <w:start w:val="1"/>
      <w:numFmt w:val="bullet"/>
      <w:lvlText w:val=""/>
      <w:lvlJc w:val="left"/>
      <w:pPr>
        <w:ind w:left="837"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8703981"/>
    <w:multiLevelType w:val="hybridMultilevel"/>
    <w:tmpl w:val="D54EC528"/>
    <w:lvl w:ilvl="0" w:tplc="C7D494AA">
      <w:start w:val="4"/>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997"/>
    <w:rsid w:val="00015F44"/>
    <w:rsid w:val="000208E2"/>
    <w:rsid w:val="000346C6"/>
    <w:rsid w:val="00051302"/>
    <w:rsid w:val="00054EB3"/>
    <w:rsid w:val="0006473E"/>
    <w:rsid w:val="00072825"/>
    <w:rsid w:val="0007383D"/>
    <w:rsid w:val="00087DAA"/>
    <w:rsid w:val="00091AE8"/>
    <w:rsid w:val="000A1363"/>
    <w:rsid w:val="000A2E30"/>
    <w:rsid w:val="000A6B61"/>
    <w:rsid w:val="000B30DC"/>
    <w:rsid w:val="000F169D"/>
    <w:rsid w:val="0012200D"/>
    <w:rsid w:val="001433C8"/>
    <w:rsid w:val="001559C3"/>
    <w:rsid w:val="0016104E"/>
    <w:rsid w:val="001716D3"/>
    <w:rsid w:val="001810EC"/>
    <w:rsid w:val="00186B42"/>
    <w:rsid w:val="001D0FDE"/>
    <w:rsid w:val="001E085F"/>
    <w:rsid w:val="001F4778"/>
    <w:rsid w:val="001F714F"/>
    <w:rsid w:val="00201BB9"/>
    <w:rsid w:val="00223053"/>
    <w:rsid w:val="00227B58"/>
    <w:rsid w:val="00250A74"/>
    <w:rsid w:val="00254994"/>
    <w:rsid w:val="00261964"/>
    <w:rsid w:val="002722E1"/>
    <w:rsid w:val="0028107B"/>
    <w:rsid w:val="002839C4"/>
    <w:rsid w:val="00283ACA"/>
    <w:rsid w:val="002A157C"/>
    <w:rsid w:val="002C2F52"/>
    <w:rsid w:val="002C446B"/>
    <w:rsid w:val="002C60AF"/>
    <w:rsid w:val="002D0935"/>
    <w:rsid w:val="002D5E81"/>
    <w:rsid w:val="002E382A"/>
    <w:rsid w:val="002E4314"/>
    <w:rsid w:val="00323C7F"/>
    <w:rsid w:val="00336971"/>
    <w:rsid w:val="00351775"/>
    <w:rsid w:val="003525B3"/>
    <w:rsid w:val="00357D89"/>
    <w:rsid w:val="00361CB5"/>
    <w:rsid w:val="00362AC6"/>
    <w:rsid w:val="00371E8C"/>
    <w:rsid w:val="00374609"/>
    <w:rsid w:val="00380DF4"/>
    <w:rsid w:val="00387A15"/>
    <w:rsid w:val="00391055"/>
    <w:rsid w:val="00393851"/>
    <w:rsid w:val="00395108"/>
    <w:rsid w:val="003A4993"/>
    <w:rsid w:val="003C40D1"/>
    <w:rsid w:val="003D038F"/>
    <w:rsid w:val="003E22F6"/>
    <w:rsid w:val="003E277A"/>
    <w:rsid w:val="003E3507"/>
    <w:rsid w:val="003E6209"/>
    <w:rsid w:val="003E6C72"/>
    <w:rsid w:val="003F2E7D"/>
    <w:rsid w:val="003F4559"/>
    <w:rsid w:val="004005EB"/>
    <w:rsid w:val="00422665"/>
    <w:rsid w:val="00422B47"/>
    <w:rsid w:val="00441ECE"/>
    <w:rsid w:val="0044293D"/>
    <w:rsid w:val="00454356"/>
    <w:rsid w:val="00454621"/>
    <w:rsid w:val="00460583"/>
    <w:rsid w:val="00470A77"/>
    <w:rsid w:val="004721CB"/>
    <w:rsid w:val="00494765"/>
    <w:rsid w:val="00495422"/>
    <w:rsid w:val="004961B1"/>
    <w:rsid w:val="004A4715"/>
    <w:rsid w:val="004B2212"/>
    <w:rsid w:val="004C57A8"/>
    <w:rsid w:val="004C5B5E"/>
    <w:rsid w:val="004E22FE"/>
    <w:rsid w:val="00503874"/>
    <w:rsid w:val="00510F7B"/>
    <w:rsid w:val="0051157E"/>
    <w:rsid w:val="00523D12"/>
    <w:rsid w:val="005244EB"/>
    <w:rsid w:val="00532753"/>
    <w:rsid w:val="00536105"/>
    <w:rsid w:val="005426AA"/>
    <w:rsid w:val="00561636"/>
    <w:rsid w:val="00586BCE"/>
    <w:rsid w:val="005A0464"/>
    <w:rsid w:val="005A7A33"/>
    <w:rsid w:val="005B0438"/>
    <w:rsid w:val="005E5785"/>
    <w:rsid w:val="006157B1"/>
    <w:rsid w:val="00615AA1"/>
    <w:rsid w:val="006200BB"/>
    <w:rsid w:val="00623128"/>
    <w:rsid w:val="006305AD"/>
    <w:rsid w:val="00635D73"/>
    <w:rsid w:val="00636EB5"/>
    <w:rsid w:val="00641513"/>
    <w:rsid w:val="006435BE"/>
    <w:rsid w:val="006623FE"/>
    <w:rsid w:val="006631F4"/>
    <w:rsid w:val="0068497F"/>
    <w:rsid w:val="00696F4D"/>
    <w:rsid w:val="006A5709"/>
    <w:rsid w:val="006B6119"/>
    <w:rsid w:val="006C4550"/>
    <w:rsid w:val="006D2102"/>
    <w:rsid w:val="006E5070"/>
    <w:rsid w:val="006E5CC8"/>
    <w:rsid w:val="006F362F"/>
    <w:rsid w:val="00702A24"/>
    <w:rsid w:val="00703EB7"/>
    <w:rsid w:val="00712631"/>
    <w:rsid w:val="0072040C"/>
    <w:rsid w:val="00723542"/>
    <w:rsid w:val="00741300"/>
    <w:rsid w:val="007421A9"/>
    <w:rsid w:val="00756D1B"/>
    <w:rsid w:val="00771A91"/>
    <w:rsid w:val="00787E14"/>
    <w:rsid w:val="007B2734"/>
    <w:rsid w:val="007B6A0C"/>
    <w:rsid w:val="007D1513"/>
    <w:rsid w:val="007E07D3"/>
    <w:rsid w:val="007F2887"/>
    <w:rsid w:val="008139F3"/>
    <w:rsid w:val="00824535"/>
    <w:rsid w:val="008259C4"/>
    <w:rsid w:val="00840AEB"/>
    <w:rsid w:val="008460C7"/>
    <w:rsid w:val="00850203"/>
    <w:rsid w:val="00863149"/>
    <w:rsid w:val="0088394E"/>
    <w:rsid w:val="008860AF"/>
    <w:rsid w:val="008B3822"/>
    <w:rsid w:val="008C5271"/>
    <w:rsid w:val="008C6D18"/>
    <w:rsid w:val="008C7882"/>
    <w:rsid w:val="008D0A49"/>
    <w:rsid w:val="008F44F5"/>
    <w:rsid w:val="009172A9"/>
    <w:rsid w:val="00925F4E"/>
    <w:rsid w:val="0093643E"/>
    <w:rsid w:val="00943550"/>
    <w:rsid w:val="00946A96"/>
    <w:rsid w:val="00977F3C"/>
    <w:rsid w:val="009A767C"/>
    <w:rsid w:val="009C163A"/>
    <w:rsid w:val="009D334A"/>
    <w:rsid w:val="009D5CA2"/>
    <w:rsid w:val="009D7510"/>
    <w:rsid w:val="009E4AE3"/>
    <w:rsid w:val="009E692C"/>
    <w:rsid w:val="00A06F10"/>
    <w:rsid w:val="00A24A44"/>
    <w:rsid w:val="00A27A20"/>
    <w:rsid w:val="00A35ACC"/>
    <w:rsid w:val="00A40BF0"/>
    <w:rsid w:val="00A518C4"/>
    <w:rsid w:val="00A52E05"/>
    <w:rsid w:val="00A54AA8"/>
    <w:rsid w:val="00A60BE7"/>
    <w:rsid w:val="00A775F2"/>
    <w:rsid w:val="00A90AF3"/>
    <w:rsid w:val="00A921FE"/>
    <w:rsid w:val="00AA308C"/>
    <w:rsid w:val="00AB1535"/>
    <w:rsid w:val="00AB4BB1"/>
    <w:rsid w:val="00AD4867"/>
    <w:rsid w:val="00AF6CD0"/>
    <w:rsid w:val="00B1347F"/>
    <w:rsid w:val="00B3203E"/>
    <w:rsid w:val="00B34975"/>
    <w:rsid w:val="00B35D31"/>
    <w:rsid w:val="00B41BE6"/>
    <w:rsid w:val="00B41E91"/>
    <w:rsid w:val="00B53572"/>
    <w:rsid w:val="00B56D60"/>
    <w:rsid w:val="00B865DD"/>
    <w:rsid w:val="00BA4173"/>
    <w:rsid w:val="00BA72CC"/>
    <w:rsid w:val="00BB671A"/>
    <w:rsid w:val="00BC2F05"/>
    <w:rsid w:val="00BF1A8F"/>
    <w:rsid w:val="00C2450B"/>
    <w:rsid w:val="00C33972"/>
    <w:rsid w:val="00C51997"/>
    <w:rsid w:val="00C5418F"/>
    <w:rsid w:val="00C623CC"/>
    <w:rsid w:val="00C67AA3"/>
    <w:rsid w:val="00C90B52"/>
    <w:rsid w:val="00C97BB8"/>
    <w:rsid w:val="00CA49CB"/>
    <w:rsid w:val="00CA5D13"/>
    <w:rsid w:val="00CC6A18"/>
    <w:rsid w:val="00CE2CAF"/>
    <w:rsid w:val="00D1061B"/>
    <w:rsid w:val="00D121E5"/>
    <w:rsid w:val="00D25DA8"/>
    <w:rsid w:val="00D30BD2"/>
    <w:rsid w:val="00D3143B"/>
    <w:rsid w:val="00D33C5F"/>
    <w:rsid w:val="00D4301F"/>
    <w:rsid w:val="00D43DEF"/>
    <w:rsid w:val="00D536D1"/>
    <w:rsid w:val="00D55BBF"/>
    <w:rsid w:val="00D82D4E"/>
    <w:rsid w:val="00DA7FC9"/>
    <w:rsid w:val="00DB4197"/>
    <w:rsid w:val="00DC0969"/>
    <w:rsid w:val="00DC13BD"/>
    <w:rsid w:val="00DC2A69"/>
    <w:rsid w:val="00DD538A"/>
    <w:rsid w:val="00DF61ED"/>
    <w:rsid w:val="00E3239E"/>
    <w:rsid w:val="00E3681C"/>
    <w:rsid w:val="00E43E90"/>
    <w:rsid w:val="00E47D43"/>
    <w:rsid w:val="00E9414F"/>
    <w:rsid w:val="00ED4575"/>
    <w:rsid w:val="00ED7198"/>
    <w:rsid w:val="00EE29B4"/>
    <w:rsid w:val="00F05A4A"/>
    <w:rsid w:val="00F473A0"/>
    <w:rsid w:val="00F633EA"/>
    <w:rsid w:val="00F66299"/>
    <w:rsid w:val="00F77954"/>
    <w:rsid w:val="00F80DBB"/>
    <w:rsid w:val="00F81D07"/>
    <w:rsid w:val="00FC46F2"/>
    <w:rsid w:val="00FD2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0F6FF0"/>
  <w15:docId w15:val="{FB6779C9-893E-4C92-A101-52B2D1CF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4975"/>
    <w:rPr>
      <w:sz w:val="24"/>
      <w:szCs w:val="24"/>
      <w:lang w:val="en-GB"/>
    </w:rPr>
  </w:style>
  <w:style w:type="paragraph" w:styleId="Nagwek1">
    <w:name w:val="heading 1"/>
    <w:basedOn w:val="Normalny"/>
    <w:next w:val="Normalny"/>
    <w:link w:val="Nagwek1Znak"/>
    <w:uiPriority w:val="99"/>
    <w:qFormat/>
    <w:rsid w:val="00B34975"/>
    <w:pPr>
      <w:keepNext/>
      <w:autoSpaceDE w:val="0"/>
      <w:autoSpaceDN w:val="0"/>
      <w:adjustRightInd w:val="0"/>
      <w:outlineLvl w:val="0"/>
    </w:pPr>
    <w:rPr>
      <w:sz w:val="22"/>
      <w:szCs w:val="22"/>
      <w:u w:val="single"/>
      <w:lang w:val="pl-PL"/>
    </w:rPr>
  </w:style>
  <w:style w:type="paragraph" w:styleId="Nagwek2">
    <w:name w:val="heading 2"/>
    <w:basedOn w:val="Normalny"/>
    <w:next w:val="Normalny"/>
    <w:link w:val="Nagwek2Znak"/>
    <w:uiPriority w:val="99"/>
    <w:qFormat/>
    <w:rsid w:val="00B34975"/>
    <w:pPr>
      <w:keepNext/>
      <w:autoSpaceDE w:val="0"/>
      <w:autoSpaceDN w:val="0"/>
      <w:adjustRightInd w:val="0"/>
      <w:spacing w:before="240"/>
      <w:outlineLvl w:val="1"/>
    </w:pPr>
    <w:rPr>
      <w:b/>
      <w:bCs/>
      <w:sz w:val="22"/>
      <w:szCs w:val="22"/>
      <w:lang w:val="pl-PL"/>
    </w:rPr>
  </w:style>
  <w:style w:type="paragraph" w:styleId="Nagwek3">
    <w:name w:val="heading 3"/>
    <w:basedOn w:val="Normalny"/>
    <w:next w:val="Normalny"/>
    <w:link w:val="Nagwek3Znak"/>
    <w:uiPriority w:val="99"/>
    <w:qFormat/>
    <w:rsid w:val="00B34975"/>
    <w:pPr>
      <w:keepNext/>
      <w:autoSpaceDE w:val="0"/>
      <w:autoSpaceDN w:val="0"/>
      <w:adjustRightInd w:val="0"/>
      <w:outlineLvl w:val="2"/>
    </w:pPr>
    <w:rPr>
      <w:bCs/>
      <w:u w:val="single"/>
      <w:lang w:val="pl-PL"/>
    </w:rPr>
  </w:style>
  <w:style w:type="paragraph" w:styleId="Nagwek4">
    <w:name w:val="heading 4"/>
    <w:basedOn w:val="Normalny"/>
    <w:next w:val="Normalny"/>
    <w:link w:val="Nagwek4Znak"/>
    <w:uiPriority w:val="99"/>
    <w:qFormat/>
    <w:rsid w:val="00B34975"/>
    <w:pPr>
      <w:keepNext/>
      <w:widowControl w:val="0"/>
      <w:jc w:val="both"/>
      <w:outlineLvl w:val="3"/>
    </w:pPr>
    <w:rPr>
      <w:szCs w:val="20"/>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F9"/>
    <w:rPr>
      <w:rFonts w:asciiTheme="majorHAnsi" w:eastAsiaTheme="majorEastAsia" w:hAnsiTheme="majorHAnsi" w:cstheme="majorBidi"/>
      <w:b/>
      <w:bCs/>
      <w:kern w:val="32"/>
      <w:sz w:val="32"/>
      <w:szCs w:val="32"/>
      <w:lang w:val="en-GB"/>
    </w:rPr>
  </w:style>
  <w:style w:type="character" w:customStyle="1" w:styleId="Nagwek2Znak">
    <w:name w:val="Nagłówek 2 Znak"/>
    <w:basedOn w:val="Domylnaczcionkaakapitu"/>
    <w:link w:val="Nagwek2"/>
    <w:uiPriority w:val="9"/>
    <w:semiHidden/>
    <w:rsid w:val="00554FF9"/>
    <w:rPr>
      <w:rFonts w:asciiTheme="majorHAnsi" w:eastAsiaTheme="majorEastAsia" w:hAnsiTheme="majorHAnsi" w:cstheme="majorBidi"/>
      <w:b/>
      <w:bCs/>
      <w:i/>
      <w:iCs/>
      <w:sz w:val="28"/>
      <w:szCs w:val="28"/>
      <w:lang w:val="en-GB"/>
    </w:rPr>
  </w:style>
  <w:style w:type="character" w:customStyle="1" w:styleId="Nagwek3Znak">
    <w:name w:val="Nagłówek 3 Znak"/>
    <w:basedOn w:val="Domylnaczcionkaakapitu"/>
    <w:link w:val="Nagwek3"/>
    <w:uiPriority w:val="9"/>
    <w:semiHidden/>
    <w:rsid w:val="00554FF9"/>
    <w:rPr>
      <w:rFonts w:asciiTheme="majorHAnsi" w:eastAsiaTheme="majorEastAsia" w:hAnsiTheme="majorHAnsi" w:cstheme="majorBidi"/>
      <w:b/>
      <w:bCs/>
      <w:sz w:val="26"/>
      <w:szCs w:val="26"/>
      <w:lang w:val="en-GB"/>
    </w:rPr>
  </w:style>
  <w:style w:type="character" w:customStyle="1" w:styleId="Nagwek4Znak">
    <w:name w:val="Nagłówek 4 Znak"/>
    <w:basedOn w:val="Domylnaczcionkaakapitu"/>
    <w:link w:val="Nagwek4"/>
    <w:uiPriority w:val="9"/>
    <w:semiHidden/>
    <w:rsid w:val="00554FF9"/>
    <w:rPr>
      <w:rFonts w:asciiTheme="minorHAnsi" w:eastAsiaTheme="minorEastAsia" w:hAnsiTheme="minorHAnsi" w:cstheme="minorBidi"/>
      <w:b/>
      <w:bCs/>
      <w:sz w:val="28"/>
      <w:szCs w:val="28"/>
      <w:lang w:val="en-GB"/>
    </w:rPr>
  </w:style>
  <w:style w:type="paragraph" w:styleId="Tytu">
    <w:name w:val="Title"/>
    <w:basedOn w:val="Normalny"/>
    <w:link w:val="TytuZnak"/>
    <w:uiPriority w:val="99"/>
    <w:qFormat/>
    <w:rsid w:val="00B34975"/>
    <w:pPr>
      <w:autoSpaceDE w:val="0"/>
      <w:autoSpaceDN w:val="0"/>
      <w:adjustRightInd w:val="0"/>
      <w:jc w:val="center"/>
    </w:pPr>
    <w:rPr>
      <w:b/>
      <w:bCs/>
      <w:sz w:val="22"/>
    </w:rPr>
  </w:style>
  <w:style w:type="character" w:customStyle="1" w:styleId="TytuZnak">
    <w:name w:val="Tytuł Znak"/>
    <w:basedOn w:val="Domylnaczcionkaakapitu"/>
    <w:link w:val="Tytu"/>
    <w:uiPriority w:val="10"/>
    <w:rsid w:val="00554FF9"/>
    <w:rPr>
      <w:rFonts w:asciiTheme="majorHAnsi" w:eastAsiaTheme="majorEastAsia" w:hAnsiTheme="majorHAnsi" w:cstheme="majorBidi"/>
      <w:b/>
      <w:bCs/>
      <w:kern w:val="28"/>
      <w:sz w:val="32"/>
      <w:szCs w:val="32"/>
      <w:lang w:val="en-GB"/>
    </w:rPr>
  </w:style>
  <w:style w:type="paragraph" w:styleId="Tekstpodstawowy2">
    <w:name w:val="Body Text 2"/>
    <w:basedOn w:val="Normalny"/>
    <w:link w:val="Tekstpodstawowy2Znak"/>
    <w:uiPriority w:val="99"/>
    <w:rsid w:val="00B34975"/>
    <w:pPr>
      <w:autoSpaceDE w:val="0"/>
      <w:autoSpaceDN w:val="0"/>
      <w:adjustRightInd w:val="0"/>
    </w:pPr>
    <w:rPr>
      <w:sz w:val="22"/>
      <w:szCs w:val="22"/>
      <w:lang w:val="pl-PL"/>
    </w:rPr>
  </w:style>
  <w:style w:type="character" w:customStyle="1" w:styleId="Tekstpodstawowy2Znak">
    <w:name w:val="Tekst podstawowy 2 Znak"/>
    <w:basedOn w:val="Domylnaczcionkaakapitu"/>
    <w:link w:val="Tekstpodstawowy2"/>
    <w:uiPriority w:val="99"/>
    <w:semiHidden/>
    <w:rsid w:val="00554FF9"/>
    <w:rPr>
      <w:sz w:val="24"/>
      <w:szCs w:val="24"/>
      <w:lang w:val="en-GB"/>
    </w:rPr>
  </w:style>
  <w:style w:type="paragraph" w:styleId="Tekstpodstawowywcity2">
    <w:name w:val="Body Text Indent 2"/>
    <w:basedOn w:val="Normalny"/>
    <w:link w:val="Tekstpodstawowywcity2Znak"/>
    <w:uiPriority w:val="99"/>
    <w:rsid w:val="00B34975"/>
    <w:pPr>
      <w:ind w:left="284"/>
      <w:jc w:val="both"/>
    </w:pPr>
    <w:rPr>
      <w:szCs w:val="20"/>
      <w:lang w:val="pl-PL"/>
    </w:rPr>
  </w:style>
  <w:style w:type="character" w:customStyle="1" w:styleId="Tekstpodstawowywcity2Znak">
    <w:name w:val="Tekst podstawowy wcięty 2 Znak"/>
    <w:basedOn w:val="Domylnaczcionkaakapitu"/>
    <w:link w:val="Tekstpodstawowywcity2"/>
    <w:uiPriority w:val="99"/>
    <w:semiHidden/>
    <w:rsid w:val="00554FF9"/>
    <w:rPr>
      <w:sz w:val="24"/>
      <w:szCs w:val="24"/>
      <w:lang w:val="en-GB"/>
    </w:rPr>
  </w:style>
  <w:style w:type="paragraph" w:styleId="Stopka">
    <w:name w:val="footer"/>
    <w:basedOn w:val="Normalny"/>
    <w:link w:val="StopkaZnak"/>
    <w:uiPriority w:val="99"/>
    <w:rsid w:val="00B34975"/>
    <w:pPr>
      <w:tabs>
        <w:tab w:val="center" w:pos="4536"/>
        <w:tab w:val="right" w:pos="9072"/>
      </w:tabs>
    </w:pPr>
  </w:style>
  <w:style w:type="character" w:customStyle="1" w:styleId="StopkaZnak">
    <w:name w:val="Stopka Znak"/>
    <w:basedOn w:val="Domylnaczcionkaakapitu"/>
    <w:link w:val="Stopka"/>
    <w:uiPriority w:val="99"/>
    <w:semiHidden/>
    <w:rsid w:val="00554FF9"/>
    <w:rPr>
      <w:sz w:val="24"/>
      <w:szCs w:val="24"/>
      <w:lang w:val="en-GB"/>
    </w:rPr>
  </w:style>
  <w:style w:type="character" w:styleId="Numerstrony">
    <w:name w:val="page number"/>
    <w:basedOn w:val="Domylnaczcionkaakapitu"/>
    <w:uiPriority w:val="99"/>
    <w:rsid w:val="00B34975"/>
    <w:rPr>
      <w:rFonts w:cs="Times New Roman"/>
    </w:rPr>
  </w:style>
  <w:style w:type="paragraph" w:styleId="Tekstdymka">
    <w:name w:val="Balloon Text"/>
    <w:basedOn w:val="Normalny"/>
    <w:link w:val="TekstdymkaZnak"/>
    <w:uiPriority w:val="99"/>
    <w:semiHidden/>
    <w:rsid w:val="00B34975"/>
    <w:rPr>
      <w:rFonts w:ascii="Tahoma" w:hAnsi="Tahoma" w:cs="Tahoma"/>
      <w:sz w:val="16"/>
      <w:szCs w:val="16"/>
    </w:rPr>
  </w:style>
  <w:style w:type="character" w:customStyle="1" w:styleId="TekstdymkaZnak">
    <w:name w:val="Tekst dymka Znak"/>
    <w:basedOn w:val="Domylnaczcionkaakapitu"/>
    <w:link w:val="Tekstdymka"/>
    <w:uiPriority w:val="99"/>
    <w:semiHidden/>
    <w:rsid w:val="00554FF9"/>
    <w:rPr>
      <w:sz w:val="0"/>
      <w:szCs w:val="0"/>
      <w:lang w:val="en-GB"/>
    </w:rPr>
  </w:style>
  <w:style w:type="paragraph" w:styleId="Nagwek">
    <w:name w:val="header"/>
    <w:basedOn w:val="Normalny"/>
    <w:link w:val="NagwekZnak"/>
    <w:uiPriority w:val="99"/>
    <w:rsid w:val="00391055"/>
    <w:pPr>
      <w:tabs>
        <w:tab w:val="center" w:pos="4536"/>
        <w:tab w:val="right" w:pos="9072"/>
      </w:tabs>
    </w:pPr>
  </w:style>
  <w:style w:type="character" w:customStyle="1" w:styleId="NagwekZnak">
    <w:name w:val="Nagłówek Znak"/>
    <w:basedOn w:val="Domylnaczcionkaakapitu"/>
    <w:link w:val="Nagwek"/>
    <w:uiPriority w:val="99"/>
    <w:locked/>
    <w:rsid w:val="00391055"/>
    <w:rPr>
      <w:rFonts w:cs="Times New Roman"/>
      <w:sz w:val="24"/>
      <w:szCs w:val="24"/>
      <w:lang w:val="en-GB"/>
    </w:rPr>
  </w:style>
  <w:style w:type="character" w:styleId="Hipercze">
    <w:name w:val="Hyperlink"/>
    <w:basedOn w:val="Domylnaczcionkaakapitu"/>
    <w:uiPriority w:val="99"/>
    <w:rsid w:val="008C6D18"/>
    <w:rPr>
      <w:rFonts w:cs="Times New Roman"/>
      <w:color w:val="0000FF"/>
      <w:u w:val="single"/>
    </w:rPr>
  </w:style>
  <w:style w:type="paragraph" w:styleId="Akapitzlist">
    <w:name w:val="List Paragraph"/>
    <w:basedOn w:val="Normalny"/>
    <w:uiPriority w:val="99"/>
    <w:qFormat/>
    <w:rsid w:val="00536105"/>
    <w:pPr>
      <w:widowControl w:val="0"/>
      <w:spacing w:after="200" w:line="276" w:lineRule="auto"/>
      <w:ind w:left="720"/>
      <w:contextualSpacing/>
    </w:pPr>
    <w:rPr>
      <w:rFonts w:ascii="Calibri" w:hAnsi="Calibri"/>
      <w:sz w:val="22"/>
      <w:szCs w:val="22"/>
      <w:lang w:val="en-US" w:eastAsia="en-US"/>
    </w:rPr>
  </w:style>
  <w:style w:type="character" w:styleId="Odwoaniedokomentarza">
    <w:name w:val="annotation reference"/>
    <w:basedOn w:val="Domylnaczcionkaakapitu"/>
    <w:uiPriority w:val="99"/>
    <w:rsid w:val="008139F3"/>
    <w:rPr>
      <w:rFonts w:cs="Times New Roman"/>
      <w:sz w:val="16"/>
      <w:szCs w:val="16"/>
    </w:rPr>
  </w:style>
  <w:style w:type="paragraph" w:styleId="Tekstkomentarza">
    <w:name w:val="annotation text"/>
    <w:basedOn w:val="Normalny"/>
    <w:link w:val="TekstkomentarzaZnak"/>
    <w:uiPriority w:val="99"/>
    <w:rsid w:val="008139F3"/>
    <w:rPr>
      <w:sz w:val="20"/>
      <w:szCs w:val="20"/>
    </w:rPr>
  </w:style>
  <w:style w:type="character" w:customStyle="1" w:styleId="TekstkomentarzaZnak">
    <w:name w:val="Tekst komentarza Znak"/>
    <w:basedOn w:val="Domylnaczcionkaakapitu"/>
    <w:link w:val="Tekstkomentarza"/>
    <w:uiPriority w:val="99"/>
    <w:locked/>
    <w:rsid w:val="008139F3"/>
    <w:rPr>
      <w:rFonts w:cs="Times New Roman"/>
      <w:lang w:val="en-GB"/>
    </w:rPr>
  </w:style>
  <w:style w:type="paragraph" w:styleId="Tematkomentarza">
    <w:name w:val="annotation subject"/>
    <w:basedOn w:val="Tekstkomentarza"/>
    <w:next w:val="Tekstkomentarza"/>
    <w:link w:val="TematkomentarzaZnak"/>
    <w:uiPriority w:val="99"/>
    <w:rsid w:val="008139F3"/>
    <w:rPr>
      <w:b/>
      <w:bCs/>
    </w:rPr>
  </w:style>
  <w:style w:type="character" w:customStyle="1" w:styleId="TematkomentarzaZnak">
    <w:name w:val="Temat komentarza Znak"/>
    <w:basedOn w:val="TekstkomentarzaZnak"/>
    <w:link w:val="Tematkomentarza"/>
    <w:uiPriority w:val="99"/>
    <w:locked/>
    <w:rsid w:val="008139F3"/>
    <w:rPr>
      <w:rFonts w:cs="Times New Roman"/>
      <w:b/>
      <w:bCs/>
      <w:lang w:val="en-GB"/>
    </w:rPr>
  </w:style>
  <w:style w:type="character" w:customStyle="1" w:styleId="Nierozpoznanawzmianka1">
    <w:name w:val="Nierozpoznana wzmianka1"/>
    <w:basedOn w:val="Domylnaczcionkaakapitu"/>
    <w:uiPriority w:val="99"/>
    <w:semiHidden/>
    <w:unhideWhenUsed/>
    <w:rsid w:val="00227B58"/>
    <w:rPr>
      <w:color w:val="605E5C"/>
      <w:shd w:val="clear" w:color="auto" w:fill="E1DFDD"/>
    </w:rPr>
  </w:style>
  <w:style w:type="table" w:styleId="Tabela-Siatka">
    <w:name w:val="Table Grid"/>
    <w:basedOn w:val="Standardowy"/>
    <w:uiPriority w:val="59"/>
    <w:rsid w:val="0008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z.ezdrow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F54A2-F663-4D7A-8842-98ADDFA3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3887</Words>
  <Characters>23326</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CHARAKTERYSTYKA PRODUKTU LECZNICZEGO</vt:lpstr>
    </vt:vector>
  </TitlesOfParts>
  <Company>Valeant</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creator>Canada</dc:creator>
  <cp:lastModifiedBy>Wnuk, Zofia</cp:lastModifiedBy>
  <cp:revision>3</cp:revision>
  <cp:lastPrinted>2012-03-23T08:53:00Z</cp:lastPrinted>
  <dcterms:created xsi:type="dcterms:W3CDTF">2020-12-11T13:27:00Z</dcterms:created>
  <dcterms:modified xsi:type="dcterms:W3CDTF">2021-01-15T13:38:00Z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29fb7-f777-4feb-b84e-0390c1a7ed44_Enabled">
    <vt:lpwstr>true</vt:lpwstr>
  </property>
  <property fmtid="{D5CDD505-2E9C-101B-9397-08002B2CF9AE}" pid="3" name="MSIP_Label_36129fb7-f777-4feb-b84e-0390c1a7ed44_SetDate">
    <vt:lpwstr>2022-04-03T07:13:28Z</vt:lpwstr>
  </property>
  <property fmtid="{D5CDD505-2E9C-101B-9397-08002B2CF9AE}" pid="4" name="MSIP_Label_36129fb7-f777-4feb-b84e-0390c1a7ed44_Method">
    <vt:lpwstr>Standard</vt:lpwstr>
  </property>
  <property fmtid="{D5CDD505-2E9C-101B-9397-08002B2CF9AE}" pid="5" name="MSIP_Label_36129fb7-f777-4feb-b84e-0390c1a7ed44_Name">
    <vt:lpwstr>CORP US-CAN Information Label</vt:lpwstr>
  </property>
  <property fmtid="{D5CDD505-2E9C-101B-9397-08002B2CF9AE}" pid="6" name="MSIP_Label_36129fb7-f777-4feb-b84e-0390c1a7ed44_SiteId">
    <vt:lpwstr>a72dda32-ee80-4da8-a3ac-ec0e9e41a50a</vt:lpwstr>
  </property>
  <property fmtid="{D5CDD505-2E9C-101B-9397-08002B2CF9AE}" pid="7" name="MSIP_Label_36129fb7-f777-4feb-b84e-0390c1a7ed44_ActionId">
    <vt:lpwstr>f08e659f-2c55-470f-bce6-a0d826f76c1c</vt:lpwstr>
  </property>
  <property fmtid="{D5CDD505-2E9C-101B-9397-08002B2CF9AE}" pid="8" name="MSIP_Label_36129fb7-f777-4feb-b84e-0390c1a7ed44_ContentBits">
    <vt:lpwstr>0</vt:lpwstr>
  </property>
</Properties>
</file>