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1FA92" w14:textId="77777777" w:rsidR="0079744C" w:rsidRPr="00837556" w:rsidRDefault="0079744C">
      <w:pPr>
        <w:pStyle w:val="Nagwek1"/>
        <w:jc w:val="center"/>
        <w:rPr>
          <w:sz w:val="22"/>
          <w:szCs w:val="22"/>
        </w:rPr>
      </w:pPr>
      <w:r w:rsidRPr="00837556">
        <w:rPr>
          <w:sz w:val="22"/>
          <w:szCs w:val="22"/>
        </w:rPr>
        <w:t>CHARAKTERYSTYKA PRODUKTU LECZNICZEGO</w:t>
      </w:r>
    </w:p>
    <w:p w14:paraId="5CD67114" w14:textId="77777777" w:rsidR="0079744C" w:rsidRPr="00837556" w:rsidRDefault="0079744C">
      <w:pPr>
        <w:rPr>
          <w:caps/>
          <w:sz w:val="22"/>
          <w:szCs w:val="22"/>
        </w:rPr>
      </w:pPr>
    </w:p>
    <w:p w14:paraId="29BCF564" w14:textId="77777777" w:rsidR="0079744C" w:rsidRPr="00837556" w:rsidRDefault="0079744C">
      <w:pPr>
        <w:rPr>
          <w:caps/>
          <w:sz w:val="22"/>
          <w:szCs w:val="22"/>
        </w:rPr>
      </w:pPr>
    </w:p>
    <w:p w14:paraId="511ED119" w14:textId="77777777" w:rsidR="0079744C" w:rsidRPr="00837556" w:rsidRDefault="0079744C">
      <w:pPr>
        <w:pStyle w:val="Nagwek1"/>
        <w:rPr>
          <w:caps/>
          <w:sz w:val="22"/>
          <w:szCs w:val="22"/>
        </w:rPr>
      </w:pPr>
      <w:r w:rsidRPr="00837556">
        <w:rPr>
          <w:caps/>
          <w:sz w:val="22"/>
          <w:szCs w:val="22"/>
        </w:rPr>
        <w:t>1. Nazwa produktu leczniczego</w:t>
      </w:r>
    </w:p>
    <w:p w14:paraId="264888C5" w14:textId="77777777" w:rsidR="0029381A" w:rsidRPr="00837556" w:rsidRDefault="0029381A" w:rsidP="00411C89">
      <w:pPr>
        <w:rPr>
          <w:sz w:val="22"/>
          <w:szCs w:val="22"/>
        </w:rPr>
      </w:pPr>
    </w:p>
    <w:p w14:paraId="47B3BB7E" w14:textId="77777777" w:rsidR="0079744C" w:rsidRPr="00837556" w:rsidRDefault="0079744C" w:rsidP="00411C89">
      <w:pPr>
        <w:pStyle w:val="Nagwek1"/>
        <w:rPr>
          <w:b w:val="0"/>
          <w:sz w:val="22"/>
          <w:szCs w:val="22"/>
          <w:lang w:val="en-US"/>
        </w:rPr>
      </w:pPr>
      <w:r w:rsidRPr="00837556">
        <w:rPr>
          <w:sz w:val="22"/>
          <w:szCs w:val="22"/>
        </w:rPr>
        <w:t xml:space="preserve"> </w:t>
      </w:r>
      <w:proofErr w:type="spellStart"/>
      <w:r w:rsidRPr="00837556">
        <w:rPr>
          <w:b w:val="0"/>
          <w:sz w:val="22"/>
          <w:szCs w:val="22"/>
          <w:lang w:val="en-US"/>
        </w:rPr>
        <w:t>L</w:t>
      </w:r>
      <w:r w:rsidR="00225735" w:rsidRPr="00837556">
        <w:rPr>
          <w:b w:val="0"/>
          <w:sz w:val="22"/>
          <w:szCs w:val="22"/>
          <w:lang w:val="en-US"/>
        </w:rPr>
        <w:t>orinden</w:t>
      </w:r>
      <w:proofErr w:type="spellEnd"/>
      <w:r w:rsidR="00225735" w:rsidRPr="00837556">
        <w:rPr>
          <w:b w:val="0"/>
          <w:sz w:val="22"/>
          <w:szCs w:val="22"/>
          <w:vertAlign w:val="superscript"/>
          <w:lang w:val="en-US"/>
        </w:rPr>
        <w:t xml:space="preserve"> </w:t>
      </w:r>
      <w:r w:rsidRPr="00837556">
        <w:rPr>
          <w:b w:val="0"/>
          <w:sz w:val="22"/>
          <w:szCs w:val="22"/>
          <w:lang w:val="en-US"/>
        </w:rPr>
        <w:t>A</w:t>
      </w:r>
      <w:r w:rsidR="00225735" w:rsidRPr="00837556">
        <w:rPr>
          <w:b w:val="0"/>
          <w:sz w:val="22"/>
          <w:szCs w:val="22"/>
          <w:lang w:val="en-US"/>
        </w:rPr>
        <w:t xml:space="preserve">, (0,2 mg + 30 mg)/g, </w:t>
      </w:r>
      <w:proofErr w:type="spellStart"/>
      <w:r w:rsidR="00225735" w:rsidRPr="00837556">
        <w:rPr>
          <w:b w:val="0"/>
          <w:sz w:val="22"/>
          <w:szCs w:val="22"/>
          <w:lang w:val="en-US"/>
        </w:rPr>
        <w:t>maść</w:t>
      </w:r>
      <w:proofErr w:type="spellEnd"/>
      <w:r w:rsidR="00225735" w:rsidRPr="00837556">
        <w:rPr>
          <w:b w:val="0"/>
          <w:sz w:val="22"/>
          <w:szCs w:val="22"/>
          <w:lang w:val="en-US"/>
        </w:rPr>
        <w:t xml:space="preserve"> </w:t>
      </w:r>
    </w:p>
    <w:p w14:paraId="552CA704" w14:textId="77777777" w:rsidR="0079744C" w:rsidRPr="00837556" w:rsidRDefault="0079744C">
      <w:pPr>
        <w:rPr>
          <w:caps/>
          <w:sz w:val="22"/>
          <w:szCs w:val="22"/>
          <w:lang w:val="en-US"/>
        </w:rPr>
      </w:pPr>
    </w:p>
    <w:p w14:paraId="2D1020EB" w14:textId="77777777" w:rsidR="0079744C" w:rsidRPr="00837556" w:rsidRDefault="0079744C">
      <w:pPr>
        <w:rPr>
          <w:caps/>
          <w:sz w:val="22"/>
          <w:szCs w:val="22"/>
          <w:lang w:val="en-US"/>
        </w:rPr>
      </w:pPr>
    </w:p>
    <w:p w14:paraId="5ECB9064" w14:textId="77777777" w:rsidR="0079744C" w:rsidRPr="00837556" w:rsidRDefault="0079744C">
      <w:pPr>
        <w:rPr>
          <w:b/>
          <w:bCs/>
          <w:caps/>
          <w:sz w:val="22"/>
          <w:szCs w:val="22"/>
        </w:rPr>
      </w:pPr>
      <w:r w:rsidRPr="00837556">
        <w:rPr>
          <w:b/>
          <w:bCs/>
          <w:caps/>
          <w:sz w:val="22"/>
          <w:szCs w:val="22"/>
        </w:rPr>
        <w:t>2. Skład jakościowy i ilościowy</w:t>
      </w:r>
    </w:p>
    <w:p w14:paraId="426F2EEF" w14:textId="77777777" w:rsidR="00225735" w:rsidRPr="00837556" w:rsidRDefault="00225735">
      <w:pPr>
        <w:rPr>
          <w:sz w:val="22"/>
          <w:szCs w:val="22"/>
        </w:rPr>
      </w:pPr>
    </w:p>
    <w:p w14:paraId="3E68622A" w14:textId="77777777" w:rsidR="0079744C" w:rsidRPr="00837556" w:rsidRDefault="0079744C">
      <w:pPr>
        <w:rPr>
          <w:i/>
          <w:iCs/>
          <w:sz w:val="22"/>
          <w:szCs w:val="22"/>
        </w:rPr>
      </w:pPr>
      <w:smartTag w:uri="urn:schemas-microsoft-com:office:smarttags" w:element="metricconverter">
        <w:smartTagPr>
          <w:attr w:name="ProductID" w:val="1 g"/>
        </w:smartTagPr>
        <w:r w:rsidRPr="00837556">
          <w:rPr>
            <w:sz w:val="22"/>
            <w:szCs w:val="22"/>
          </w:rPr>
          <w:t>1 g</w:t>
        </w:r>
      </w:smartTag>
      <w:r w:rsidRPr="00837556">
        <w:rPr>
          <w:sz w:val="22"/>
          <w:szCs w:val="22"/>
        </w:rPr>
        <w:t xml:space="preserve"> maści zawiera 0,2 mg </w:t>
      </w:r>
      <w:proofErr w:type="spellStart"/>
      <w:r w:rsidRPr="00837556">
        <w:rPr>
          <w:sz w:val="22"/>
          <w:szCs w:val="22"/>
        </w:rPr>
        <w:t>flumetazonu</w:t>
      </w:r>
      <w:proofErr w:type="spellEnd"/>
      <w:r w:rsidRPr="00837556">
        <w:rPr>
          <w:sz w:val="22"/>
          <w:szCs w:val="22"/>
        </w:rPr>
        <w:t xml:space="preserve"> </w:t>
      </w:r>
      <w:proofErr w:type="spellStart"/>
      <w:r w:rsidRPr="00837556">
        <w:rPr>
          <w:sz w:val="22"/>
          <w:szCs w:val="22"/>
        </w:rPr>
        <w:t>piwalanu</w:t>
      </w:r>
      <w:proofErr w:type="spellEnd"/>
      <w:r w:rsidRPr="00837556">
        <w:rPr>
          <w:sz w:val="22"/>
          <w:szCs w:val="22"/>
        </w:rPr>
        <w:t xml:space="preserve"> (</w:t>
      </w:r>
      <w:proofErr w:type="spellStart"/>
      <w:r w:rsidRPr="00837556">
        <w:rPr>
          <w:i/>
          <w:iCs/>
          <w:sz w:val="22"/>
          <w:szCs w:val="22"/>
        </w:rPr>
        <w:t>Flumetasoni</w:t>
      </w:r>
      <w:proofErr w:type="spellEnd"/>
      <w:r w:rsidRPr="00837556">
        <w:rPr>
          <w:i/>
          <w:iCs/>
          <w:sz w:val="22"/>
          <w:szCs w:val="22"/>
        </w:rPr>
        <w:t xml:space="preserve"> </w:t>
      </w:r>
      <w:proofErr w:type="spellStart"/>
      <w:r w:rsidRPr="00837556">
        <w:rPr>
          <w:i/>
          <w:iCs/>
          <w:sz w:val="22"/>
          <w:szCs w:val="22"/>
        </w:rPr>
        <w:t>pivalas</w:t>
      </w:r>
      <w:proofErr w:type="spellEnd"/>
      <w:r w:rsidRPr="00837556">
        <w:rPr>
          <w:i/>
          <w:iCs/>
          <w:sz w:val="22"/>
          <w:szCs w:val="22"/>
        </w:rPr>
        <w:t>)</w:t>
      </w:r>
      <w:r w:rsidRPr="00837556">
        <w:rPr>
          <w:sz w:val="22"/>
          <w:szCs w:val="22"/>
        </w:rPr>
        <w:t xml:space="preserve"> i 30 mg kwasu salicylowego </w:t>
      </w:r>
      <w:r w:rsidRPr="00837556">
        <w:rPr>
          <w:i/>
          <w:iCs/>
          <w:sz w:val="22"/>
          <w:szCs w:val="22"/>
        </w:rPr>
        <w:t>(</w:t>
      </w:r>
      <w:proofErr w:type="spellStart"/>
      <w:r w:rsidRPr="00837556">
        <w:rPr>
          <w:i/>
          <w:iCs/>
          <w:sz w:val="22"/>
          <w:szCs w:val="22"/>
        </w:rPr>
        <w:t>Acidum</w:t>
      </w:r>
      <w:proofErr w:type="spellEnd"/>
      <w:r w:rsidRPr="00837556">
        <w:rPr>
          <w:i/>
          <w:iCs/>
          <w:sz w:val="22"/>
          <w:szCs w:val="22"/>
        </w:rPr>
        <w:t xml:space="preserve"> </w:t>
      </w:r>
      <w:proofErr w:type="spellStart"/>
      <w:r w:rsidRPr="00837556">
        <w:rPr>
          <w:i/>
          <w:iCs/>
          <w:sz w:val="22"/>
          <w:szCs w:val="22"/>
        </w:rPr>
        <w:t>salicylicum</w:t>
      </w:r>
      <w:proofErr w:type="spellEnd"/>
      <w:r w:rsidRPr="00837556">
        <w:rPr>
          <w:i/>
          <w:iCs/>
          <w:sz w:val="22"/>
          <w:szCs w:val="22"/>
        </w:rPr>
        <w:t>).</w:t>
      </w:r>
    </w:p>
    <w:p w14:paraId="458AA8D8" w14:textId="77777777" w:rsidR="00492D2F" w:rsidRPr="00837556" w:rsidRDefault="00492D2F">
      <w:pPr>
        <w:rPr>
          <w:i/>
          <w:iCs/>
          <w:sz w:val="22"/>
          <w:szCs w:val="22"/>
        </w:rPr>
      </w:pPr>
    </w:p>
    <w:p w14:paraId="737C3A29" w14:textId="2C77DABB" w:rsidR="009F6B1D" w:rsidRDefault="009F6B1D">
      <w:pPr>
        <w:rPr>
          <w:iCs/>
          <w:sz w:val="22"/>
          <w:szCs w:val="22"/>
        </w:rPr>
      </w:pPr>
      <w:r w:rsidRPr="00837556">
        <w:rPr>
          <w:iCs/>
          <w:sz w:val="22"/>
          <w:szCs w:val="22"/>
          <w:u w:val="single"/>
        </w:rPr>
        <w:t>Substancje pomocnicze o znanym działaniu:</w:t>
      </w:r>
      <w:r w:rsidRPr="007F03A9">
        <w:rPr>
          <w:iCs/>
          <w:sz w:val="22"/>
          <w:szCs w:val="22"/>
        </w:rPr>
        <w:t xml:space="preserve"> glikol propylenowy, lanolina bezwodna</w:t>
      </w:r>
    </w:p>
    <w:p w14:paraId="7FD032F9" w14:textId="77777777" w:rsidR="00492D2F" w:rsidRPr="00837556" w:rsidRDefault="00492D2F">
      <w:pPr>
        <w:rPr>
          <w:sz w:val="22"/>
          <w:szCs w:val="22"/>
        </w:rPr>
      </w:pPr>
      <w:r w:rsidRPr="00837556">
        <w:rPr>
          <w:sz w:val="22"/>
          <w:szCs w:val="22"/>
        </w:rPr>
        <w:t>Pełny wykaz substancji pomocniczych, patrz punkt 6.1</w:t>
      </w:r>
    </w:p>
    <w:p w14:paraId="714072DD" w14:textId="77777777" w:rsidR="0079744C" w:rsidRPr="00837556" w:rsidRDefault="0079744C">
      <w:pPr>
        <w:rPr>
          <w:sz w:val="22"/>
          <w:szCs w:val="22"/>
        </w:rPr>
      </w:pPr>
    </w:p>
    <w:p w14:paraId="50838497" w14:textId="77777777" w:rsidR="00225735" w:rsidRPr="00837556" w:rsidRDefault="00225735">
      <w:pPr>
        <w:rPr>
          <w:sz w:val="22"/>
          <w:szCs w:val="22"/>
        </w:rPr>
      </w:pPr>
    </w:p>
    <w:p w14:paraId="60827BE1" w14:textId="77777777" w:rsidR="0079744C" w:rsidRPr="00837556" w:rsidRDefault="0079744C">
      <w:pPr>
        <w:rPr>
          <w:b/>
          <w:bCs/>
          <w:caps/>
          <w:sz w:val="22"/>
          <w:szCs w:val="22"/>
        </w:rPr>
      </w:pPr>
      <w:r w:rsidRPr="00837556">
        <w:rPr>
          <w:b/>
          <w:bCs/>
          <w:caps/>
          <w:sz w:val="22"/>
          <w:szCs w:val="22"/>
        </w:rPr>
        <w:t>3. Postać farmaceutyczna</w:t>
      </w:r>
    </w:p>
    <w:p w14:paraId="08D75D94" w14:textId="77777777" w:rsidR="00225735" w:rsidRPr="00837556" w:rsidRDefault="00225735">
      <w:pPr>
        <w:rPr>
          <w:b/>
          <w:bCs/>
          <w:caps/>
          <w:sz w:val="22"/>
          <w:szCs w:val="22"/>
        </w:rPr>
      </w:pPr>
    </w:p>
    <w:p w14:paraId="492DAD63" w14:textId="77777777" w:rsidR="0079744C" w:rsidRPr="00837556" w:rsidRDefault="0079744C">
      <w:pPr>
        <w:rPr>
          <w:sz w:val="22"/>
          <w:szCs w:val="22"/>
        </w:rPr>
      </w:pPr>
      <w:r w:rsidRPr="00837556">
        <w:rPr>
          <w:sz w:val="22"/>
          <w:szCs w:val="22"/>
        </w:rPr>
        <w:t>Maść</w:t>
      </w:r>
    </w:p>
    <w:p w14:paraId="786198C3" w14:textId="77777777" w:rsidR="0079744C" w:rsidRPr="00837556" w:rsidRDefault="0079744C">
      <w:pPr>
        <w:rPr>
          <w:b/>
          <w:bCs/>
          <w:caps/>
          <w:sz w:val="22"/>
          <w:szCs w:val="22"/>
        </w:rPr>
      </w:pPr>
      <w:r w:rsidRPr="00837556">
        <w:rPr>
          <w:sz w:val="22"/>
          <w:szCs w:val="22"/>
        </w:rPr>
        <w:t xml:space="preserve">Biała </w:t>
      </w:r>
      <w:r w:rsidR="00492D2F" w:rsidRPr="00837556">
        <w:rPr>
          <w:sz w:val="22"/>
          <w:szCs w:val="22"/>
        </w:rPr>
        <w:t xml:space="preserve">maść </w:t>
      </w:r>
      <w:r w:rsidRPr="00837556">
        <w:rPr>
          <w:sz w:val="22"/>
          <w:szCs w:val="22"/>
        </w:rPr>
        <w:t>o bladożółtym odcieniu</w:t>
      </w:r>
      <w:r w:rsidR="003876F3" w:rsidRPr="00837556">
        <w:rPr>
          <w:sz w:val="22"/>
          <w:szCs w:val="22"/>
        </w:rPr>
        <w:t>.</w:t>
      </w:r>
      <w:r w:rsidRPr="00837556">
        <w:rPr>
          <w:sz w:val="22"/>
          <w:szCs w:val="22"/>
        </w:rPr>
        <w:t xml:space="preserve">  </w:t>
      </w:r>
    </w:p>
    <w:p w14:paraId="532E5CF6" w14:textId="77777777" w:rsidR="0079744C" w:rsidRPr="00837556" w:rsidRDefault="0079744C">
      <w:pPr>
        <w:rPr>
          <w:b/>
          <w:bCs/>
          <w:caps/>
          <w:sz w:val="22"/>
          <w:szCs w:val="22"/>
        </w:rPr>
      </w:pPr>
    </w:p>
    <w:p w14:paraId="34B12767" w14:textId="77777777" w:rsidR="00225735" w:rsidRPr="00837556" w:rsidRDefault="00225735">
      <w:pPr>
        <w:rPr>
          <w:b/>
          <w:bCs/>
          <w:caps/>
          <w:sz w:val="22"/>
          <w:szCs w:val="22"/>
        </w:rPr>
      </w:pPr>
    </w:p>
    <w:p w14:paraId="0B4172B0" w14:textId="77777777" w:rsidR="0079744C" w:rsidRPr="00837556" w:rsidRDefault="0079744C">
      <w:pPr>
        <w:rPr>
          <w:b/>
          <w:bCs/>
          <w:caps/>
          <w:sz w:val="22"/>
          <w:szCs w:val="22"/>
        </w:rPr>
      </w:pPr>
      <w:r w:rsidRPr="00837556">
        <w:rPr>
          <w:b/>
          <w:bCs/>
          <w:caps/>
          <w:sz w:val="22"/>
          <w:szCs w:val="22"/>
        </w:rPr>
        <w:t>4. Szczegółowe dane kliniczne</w:t>
      </w:r>
    </w:p>
    <w:p w14:paraId="68D97C5D" w14:textId="77777777" w:rsidR="0079744C" w:rsidRPr="00837556" w:rsidRDefault="0079744C">
      <w:pPr>
        <w:rPr>
          <w:b/>
          <w:bCs/>
          <w:sz w:val="22"/>
          <w:szCs w:val="22"/>
        </w:rPr>
      </w:pPr>
    </w:p>
    <w:p w14:paraId="7A84DEFD" w14:textId="77777777" w:rsidR="0079744C" w:rsidRPr="00837556" w:rsidRDefault="0079744C">
      <w:pPr>
        <w:rPr>
          <w:b/>
          <w:bCs/>
          <w:sz w:val="22"/>
          <w:szCs w:val="22"/>
        </w:rPr>
      </w:pPr>
      <w:r w:rsidRPr="00837556">
        <w:rPr>
          <w:b/>
          <w:bCs/>
          <w:sz w:val="22"/>
          <w:szCs w:val="22"/>
        </w:rPr>
        <w:t>4.1 Wskazania do stosowania</w:t>
      </w:r>
    </w:p>
    <w:p w14:paraId="566B7CA1" w14:textId="77777777" w:rsidR="00FD67EF" w:rsidRPr="00837556" w:rsidRDefault="00FD67EF">
      <w:pPr>
        <w:rPr>
          <w:sz w:val="22"/>
          <w:szCs w:val="22"/>
        </w:rPr>
      </w:pPr>
    </w:p>
    <w:p w14:paraId="74991BE7" w14:textId="77777777" w:rsidR="0079744C" w:rsidRPr="00837556" w:rsidRDefault="00FB3EEC">
      <w:pPr>
        <w:rPr>
          <w:sz w:val="22"/>
          <w:szCs w:val="22"/>
        </w:rPr>
      </w:pPr>
      <w:r w:rsidRPr="00837556">
        <w:rPr>
          <w:sz w:val="22"/>
          <w:szCs w:val="22"/>
        </w:rPr>
        <w:t xml:space="preserve">Miejscowe leczenie stanów zapalnych </w:t>
      </w:r>
      <w:r w:rsidR="0079744C" w:rsidRPr="00837556">
        <w:rPr>
          <w:sz w:val="22"/>
          <w:szCs w:val="22"/>
        </w:rPr>
        <w:t>skóry, zwłaszcza o podłożu alergicznym, odpowiadając</w:t>
      </w:r>
      <w:r w:rsidRPr="00837556">
        <w:rPr>
          <w:sz w:val="22"/>
          <w:szCs w:val="22"/>
        </w:rPr>
        <w:t>ych</w:t>
      </w:r>
      <w:r w:rsidR="0079744C" w:rsidRPr="00837556">
        <w:rPr>
          <w:sz w:val="22"/>
          <w:szCs w:val="22"/>
        </w:rPr>
        <w:t xml:space="preserve"> na leczenie kortykosteroidami (nie powikłanych wtórnym zakażeniem bakteryjnym), przebiegając</w:t>
      </w:r>
      <w:r w:rsidRPr="00837556">
        <w:rPr>
          <w:sz w:val="22"/>
          <w:szCs w:val="22"/>
        </w:rPr>
        <w:t>ych</w:t>
      </w:r>
      <w:r w:rsidR="0079744C" w:rsidRPr="00837556">
        <w:rPr>
          <w:sz w:val="22"/>
          <w:szCs w:val="22"/>
        </w:rPr>
        <w:t xml:space="preserve"> z nadmiernym rogowaceniem i uporczywym swędzeniem. </w:t>
      </w:r>
    </w:p>
    <w:p w14:paraId="30D070F1" w14:textId="77777777" w:rsidR="00211D33" w:rsidRPr="00837556" w:rsidRDefault="0079744C">
      <w:pPr>
        <w:rPr>
          <w:sz w:val="22"/>
          <w:szCs w:val="22"/>
        </w:rPr>
      </w:pPr>
      <w:proofErr w:type="spellStart"/>
      <w:r w:rsidRPr="00837556">
        <w:rPr>
          <w:sz w:val="22"/>
          <w:szCs w:val="22"/>
        </w:rPr>
        <w:t>Lorinden</w:t>
      </w:r>
      <w:proofErr w:type="spellEnd"/>
      <w:r w:rsidRPr="00837556">
        <w:rPr>
          <w:sz w:val="22"/>
          <w:szCs w:val="22"/>
        </w:rPr>
        <w:t xml:space="preserve"> A stosuje się </w:t>
      </w:r>
      <w:r w:rsidR="00211D33" w:rsidRPr="00837556">
        <w:rPr>
          <w:sz w:val="22"/>
          <w:szCs w:val="22"/>
        </w:rPr>
        <w:t xml:space="preserve">szczególnie </w:t>
      </w:r>
      <w:r w:rsidRPr="00837556">
        <w:rPr>
          <w:sz w:val="22"/>
          <w:szCs w:val="22"/>
        </w:rPr>
        <w:t>w</w:t>
      </w:r>
      <w:r w:rsidR="00211D33" w:rsidRPr="00837556">
        <w:rPr>
          <w:sz w:val="22"/>
          <w:szCs w:val="22"/>
        </w:rPr>
        <w:t>:</w:t>
      </w:r>
    </w:p>
    <w:p w14:paraId="4789A97D" w14:textId="77777777" w:rsidR="00211D33" w:rsidRPr="00837556" w:rsidRDefault="00211D33">
      <w:pPr>
        <w:rPr>
          <w:sz w:val="22"/>
          <w:szCs w:val="22"/>
        </w:rPr>
      </w:pPr>
      <w:r w:rsidRPr="00837556">
        <w:rPr>
          <w:sz w:val="22"/>
          <w:szCs w:val="22"/>
        </w:rPr>
        <w:t>-</w:t>
      </w:r>
      <w:r w:rsidR="0079744C" w:rsidRPr="00837556">
        <w:rPr>
          <w:sz w:val="22"/>
          <w:szCs w:val="22"/>
        </w:rPr>
        <w:t xml:space="preserve"> łojotokowym zapaleniu skóry, </w:t>
      </w:r>
    </w:p>
    <w:p w14:paraId="0737F562" w14:textId="77777777" w:rsidR="00211D33" w:rsidRPr="00837556" w:rsidRDefault="00211D33">
      <w:pPr>
        <w:rPr>
          <w:sz w:val="22"/>
          <w:szCs w:val="22"/>
        </w:rPr>
      </w:pPr>
      <w:r w:rsidRPr="00837556">
        <w:rPr>
          <w:sz w:val="22"/>
          <w:szCs w:val="22"/>
        </w:rPr>
        <w:t xml:space="preserve">- </w:t>
      </w:r>
      <w:r w:rsidR="0079744C" w:rsidRPr="00837556">
        <w:rPr>
          <w:sz w:val="22"/>
          <w:szCs w:val="22"/>
        </w:rPr>
        <w:t xml:space="preserve">atopowym zapaleniu skóry, </w:t>
      </w:r>
    </w:p>
    <w:p w14:paraId="08CD6355" w14:textId="77777777" w:rsidR="00211D33" w:rsidRPr="00837556" w:rsidRDefault="00211D33">
      <w:pPr>
        <w:rPr>
          <w:sz w:val="22"/>
          <w:szCs w:val="22"/>
        </w:rPr>
      </w:pPr>
      <w:r w:rsidRPr="00837556">
        <w:rPr>
          <w:sz w:val="22"/>
          <w:szCs w:val="22"/>
        </w:rPr>
        <w:t xml:space="preserve">- </w:t>
      </w:r>
      <w:r w:rsidR="0079744C" w:rsidRPr="00837556">
        <w:rPr>
          <w:sz w:val="22"/>
          <w:szCs w:val="22"/>
        </w:rPr>
        <w:t xml:space="preserve">liszaju pokrzywkowym, </w:t>
      </w:r>
    </w:p>
    <w:p w14:paraId="4A68663B" w14:textId="77777777" w:rsidR="00211D33" w:rsidRPr="00837556" w:rsidRDefault="00211D33">
      <w:pPr>
        <w:rPr>
          <w:sz w:val="22"/>
          <w:szCs w:val="22"/>
        </w:rPr>
      </w:pPr>
      <w:r w:rsidRPr="00837556">
        <w:rPr>
          <w:sz w:val="22"/>
          <w:szCs w:val="22"/>
        </w:rPr>
        <w:t xml:space="preserve">- </w:t>
      </w:r>
      <w:r w:rsidR="0079744C" w:rsidRPr="00837556">
        <w:rPr>
          <w:sz w:val="22"/>
          <w:szCs w:val="22"/>
        </w:rPr>
        <w:t>wyprysku kontaktowym alergicznym,</w:t>
      </w:r>
    </w:p>
    <w:p w14:paraId="2226C1AC" w14:textId="77777777" w:rsidR="00211D33" w:rsidRPr="00837556" w:rsidRDefault="00211D33">
      <w:pPr>
        <w:rPr>
          <w:sz w:val="22"/>
          <w:szCs w:val="22"/>
        </w:rPr>
      </w:pPr>
      <w:r w:rsidRPr="00837556">
        <w:rPr>
          <w:sz w:val="22"/>
          <w:szCs w:val="22"/>
        </w:rPr>
        <w:t xml:space="preserve">- </w:t>
      </w:r>
      <w:r w:rsidR="0079744C" w:rsidRPr="00837556">
        <w:rPr>
          <w:sz w:val="22"/>
          <w:szCs w:val="22"/>
        </w:rPr>
        <w:t xml:space="preserve">rumieniu wielopostaciowym, </w:t>
      </w:r>
    </w:p>
    <w:p w14:paraId="43E0ADF7" w14:textId="77777777" w:rsidR="00211D33" w:rsidRPr="00837556" w:rsidRDefault="00211D33">
      <w:pPr>
        <w:rPr>
          <w:sz w:val="22"/>
          <w:szCs w:val="22"/>
        </w:rPr>
      </w:pPr>
      <w:r w:rsidRPr="00837556">
        <w:rPr>
          <w:sz w:val="22"/>
          <w:szCs w:val="22"/>
        </w:rPr>
        <w:t xml:space="preserve">- </w:t>
      </w:r>
      <w:r w:rsidR="0079744C" w:rsidRPr="00837556">
        <w:rPr>
          <w:sz w:val="22"/>
          <w:szCs w:val="22"/>
        </w:rPr>
        <w:t xml:space="preserve">toczniu rumieniowatym, </w:t>
      </w:r>
    </w:p>
    <w:p w14:paraId="1D7EA557" w14:textId="77777777" w:rsidR="00211D33" w:rsidRPr="00837556" w:rsidRDefault="00211D33">
      <w:pPr>
        <w:rPr>
          <w:sz w:val="22"/>
          <w:szCs w:val="22"/>
        </w:rPr>
      </w:pPr>
      <w:r w:rsidRPr="00837556">
        <w:rPr>
          <w:sz w:val="22"/>
          <w:szCs w:val="22"/>
        </w:rPr>
        <w:t xml:space="preserve">- </w:t>
      </w:r>
      <w:r w:rsidR="0079744C" w:rsidRPr="00837556">
        <w:rPr>
          <w:sz w:val="22"/>
          <w:szCs w:val="22"/>
        </w:rPr>
        <w:t xml:space="preserve">łuszczycy zadawnionej, </w:t>
      </w:r>
    </w:p>
    <w:p w14:paraId="1E99AE75" w14:textId="77777777" w:rsidR="0079744C" w:rsidRPr="00837556" w:rsidRDefault="00211D33">
      <w:pPr>
        <w:rPr>
          <w:b/>
          <w:bCs/>
          <w:sz w:val="22"/>
          <w:szCs w:val="22"/>
        </w:rPr>
      </w:pPr>
      <w:r w:rsidRPr="00837556">
        <w:rPr>
          <w:sz w:val="22"/>
          <w:szCs w:val="22"/>
        </w:rPr>
        <w:t xml:space="preserve">- </w:t>
      </w:r>
      <w:r w:rsidR="0079744C" w:rsidRPr="00837556">
        <w:rPr>
          <w:sz w:val="22"/>
          <w:szCs w:val="22"/>
        </w:rPr>
        <w:t>liszaju płaskim.</w:t>
      </w:r>
    </w:p>
    <w:p w14:paraId="08C68CA8" w14:textId="77777777" w:rsidR="0079744C" w:rsidRPr="00837556" w:rsidRDefault="0079744C">
      <w:pPr>
        <w:rPr>
          <w:sz w:val="22"/>
          <w:szCs w:val="22"/>
        </w:rPr>
      </w:pPr>
    </w:p>
    <w:p w14:paraId="440ECDD1" w14:textId="77777777" w:rsidR="00D61AEA" w:rsidRPr="00837556" w:rsidRDefault="0079744C" w:rsidP="00D61AEA">
      <w:pPr>
        <w:rPr>
          <w:sz w:val="22"/>
          <w:szCs w:val="22"/>
        </w:rPr>
      </w:pPr>
      <w:r w:rsidRPr="00837556">
        <w:rPr>
          <w:b/>
          <w:bCs/>
          <w:sz w:val="22"/>
          <w:szCs w:val="22"/>
        </w:rPr>
        <w:t>4.2 Dawkowanie i sposób podawania</w:t>
      </w:r>
      <w:r w:rsidR="00D61AEA" w:rsidRPr="00837556">
        <w:rPr>
          <w:sz w:val="22"/>
          <w:szCs w:val="22"/>
        </w:rPr>
        <w:t xml:space="preserve"> </w:t>
      </w:r>
    </w:p>
    <w:p w14:paraId="06FA9B07" w14:textId="77777777" w:rsidR="00D61AEA" w:rsidRPr="00837556" w:rsidRDefault="00D61AEA" w:rsidP="00D61AEA">
      <w:pPr>
        <w:rPr>
          <w:sz w:val="22"/>
          <w:szCs w:val="22"/>
        </w:rPr>
      </w:pPr>
    </w:p>
    <w:p w14:paraId="571A15B0" w14:textId="77777777" w:rsidR="00D61AEA" w:rsidRPr="00837556" w:rsidRDefault="00D61AEA" w:rsidP="00D61AEA">
      <w:pPr>
        <w:rPr>
          <w:bCs/>
          <w:sz w:val="22"/>
          <w:szCs w:val="22"/>
          <w:u w:val="single"/>
        </w:rPr>
      </w:pPr>
      <w:r w:rsidRPr="00837556">
        <w:rPr>
          <w:bCs/>
          <w:sz w:val="22"/>
          <w:szCs w:val="22"/>
          <w:u w:val="single"/>
        </w:rPr>
        <w:t>Dawkowanie</w:t>
      </w:r>
    </w:p>
    <w:p w14:paraId="1EBED8FB" w14:textId="77777777" w:rsidR="00D61AEA" w:rsidRPr="00837556" w:rsidRDefault="00CA6EFA" w:rsidP="00D61AEA">
      <w:pPr>
        <w:rPr>
          <w:bCs/>
          <w:sz w:val="22"/>
          <w:szCs w:val="22"/>
        </w:rPr>
      </w:pPr>
      <w:r w:rsidRPr="00837556">
        <w:rPr>
          <w:bCs/>
          <w:sz w:val="22"/>
          <w:szCs w:val="22"/>
        </w:rPr>
        <w:t>Stosować n</w:t>
      </w:r>
      <w:r w:rsidR="00D61AEA" w:rsidRPr="00837556">
        <w:rPr>
          <w:bCs/>
          <w:sz w:val="22"/>
          <w:szCs w:val="22"/>
        </w:rPr>
        <w:t>ie częściej niż raz lub dwa razy</w:t>
      </w:r>
      <w:r w:rsidR="009E4E69" w:rsidRPr="00837556">
        <w:rPr>
          <w:bCs/>
          <w:sz w:val="22"/>
          <w:szCs w:val="22"/>
        </w:rPr>
        <w:t xml:space="preserve"> na dobę</w:t>
      </w:r>
      <w:r w:rsidR="00D61AEA" w:rsidRPr="00837556">
        <w:rPr>
          <w:bCs/>
          <w:sz w:val="22"/>
          <w:szCs w:val="22"/>
        </w:rPr>
        <w:t xml:space="preserve">. </w:t>
      </w:r>
    </w:p>
    <w:p w14:paraId="1A96D912" w14:textId="77777777" w:rsidR="00F62DE8" w:rsidRPr="00837556" w:rsidRDefault="00D61AEA" w:rsidP="00D61AEA">
      <w:pPr>
        <w:rPr>
          <w:bCs/>
          <w:sz w:val="22"/>
          <w:szCs w:val="22"/>
        </w:rPr>
      </w:pPr>
      <w:r w:rsidRPr="00837556">
        <w:rPr>
          <w:bCs/>
          <w:sz w:val="22"/>
          <w:szCs w:val="22"/>
        </w:rPr>
        <w:t xml:space="preserve">Nie stosować produktu leczniczego dłużej niż </w:t>
      </w:r>
      <w:r w:rsidR="00F62DE8" w:rsidRPr="00837556">
        <w:rPr>
          <w:bCs/>
          <w:sz w:val="22"/>
          <w:szCs w:val="22"/>
        </w:rPr>
        <w:t xml:space="preserve">przez </w:t>
      </w:r>
      <w:r w:rsidRPr="00837556">
        <w:rPr>
          <w:bCs/>
          <w:sz w:val="22"/>
          <w:szCs w:val="22"/>
        </w:rPr>
        <w:t xml:space="preserve">2 tygodnie. </w:t>
      </w:r>
    </w:p>
    <w:p w14:paraId="281250BF" w14:textId="77777777" w:rsidR="00F62DE8" w:rsidRPr="00837556" w:rsidRDefault="00D61AEA" w:rsidP="00D61AEA">
      <w:pPr>
        <w:rPr>
          <w:bCs/>
          <w:sz w:val="22"/>
          <w:szCs w:val="22"/>
        </w:rPr>
      </w:pPr>
      <w:r w:rsidRPr="00837556">
        <w:rPr>
          <w:bCs/>
          <w:sz w:val="22"/>
          <w:szCs w:val="22"/>
        </w:rPr>
        <w:t xml:space="preserve">Na skórę twarzy nie stosować dłużej niż przez 7 dni. </w:t>
      </w:r>
    </w:p>
    <w:p w14:paraId="61B0749E" w14:textId="77777777" w:rsidR="00D61AEA" w:rsidRPr="00837556" w:rsidRDefault="00D61AEA" w:rsidP="00D61AEA">
      <w:pPr>
        <w:rPr>
          <w:bCs/>
          <w:sz w:val="22"/>
          <w:szCs w:val="22"/>
        </w:rPr>
      </w:pPr>
      <w:r w:rsidRPr="00837556">
        <w:rPr>
          <w:bCs/>
          <w:sz w:val="22"/>
          <w:szCs w:val="22"/>
        </w:rPr>
        <w:t xml:space="preserve">W ciągu tygodnia można zużyć nie więcej niż </w:t>
      </w:r>
      <w:smartTag w:uri="urn:schemas-microsoft-com:office:smarttags" w:element="metricconverter">
        <w:smartTagPr>
          <w:attr w:name="ProductID" w:val="15 g"/>
        </w:smartTagPr>
        <w:r w:rsidRPr="00837556">
          <w:rPr>
            <w:bCs/>
            <w:sz w:val="22"/>
            <w:szCs w:val="22"/>
          </w:rPr>
          <w:t>15 g</w:t>
        </w:r>
      </w:smartTag>
      <w:r w:rsidRPr="00837556">
        <w:rPr>
          <w:bCs/>
          <w:sz w:val="22"/>
          <w:szCs w:val="22"/>
        </w:rPr>
        <w:t xml:space="preserve"> (1 tubę) maści.</w:t>
      </w:r>
    </w:p>
    <w:p w14:paraId="4976CB4E" w14:textId="77777777" w:rsidR="00D61AEA" w:rsidRPr="00837556" w:rsidRDefault="00D61AEA" w:rsidP="00D61AEA">
      <w:pPr>
        <w:rPr>
          <w:b/>
          <w:bCs/>
          <w:sz w:val="22"/>
          <w:szCs w:val="22"/>
        </w:rPr>
      </w:pPr>
    </w:p>
    <w:p w14:paraId="6D625D7A" w14:textId="77777777" w:rsidR="00D61AEA" w:rsidRPr="00837556" w:rsidRDefault="00D61AEA" w:rsidP="00D61AEA">
      <w:pPr>
        <w:rPr>
          <w:bCs/>
          <w:i/>
          <w:sz w:val="22"/>
          <w:szCs w:val="22"/>
        </w:rPr>
      </w:pPr>
      <w:r w:rsidRPr="00837556">
        <w:rPr>
          <w:bCs/>
          <w:i/>
          <w:sz w:val="22"/>
          <w:szCs w:val="22"/>
        </w:rPr>
        <w:t>Dzieci i młodzież</w:t>
      </w:r>
    </w:p>
    <w:p w14:paraId="71A911F8" w14:textId="77777777" w:rsidR="00D61AEA" w:rsidRPr="00837556" w:rsidRDefault="00D61AEA" w:rsidP="00D61AEA">
      <w:pPr>
        <w:rPr>
          <w:bCs/>
          <w:sz w:val="22"/>
          <w:szCs w:val="22"/>
        </w:rPr>
      </w:pPr>
      <w:r w:rsidRPr="00837556">
        <w:rPr>
          <w:bCs/>
          <w:sz w:val="22"/>
          <w:szCs w:val="22"/>
        </w:rPr>
        <w:t xml:space="preserve">Nie stosować u dzieci </w:t>
      </w:r>
      <w:r w:rsidR="000B34BC" w:rsidRPr="00837556">
        <w:rPr>
          <w:bCs/>
          <w:sz w:val="22"/>
          <w:szCs w:val="22"/>
        </w:rPr>
        <w:t xml:space="preserve">w wieku </w:t>
      </w:r>
      <w:r w:rsidRPr="00837556">
        <w:rPr>
          <w:bCs/>
          <w:sz w:val="22"/>
          <w:szCs w:val="22"/>
        </w:rPr>
        <w:t>poniżej 2 lat.</w:t>
      </w:r>
    </w:p>
    <w:p w14:paraId="7E2352A6" w14:textId="77777777" w:rsidR="00D61AEA" w:rsidRPr="00837556" w:rsidRDefault="00D61AEA" w:rsidP="00D61AEA">
      <w:pPr>
        <w:rPr>
          <w:bCs/>
          <w:sz w:val="22"/>
          <w:szCs w:val="22"/>
        </w:rPr>
      </w:pPr>
      <w:r w:rsidRPr="00837556">
        <w:rPr>
          <w:bCs/>
          <w:sz w:val="22"/>
          <w:szCs w:val="22"/>
        </w:rPr>
        <w:t>U dzieci powyżej 2 lat stosować bardzo ostrożnie, tylko raz na dobę, na niewielką powierzchnię skóry, nie stosować na skórę twarzy.</w:t>
      </w:r>
    </w:p>
    <w:p w14:paraId="2C269860" w14:textId="77777777" w:rsidR="00D61AEA" w:rsidRPr="00837556" w:rsidRDefault="00D61AEA" w:rsidP="00D61AEA">
      <w:pPr>
        <w:rPr>
          <w:b/>
          <w:bCs/>
          <w:sz w:val="22"/>
          <w:szCs w:val="22"/>
        </w:rPr>
      </w:pPr>
    </w:p>
    <w:p w14:paraId="5FB06E45" w14:textId="77777777" w:rsidR="00FC215B" w:rsidRPr="00837556" w:rsidRDefault="00D61AEA">
      <w:pPr>
        <w:rPr>
          <w:bCs/>
          <w:sz w:val="22"/>
          <w:szCs w:val="22"/>
          <w:u w:val="single"/>
        </w:rPr>
      </w:pPr>
      <w:r w:rsidRPr="00837556">
        <w:rPr>
          <w:bCs/>
          <w:sz w:val="22"/>
          <w:szCs w:val="22"/>
          <w:u w:val="single"/>
        </w:rPr>
        <w:t>Sposób podawania</w:t>
      </w:r>
    </w:p>
    <w:p w14:paraId="0E832D47" w14:textId="77777777" w:rsidR="0079744C" w:rsidRPr="00837556" w:rsidRDefault="00FC215B">
      <w:pPr>
        <w:rPr>
          <w:sz w:val="22"/>
          <w:szCs w:val="22"/>
        </w:rPr>
      </w:pPr>
      <w:r w:rsidRPr="00837556">
        <w:rPr>
          <w:bCs/>
          <w:sz w:val="22"/>
          <w:szCs w:val="22"/>
        </w:rPr>
        <w:t xml:space="preserve">Podanie </w:t>
      </w:r>
      <w:r w:rsidR="0079744C" w:rsidRPr="00837556">
        <w:rPr>
          <w:bCs/>
          <w:sz w:val="22"/>
          <w:szCs w:val="22"/>
        </w:rPr>
        <w:t>na skórę.</w:t>
      </w:r>
    </w:p>
    <w:p w14:paraId="596CB8F6" w14:textId="77777777" w:rsidR="002454E0" w:rsidRPr="00837556" w:rsidRDefault="0079744C">
      <w:pPr>
        <w:rPr>
          <w:sz w:val="22"/>
          <w:szCs w:val="22"/>
        </w:rPr>
      </w:pPr>
      <w:r w:rsidRPr="00837556">
        <w:rPr>
          <w:sz w:val="22"/>
          <w:szCs w:val="22"/>
        </w:rPr>
        <w:t>Należy nakładać cienką warstwę maści na chorobowo zmienione miejsca na skórze</w:t>
      </w:r>
      <w:r w:rsidR="00D61AEA" w:rsidRPr="00837556">
        <w:rPr>
          <w:sz w:val="22"/>
          <w:szCs w:val="22"/>
        </w:rPr>
        <w:t>.</w:t>
      </w:r>
    </w:p>
    <w:p w14:paraId="3B0089BD" w14:textId="77777777" w:rsidR="0079744C" w:rsidRPr="00837556" w:rsidRDefault="0079744C">
      <w:pPr>
        <w:rPr>
          <w:sz w:val="22"/>
          <w:szCs w:val="22"/>
        </w:rPr>
      </w:pPr>
      <w:r w:rsidRPr="00837556">
        <w:rPr>
          <w:sz w:val="22"/>
          <w:szCs w:val="22"/>
        </w:rPr>
        <w:lastRenderedPageBreak/>
        <w:t xml:space="preserve">W razie nadmiernego </w:t>
      </w:r>
      <w:proofErr w:type="spellStart"/>
      <w:r w:rsidRPr="00837556">
        <w:rPr>
          <w:sz w:val="22"/>
          <w:szCs w:val="22"/>
        </w:rPr>
        <w:t>liszajowacenia</w:t>
      </w:r>
      <w:proofErr w:type="spellEnd"/>
      <w:r w:rsidRPr="00837556">
        <w:rPr>
          <w:sz w:val="22"/>
          <w:szCs w:val="22"/>
        </w:rPr>
        <w:t xml:space="preserve"> lub nadmiernego rogowacenia zmienionej chorobowo skóry, dopuszcza się stosowanie opatrunku </w:t>
      </w:r>
      <w:proofErr w:type="spellStart"/>
      <w:r w:rsidRPr="00837556">
        <w:rPr>
          <w:sz w:val="22"/>
          <w:szCs w:val="22"/>
        </w:rPr>
        <w:t>okluzyjnego</w:t>
      </w:r>
      <w:proofErr w:type="spellEnd"/>
      <w:r w:rsidRPr="00837556">
        <w:rPr>
          <w:sz w:val="22"/>
          <w:szCs w:val="22"/>
        </w:rPr>
        <w:t>, który należy zmieniać raz na 24 godziny.</w:t>
      </w:r>
    </w:p>
    <w:p w14:paraId="1EB0DF5E" w14:textId="77777777" w:rsidR="0079744C" w:rsidRPr="00837556" w:rsidRDefault="0079744C">
      <w:pPr>
        <w:rPr>
          <w:sz w:val="22"/>
          <w:szCs w:val="22"/>
        </w:rPr>
      </w:pPr>
    </w:p>
    <w:p w14:paraId="0275EC79" w14:textId="77777777" w:rsidR="0079744C" w:rsidRPr="00837556" w:rsidRDefault="0079744C">
      <w:pPr>
        <w:rPr>
          <w:b/>
          <w:bCs/>
          <w:sz w:val="22"/>
          <w:szCs w:val="22"/>
        </w:rPr>
      </w:pPr>
      <w:r w:rsidRPr="00837556">
        <w:rPr>
          <w:b/>
          <w:bCs/>
          <w:sz w:val="22"/>
          <w:szCs w:val="22"/>
        </w:rPr>
        <w:t>4.3 Przeciwwskazania</w:t>
      </w:r>
    </w:p>
    <w:p w14:paraId="00FD90D6" w14:textId="77777777" w:rsidR="00387582" w:rsidRPr="00837556" w:rsidRDefault="00387582">
      <w:pPr>
        <w:rPr>
          <w:b/>
          <w:bCs/>
          <w:sz w:val="22"/>
          <w:szCs w:val="22"/>
        </w:rPr>
      </w:pPr>
    </w:p>
    <w:p w14:paraId="1AAA2209" w14:textId="77777777" w:rsidR="00387582" w:rsidRPr="00837556" w:rsidRDefault="00387582" w:rsidP="00387582">
      <w:pPr>
        <w:rPr>
          <w:sz w:val="22"/>
          <w:szCs w:val="22"/>
        </w:rPr>
      </w:pPr>
      <w:r w:rsidRPr="00837556">
        <w:rPr>
          <w:sz w:val="22"/>
          <w:szCs w:val="22"/>
        </w:rPr>
        <w:t xml:space="preserve">Nadwrażliwości na </w:t>
      </w:r>
      <w:proofErr w:type="spellStart"/>
      <w:r w:rsidRPr="00837556">
        <w:rPr>
          <w:sz w:val="22"/>
          <w:szCs w:val="22"/>
        </w:rPr>
        <w:t>flumetazonu</w:t>
      </w:r>
      <w:proofErr w:type="spellEnd"/>
      <w:r w:rsidRPr="00837556">
        <w:rPr>
          <w:sz w:val="22"/>
          <w:szCs w:val="22"/>
        </w:rPr>
        <w:t xml:space="preserve"> </w:t>
      </w:r>
      <w:proofErr w:type="spellStart"/>
      <w:r w:rsidRPr="00837556">
        <w:rPr>
          <w:sz w:val="22"/>
          <w:szCs w:val="22"/>
        </w:rPr>
        <w:t>piwalan</w:t>
      </w:r>
      <w:proofErr w:type="spellEnd"/>
      <w:r w:rsidRPr="00837556">
        <w:rPr>
          <w:sz w:val="22"/>
          <w:szCs w:val="22"/>
        </w:rPr>
        <w:t xml:space="preserve">, inne </w:t>
      </w:r>
      <w:proofErr w:type="spellStart"/>
      <w:r w:rsidRPr="00837556">
        <w:rPr>
          <w:sz w:val="22"/>
          <w:szCs w:val="22"/>
        </w:rPr>
        <w:t>kokortykosteroidy</w:t>
      </w:r>
      <w:proofErr w:type="spellEnd"/>
      <w:r w:rsidRPr="00837556">
        <w:rPr>
          <w:sz w:val="22"/>
          <w:szCs w:val="22"/>
        </w:rPr>
        <w:t>, kwas salicylowy lub na którąkolwiek substancję pomocniczą wymienioną w punkcie 6.1.</w:t>
      </w:r>
    </w:p>
    <w:p w14:paraId="0BE877E7" w14:textId="77777777" w:rsidR="00387582" w:rsidRPr="00837556" w:rsidRDefault="00387582">
      <w:pPr>
        <w:rPr>
          <w:b/>
          <w:bCs/>
          <w:sz w:val="22"/>
          <w:szCs w:val="22"/>
        </w:rPr>
      </w:pPr>
    </w:p>
    <w:p w14:paraId="704C87F4" w14:textId="77777777" w:rsidR="0079744C" w:rsidRPr="00837556" w:rsidRDefault="0079744C">
      <w:pPr>
        <w:rPr>
          <w:sz w:val="22"/>
          <w:szCs w:val="22"/>
        </w:rPr>
      </w:pPr>
      <w:r w:rsidRPr="00837556">
        <w:rPr>
          <w:sz w:val="22"/>
          <w:szCs w:val="22"/>
        </w:rPr>
        <w:t>Nie stosować produktu leczniczego:</w:t>
      </w:r>
    </w:p>
    <w:p w14:paraId="43088007" w14:textId="77777777" w:rsidR="0079744C" w:rsidRPr="00837556" w:rsidRDefault="0079744C">
      <w:pPr>
        <w:rPr>
          <w:sz w:val="22"/>
          <w:szCs w:val="22"/>
        </w:rPr>
      </w:pPr>
      <w:r w:rsidRPr="00837556">
        <w:rPr>
          <w:sz w:val="22"/>
          <w:szCs w:val="22"/>
        </w:rPr>
        <w:t>- w wirusowych (np. ospa wietrzna, opryszczka zwykła), grzybiczych lub bakteryjnych zakażeniach skóry,</w:t>
      </w:r>
    </w:p>
    <w:p w14:paraId="3824573F" w14:textId="77777777" w:rsidR="0079744C" w:rsidRPr="00837556" w:rsidRDefault="0079744C">
      <w:pPr>
        <w:rPr>
          <w:sz w:val="22"/>
          <w:szCs w:val="22"/>
        </w:rPr>
      </w:pPr>
      <w:r w:rsidRPr="00837556">
        <w:rPr>
          <w:sz w:val="22"/>
          <w:szCs w:val="22"/>
        </w:rPr>
        <w:t xml:space="preserve">- nowotworach skóry, </w:t>
      </w:r>
    </w:p>
    <w:p w14:paraId="6533E965" w14:textId="77777777" w:rsidR="0079744C" w:rsidRPr="00837556" w:rsidRDefault="0079744C">
      <w:pPr>
        <w:rPr>
          <w:sz w:val="22"/>
          <w:szCs w:val="22"/>
        </w:rPr>
      </w:pPr>
      <w:r w:rsidRPr="00837556">
        <w:rPr>
          <w:sz w:val="22"/>
          <w:szCs w:val="22"/>
        </w:rPr>
        <w:t>- trądziku pospolitym,</w:t>
      </w:r>
    </w:p>
    <w:p w14:paraId="138DBBE9" w14:textId="77777777" w:rsidR="0079744C" w:rsidRPr="00837556" w:rsidRDefault="0079744C">
      <w:pPr>
        <w:rPr>
          <w:sz w:val="22"/>
          <w:szCs w:val="22"/>
        </w:rPr>
      </w:pPr>
      <w:r w:rsidRPr="00837556">
        <w:rPr>
          <w:sz w:val="22"/>
          <w:szCs w:val="22"/>
        </w:rPr>
        <w:t>- trądziku różowatym,</w:t>
      </w:r>
    </w:p>
    <w:p w14:paraId="3F6E828E" w14:textId="77777777" w:rsidR="0079744C" w:rsidRPr="00837556" w:rsidRDefault="0079744C">
      <w:pPr>
        <w:rPr>
          <w:sz w:val="22"/>
          <w:szCs w:val="22"/>
        </w:rPr>
      </w:pPr>
      <w:r w:rsidRPr="00837556">
        <w:rPr>
          <w:sz w:val="22"/>
          <w:szCs w:val="22"/>
        </w:rPr>
        <w:t>- zapaleniu skóry wokół ust,</w:t>
      </w:r>
    </w:p>
    <w:p w14:paraId="0D93622C" w14:textId="77777777" w:rsidR="0079744C" w:rsidRPr="00837556" w:rsidRDefault="0079744C">
      <w:pPr>
        <w:rPr>
          <w:sz w:val="22"/>
          <w:szCs w:val="22"/>
        </w:rPr>
      </w:pPr>
      <w:r w:rsidRPr="00837556">
        <w:rPr>
          <w:sz w:val="22"/>
          <w:szCs w:val="22"/>
        </w:rPr>
        <w:t>- świądzie okolicy odbytu,</w:t>
      </w:r>
    </w:p>
    <w:p w14:paraId="6A29EAA1" w14:textId="77777777" w:rsidR="0079744C" w:rsidRPr="00837556" w:rsidRDefault="0079744C">
      <w:pPr>
        <w:rPr>
          <w:sz w:val="22"/>
          <w:szCs w:val="22"/>
        </w:rPr>
      </w:pPr>
      <w:r w:rsidRPr="00837556">
        <w:rPr>
          <w:sz w:val="22"/>
          <w:szCs w:val="22"/>
        </w:rPr>
        <w:t>- w pieluszkowym zapaleniu skóry,</w:t>
      </w:r>
    </w:p>
    <w:p w14:paraId="651B089D" w14:textId="77777777" w:rsidR="0079744C" w:rsidRPr="00837556" w:rsidRDefault="0079744C">
      <w:pPr>
        <w:rPr>
          <w:sz w:val="22"/>
          <w:szCs w:val="22"/>
        </w:rPr>
      </w:pPr>
      <w:r w:rsidRPr="00837556">
        <w:rPr>
          <w:sz w:val="22"/>
          <w:szCs w:val="22"/>
        </w:rPr>
        <w:t>- zapaleniu lub owrzodzeniu żylakowatym,</w:t>
      </w:r>
    </w:p>
    <w:p w14:paraId="59265EFA" w14:textId="77777777" w:rsidR="0079744C" w:rsidRPr="00837556" w:rsidRDefault="0079744C">
      <w:pPr>
        <w:rPr>
          <w:sz w:val="22"/>
          <w:szCs w:val="22"/>
        </w:rPr>
      </w:pPr>
      <w:r w:rsidRPr="00837556">
        <w:rPr>
          <w:sz w:val="22"/>
          <w:szCs w:val="22"/>
        </w:rPr>
        <w:t xml:space="preserve">- na rozległe zmiany skórne, zwłaszcza przebiegające z ubytkiem skóry, np. w oparzeniach, </w:t>
      </w:r>
    </w:p>
    <w:p w14:paraId="301684E6" w14:textId="77777777" w:rsidR="0079744C" w:rsidRPr="00837556" w:rsidRDefault="0079744C">
      <w:pPr>
        <w:rPr>
          <w:sz w:val="22"/>
          <w:szCs w:val="22"/>
        </w:rPr>
      </w:pPr>
      <w:r w:rsidRPr="00837556">
        <w:rPr>
          <w:sz w:val="22"/>
          <w:szCs w:val="22"/>
        </w:rPr>
        <w:t>- u dzieci w wieku poniżej 2 lat.</w:t>
      </w:r>
    </w:p>
    <w:p w14:paraId="6AF52A7E" w14:textId="77777777" w:rsidR="0079744C" w:rsidRPr="00837556" w:rsidRDefault="0079744C">
      <w:pPr>
        <w:rPr>
          <w:sz w:val="22"/>
          <w:szCs w:val="22"/>
        </w:rPr>
      </w:pPr>
    </w:p>
    <w:p w14:paraId="5A6C13CA" w14:textId="77777777" w:rsidR="0079744C" w:rsidRPr="00837556" w:rsidRDefault="0079744C">
      <w:pPr>
        <w:rPr>
          <w:b/>
          <w:bCs/>
          <w:sz w:val="22"/>
          <w:szCs w:val="22"/>
        </w:rPr>
      </w:pPr>
      <w:r w:rsidRPr="00837556">
        <w:rPr>
          <w:b/>
          <w:bCs/>
          <w:sz w:val="22"/>
          <w:szCs w:val="22"/>
        </w:rPr>
        <w:t>4.4 Specjalne ostrzeżenia i środki ostrożności dotyczące stosowania</w:t>
      </w:r>
    </w:p>
    <w:p w14:paraId="7F401B7F" w14:textId="77777777" w:rsidR="00D91351" w:rsidRPr="00837556" w:rsidRDefault="00D91351">
      <w:pPr>
        <w:rPr>
          <w:b/>
          <w:bCs/>
          <w:sz w:val="22"/>
          <w:szCs w:val="22"/>
        </w:rPr>
      </w:pPr>
    </w:p>
    <w:p w14:paraId="596BE5A6" w14:textId="77777777" w:rsidR="0079744C" w:rsidRPr="00837556" w:rsidRDefault="0079744C">
      <w:pPr>
        <w:rPr>
          <w:sz w:val="22"/>
          <w:szCs w:val="22"/>
        </w:rPr>
      </w:pPr>
      <w:r w:rsidRPr="00837556">
        <w:rPr>
          <w:sz w:val="22"/>
          <w:szCs w:val="22"/>
        </w:rPr>
        <w:t>Jeśli podczas stosowania produktu leczniczego wystąpią objawy podrażnienia, uczulenia lub nadmiernego wysuszenia skóry, należy natychmiast zaprzestać stosowania produktu.</w:t>
      </w:r>
    </w:p>
    <w:p w14:paraId="1B55FDBA" w14:textId="77777777" w:rsidR="0079744C" w:rsidRPr="00837556" w:rsidRDefault="0079744C">
      <w:pPr>
        <w:rPr>
          <w:sz w:val="22"/>
          <w:szCs w:val="22"/>
        </w:rPr>
      </w:pPr>
      <w:r w:rsidRPr="00837556">
        <w:rPr>
          <w:sz w:val="22"/>
          <w:szCs w:val="22"/>
        </w:rPr>
        <w:t xml:space="preserve">Nie stosować bez przerwy dłużej niż przez 2 tygodnie. </w:t>
      </w:r>
    </w:p>
    <w:p w14:paraId="4CF39C0A" w14:textId="77777777" w:rsidR="0079744C" w:rsidRPr="00837556" w:rsidRDefault="0079744C">
      <w:pPr>
        <w:rPr>
          <w:sz w:val="22"/>
          <w:szCs w:val="22"/>
        </w:rPr>
      </w:pPr>
      <w:r w:rsidRPr="00837556">
        <w:rPr>
          <w:sz w:val="22"/>
          <w:szCs w:val="22"/>
        </w:rPr>
        <w:t xml:space="preserve">Kortykosteroidy i kwas salicylowy wchłaniają się przez skórę. Dlatego podczas stosowania produktu leczniczego istnieje ryzyko wystąpienia ogólnoustrojowych objawów niepożądanych kortykosteroidów (w tym zahamowanie czynności kory nadnerczy, zmniejszenie stężenia kortyzolu we krwi, zespół Cushinga) oraz kwasu salicylowego. Z tego względu należy unikać podawania produktu leczniczego na dużą powierzchnię skóry, rany, uszkodzoną skórę, stosowania w dużych dawkach, a także długotrwałego leczenia produktem. </w:t>
      </w:r>
    </w:p>
    <w:p w14:paraId="38B612CF" w14:textId="77777777" w:rsidR="0079744C" w:rsidRPr="00837556" w:rsidRDefault="0079744C">
      <w:pPr>
        <w:rPr>
          <w:sz w:val="22"/>
          <w:szCs w:val="22"/>
        </w:rPr>
      </w:pPr>
      <w:r w:rsidRPr="00837556">
        <w:rPr>
          <w:sz w:val="22"/>
          <w:szCs w:val="22"/>
        </w:rPr>
        <w:t>Podczas leczenia wskazana jest okresowa kontrola czynności kory nadnerczy przez oznaczanie kortyzolu we krwi i w moczu po stymulacji nadnerczy przez ACTH.</w:t>
      </w:r>
    </w:p>
    <w:p w14:paraId="3BFC6D9C" w14:textId="77777777" w:rsidR="0079744C" w:rsidRPr="00837556" w:rsidRDefault="0079744C">
      <w:pPr>
        <w:rPr>
          <w:sz w:val="22"/>
          <w:szCs w:val="22"/>
        </w:rPr>
      </w:pPr>
      <w:r w:rsidRPr="00837556">
        <w:rPr>
          <w:sz w:val="22"/>
          <w:szCs w:val="22"/>
        </w:rPr>
        <w:t>W przypadku zakażenia skóry w leczonym miejscu, należy zastosować dodatkowe leczenie przeciwbakteryjne lub przeciwgrzybicze. Jeżeli objawy zakażenia nie ustąpią, należy przerwać stosowanie produktu leczniczego do czasu wyleczenia zakażenia.</w:t>
      </w:r>
    </w:p>
    <w:p w14:paraId="5E05CE6A" w14:textId="77777777" w:rsidR="0079744C" w:rsidRPr="00837556" w:rsidRDefault="0079744C">
      <w:pPr>
        <w:rPr>
          <w:sz w:val="22"/>
          <w:szCs w:val="22"/>
        </w:rPr>
      </w:pPr>
      <w:r w:rsidRPr="00837556">
        <w:rPr>
          <w:sz w:val="22"/>
          <w:szCs w:val="22"/>
        </w:rPr>
        <w:t>Nie należy stosować produktu leczniczego na powieki lub na skórę w okolicy powiek, ze względu na ryzyko jaskry lub zaćmy oraz u osób z jaskrą lub zaćmą, gdyż może wystąpić nasilenie objawów choroby.</w:t>
      </w:r>
    </w:p>
    <w:p w14:paraId="1FCCA30F" w14:textId="77777777" w:rsidR="0079744C" w:rsidRPr="00837556" w:rsidRDefault="0079744C">
      <w:pPr>
        <w:rPr>
          <w:sz w:val="22"/>
          <w:szCs w:val="22"/>
        </w:rPr>
      </w:pPr>
      <w:r w:rsidRPr="00837556">
        <w:rPr>
          <w:sz w:val="22"/>
          <w:szCs w:val="22"/>
        </w:rPr>
        <w:t>Unikać kontaktu produktu z oczami i błonami śluzowymi.</w:t>
      </w:r>
    </w:p>
    <w:p w14:paraId="0898352B" w14:textId="77777777" w:rsidR="0079744C" w:rsidRPr="00837556" w:rsidRDefault="0079744C">
      <w:pPr>
        <w:rPr>
          <w:sz w:val="22"/>
          <w:szCs w:val="22"/>
        </w:rPr>
      </w:pPr>
      <w:r w:rsidRPr="00837556">
        <w:rPr>
          <w:sz w:val="22"/>
          <w:szCs w:val="22"/>
        </w:rPr>
        <w:t xml:space="preserve">Na skórę twarzy oraz na skórę pach i pachwin stosować tylko w przypadkach bezwzględnie koniecznych, ze względu na zwiększone wchłanianie kortykosteroidu przez delikatną skórę i związane z tym zwiększone ryzyko teleangiektazji, </w:t>
      </w:r>
      <w:proofErr w:type="spellStart"/>
      <w:r w:rsidRPr="00837556">
        <w:rPr>
          <w:i/>
          <w:iCs/>
          <w:sz w:val="22"/>
          <w:szCs w:val="22"/>
        </w:rPr>
        <w:t>dermatitis</w:t>
      </w:r>
      <w:proofErr w:type="spellEnd"/>
      <w:r w:rsidRPr="00837556">
        <w:rPr>
          <w:i/>
          <w:iCs/>
          <w:sz w:val="22"/>
          <w:szCs w:val="22"/>
        </w:rPr>
        <w:t xml:space="preserve"> </w:t>
      </w:r>
      <w:proofErr w:type="spellStart"/>
      <w:r w:rsidRPr="00837556">
        <w:rPr>
          <w:i/>
          <w:iCs/>
          <w:sz w:val="22"/>
          <w:szCs w:val="22"/>
        </w:rPr>
        <w:t>periorali</w:t>
      </w:r>
      <w:proofErr w:type="spellEnd"/>
      <w:r w:rsidRPr="00837556">
        <w:rPr>
          <w:i/>
          <w:iCs/>
          <w:sz w:val="22"/>
          <w:szCs w:val="22"/>
        </w:rPr>
        <w:t xml:space="preserve">, </w:t>
      </w:r>
      <w:r w:rsidRPr="00837556">
        <w:rPr>
          <w:iCs/>
          <w:sz w:val="22"/>
          <w:szCs w:val="22"/>
        </w:rPr>
        <w:t>zaników skóry</w:t>
      </w:r>
      <w:r w:rsidRPr="00837556">
        <w:rPr>
          <w:i/>
          <w:iCs/>
          <w:sz w:val="22"/>
          <w:szCs w:val="22"/>
        </w:rPr>
        <w:t>,</w:t>
      </w:r>
      <w:r w:rsidRPr="00837556">
        <w:rPr>
          <w:sz w:val="22"/>
          <w:szCs w:val="22"/>
        </w:rPr>
        <w:t xml:space="preserve"> nawet po krótkim stosowaniu.</w:t>
      </w:r>
    </w:p>
    <w:p w14:paraId="523C675F" w14:textId="77777777" w:rsidR="0079744C" w:rsidRPr="00837556" w:rsidRDefault="0079744C">
      <w:pPr>
        <w:rPr>
          <w:sz w:val="22"/>
          <w:szCs w:val="22"/>
        </w:rPr>
      </w:pPr>
      <w:r w:rsidRPr="00837556">
        <w:rPr>
          <w:sz w:val="22"/>
          <w:szCs w:val="22"/>
        </w:rPr>
        <w:t xml:space="preserve">Stosowanie produktu leczniczego pod opatrunkiem </w:t>
      </w:r>
      <w:proofErr w:type="spellStart"/>
      <w:r w:rsidRPr="00837556">
        <w:rPr>
          <w:sz w:val="22"/>
          <w:szCs w:val="22"/>
        </w:rPr>
        <w:t>okluzyjnym</w:t>
      </w:r>
      <w:proofErr w:type="spellEnd"/>
      <w:r w:rsidRPr="00837556">
        <w:rPr>
          <w:sz w:val="22"/>
          <w:szCs w:val="22"/>
        </w:rPr>
        <w:t xml:space="preserve"> należy ograniczyć do wyjątkowych sytuacji, ponieważ opatrunek nasila wchłanianie kortykosteroidu do organizmu, ponadto może wystąpić zanik naskórka, rozstępy i </w:t>
      </w:r>
      <w:proofErr w:type="spellStart"/>
      <w:r w:rsidRPr="00837556">
        <w:rPr>
          <w:sz w:val="22"/>
          <w:szCs w:val="22"/>
        </w:rPr>
        <w:t>nadkażenia</w:t>
      </w:r>
      <w:proofErr w:type="spellEnd"/>
      <w:r w:rsidRPr="00837556">
        <w:rPr>
          <w:sz w:val="22"/>
          <w:szCs w:val="22"/>
        </w:rPr>
        <w:t xml:space="preserve">. </w:t>
      </w:r>
    </w:p>
    <w:p w14:paraId="72567C8D" w14:textId="77777777" w:rsidR="0079744C" w:rsidRPr="00837556" w:rsidRDefault="0079744C">
      <w:pPr>
        <w:rPr>
          <w:sz w:val="22"/>
          <w:szCs w:val="22"/>
        </w:rPr>
      </w:pPr>
      <w:r w:rsidRPr="00837556">
        <w:rPr>
          <w:sz w:val="22"/>
          <w:szCs w:val="22"/>
        </w:rPr>
        <w:t>Ostrożnie stosować w stanach zanikowych tkanki podskórnej, zwłaszcza u osób w podeszłym wieku.</w:t>
      </w:r>
    </w:p>
    <w:p w14:paraId="7AF533A4" w14:textId="77777777" w:rsidR="0079744C" w:rsidRPr="00837556" w:rsidRDefault="0079744C">
      <w:pPr>
        <w:rPr>
          <w:sz w:val="22"/>
          <w:szCs w:val="22"/>
        </w:rPr>
      </w:pPr>
    </w:p>
    <w:p w14:paraId="2BCB15B0" w14:textId="77777777" w:rsidR="0079744C" w:rsidRPr="00837556" w:rsidRDefault="0079744C">
      <w:pPr>
        <w:rPr>
          <w:sz w:val="22"/>
          <w:szCs w:val="22"/>
        </w:rPr>
      </w:pPr>
      <w:r w:rsidRPr="00837556">
        <w:rPr>
          <w:sz w:val="22"/>
          <w:szCs w:val="22"/>
        </w:rPr>
        <w:t>Szczególnie ostrożnie stosować u pacjentów z łuszczycą, gdyż miejscowe stosowanie kortykosteroidów w łuszczycy może być niebezpieczne z wielu powodów, w tym ze względu na nawrót choroby spowodowany rozwojem tolerancji, ryzyko wystąpienia uogólnionej łuszczycy krostkowej i ogólne działania toksyczne spowodowane zaburzeniem ciągłości skóry.</w:t>
      </w:r>
    </w:p>
    <w:p w14:paraId="290BC533" w14:textId="77777777" w:rsidR="00D21AB1" w:rsidRPr="00837556" w:rsidRDefault="00D21AB1" w:rsidP="00D21AB1">
      <w:pPr>
        <w:rPr>
          <w:b/>
          <w:bCs/>
          <w:sz w:val="22"/>
          <w:szCs w:val="22"/>
          <w:u w:val="single"/>
        </w:rPr>
      </w:pPr>
    </w:p>
    <w:p w14:paraId="4398FB36" w14:textId="77777777" w:rsidR="00D21AB1" w:rsidRPr="00837556" w:rsidRDefault="00D21AB1" w:rsidP="00B47602">
      <w:pPr>
        <w:keepNext/>
        <w:rPr>
          <w:sz w:val="22"/>
          <w:szCs w:val="22"/>
          <w:u w:val="single"/>
        </w:rPr>
      </w:pPr>
      <w:r w:rsidRPr="00837556">
        <w:rPr>
          <w:bCs/>
          <w:sz w:val="22"/>
          <w:szCs w:val="22"/>
          <w:u w:val="single"/>
        </w:rPr>
        <w:lastRenderedPageBreak/>
        <w:t>Zaburzeni</w:t>
      </w:r>
      <w:r w:rsidR="00D2183F" w:rsidRPr="00837556">
        <w:rPr>
          <w:bCs/>
          <w:sz w:val="22"/>
          <w:szCs w:val="22"/>
          <w:u w:val="single"/>
        </w:rPr>
        <w:t>a</w:t>
      </w:r>
      <w:r w:rsidRPr="00837556">
        <w:rPr>
          <w:bCs/>
          <w:sz w:val="22"/>
          <w:szCs w:val="22"/>
          <w:u w:val="single"/>
        </w:rPr>
        <w:t xml:space="preserve"> widzenia</w:t>
      </w:r>
    </w:p>
    <w:p w14:paraId="5EEA1D9B" w14:textId="77777777" w:rsidR="00D21AB1" w:rsidRPr="00837556" w:rsidRDefault="00D21AB1" w:rsidP="00B47602">
      <w:pPr>
        <w:keepNext/>
        <w:rPr>
          <w:sz w:val="22"/>
          <w:szCs w:val="22"/>
        </w:rPr>
      </w:pPr>
    </w:p>
    <w:p w14:paraId="567EBF17" w14:textId="77777777" w:rsidR="00D21AB1" w:rsidRPr="00837556" w:rsidRDefault="00D21AB1" w:rsidP="00B47602">
      <w:pPr>
        <w:keepNext/>
        <w:rPr>
          <w:sz w:val="22"/>
          <w:szCs w:val="22"/>
        </w:rPr>
      </w:pPr>
      <w:r w:rsidRPr="00837556">
        <w:rPr>
          <w:bCs/>
          <w:sz w:val="22"/>
          <w:szCs w:val="22"/>
        </w:rPr>
        <w:t xml:space="preserve">Zaburzenia widzenia mogą wystąpić w wyniku ogólnoustrojowego i miejscowego stosowania kortykosteroidów. Jeżeli u pacjenta wystąpią takie objawy, jak nieostre widzenie lub inne zaburzenia widzenia, należy rozważyć skierowanie go do okulisty w celu ustalenia możliwych przyczyn, do których może należeć zaćma, jaskra lub rzadkie choroby, takie jak centralna </w:t>
      </w:r>
      <w:proofErr w:type="spellStart"/>
      <w:r w:rsidRPr="00837556">
        <w:rPr>
          <w:bCs/>
          <w:sz w:val="22"/>
          <w:szCs w:val="22"/>
        </w:rPr>
        <w:t>chorioretinopatia</w:t>
      </w:r>
      <w:proofErr w:type="spellEnd"/>
      <w:r w:rsidRPr="00837556">
        <w:rPr>
          <w:bCs/>
          <w:sz w:val="22"/>
          <w:szCs w:val="22"/>
        </w:rPr>
        <w:t xml:space="preserve"> surowicza (</w:t>
      </w:r>
      <w:r w:rsidR="000F003E" w:rsidRPr="00837556">
        <w:rPr>
          <w:bCs/>
          <w:i/>
          <w:sz w:val="22"/>
          <w:szCs w:val="22"/>
        </w:rPr>
        <w:t xml:space="preserve">ang. Central </w:t>
      </w:r>
      <w:proofErr w:type="spellStart"/>
      <w:r w:rsidR="000F003E" w:rsidRPr="00837556">
        <w:rPr>
          <w:bCs/>
          <w:i/>
          <w:sz w:val="22"/>
          <w:szCs w:val="22"/>
        </w:rPr>
        <w:t>Serous</w:t>
      </w:r>
      <w:proofErr w:type="spellEnd"/>
      <w:r w:rsidR="000F003E" w:rsidRPr="00837556">
        <w:rPr>
          <w:bCs/>
          <w:i/>
          <w:sz w:val="22"/>
          <w:szCs w:val="22"/>
        </w:rPr>
        <w:t> </w:t>
      </w:r>
      <w:proofErr w:type="spellStart"/>
      <w:r w:rsidR="000F003E" w:rsidRPr="00837556">
        <w:rPr>
          <w:bCs/>
          <w:i/>
          <w:sz w:val="22"/>
          <w:szCs w:val="22"/>
        </w:rPr>
        <w:t>Chorioretinopathy</w:t>
      </w:r>
      <w:proofErr w:type="spellEnd"/>
      <w:r w:rsidR="000F003E" w:rsidRPr="00837556">
        <w:rPr>
          <w:bCs/>
          <w:i/>
          <w:sz w:val="22"/>
          <w:szCs w:val="22"/>
        </w:rPr>
        <w:t>,</w:t>
      </w:r>
      <w:r w:rsidR="003B0106" w:rsidRPr="00837556">
        <w:rPr>
          <w:bCs/>
          <w:i/>
          <w:sz w:val="22"/>
          <w:szCs w:val="22"/>
        </w:rPr>
        <w:t xml:space="preserve"> </w:t>
      </w:r>
      <w:r w:rsidRPr="00837556">
        <w:rPr>
          <w:bCs/>
          <w:sz w:val="22"/>
          <w:szCs w:val="22"/>
        </w:rPr>
        <w:t>CSCR), którą notowano po</w:t>
      </w:r>
    </w:p>
    <w:p w14:paraId="5775B1E4" w14:textId="77777777" w:rsidR="00D21AB1" w:rsidRPr="00837556" w:rsidRDefault="00D21AB1" w:rsidP="00D21AB1">
      <w:pPr>
        <w:rPr>
          <w:sz w:val="22"/>
          <w:szCs w:val="22"/>
        </w:rPr>
      </w:pPr>
      <w:r w:rsidRPr="00837556">
        <w:rPr>
          <w:bCs/>
          <w:sz w:val="22"/>
          <w:szCs w:val="22"/>
        </w:rPr>
        <w:t>ogólnoustrojowym i miejscowym stosowaniu kortykosteroidów.</w:t>
      </w:r>
    </w:p>
    <w:p w14:paraId="59365E2E" w14:textId="77777777" w:rsidR="0079744C" w:rsidRPr="00837556" w:rsidRDefault="0079744C">
      <w:pPr>
        <w:rPr>
          <w:sz w:val="22"/>
          <w:szCs w:val="22"/>
          <w:u w:val="single"/>
        </w:rPr>
      </w:pPr>
    </w:p>
    <w:p w14:paraId="15C7E933" w14:textId="77777777" w:rsidR="00B41907" w:rsidRPr="00837556" w:rsidRDefault="00B41907">
      <w:pPr>
        <w:rPr>
          <w:sz w:val="22"/>
          <w:szCs w:val="22"/>
          <w:u w:val="single"/>
        </w:rPr>
      </w:pPr>
      <w:r w:rsidRPr="00837556">
        <w:rPr>
          <w:sz w:val="22"/>
          <w:szCs w:val="22"/>
          <w:u w:val="single"/>
        </w:rPr>
        <w:t>Dzieci i młodzież</w:t>
      </w:r>
    </w:p>
    <w:p w14:paraId="3149FEE1" w14:textId="77777777" w:rsidR="0079744C" w:rsidRPr="00837556" w:rsidRDefault="0079744C">
      <w:pPr>
        <w:rPr>
          <w:sz w:val="22"/>
          <w:szCs w:val="22"/>
        </w:rPr>
      </w:pPr>
      <w:r w:rsidRPr="00837556">
        <w:rPr>
          <w:sz w:val="22"/>
          <w:szCs w:val="22"/>
        </w:rPr>
        <w:t>Ostrożnie stosować u dzieci w wieku powyżej 2 lat.</w:t>
      </w:r>
    </w:p>
    <w:p w14:paraId="7EC3BDCC" w14:textId="77777777" w:rsidR="0079744C" w:rsidRPr="00837556" w:rsidRDefault="0079744C">
      <w:pPr>
        <w:rPr>
          <w:sz w:val="22"/>
          <w:szCs w:val="22"/>
        </w:rPr>
      </w:pPr>
      <w:r w:rsidRPr="00837556">
        <w:rPr>
          <w:sz w:val="22"/>
          <w:szCs w:val="22"/>
        </w:rPr>
        <w:t xml:space="preserve">U dzieci, ze </w:t>
      </w:r>
      <w:r w:rsidRPr="00837556">
        <w:rPr>
          <w:snapToGrid w:val="0"/>
          <w:sz w:val="22"/>
          <w:szCs w:val="22"/>
        </w:rPr>
        <w:t>względu na większy niż u dorosłych stosunek powierzchni ciała do masy ciała,</w:t>
      </w:r>
      <w:r w:rsidRPr="00837556">
        <w:rPr>
          <w:sz w:val="22"/>
          <w:szCs w:val="22"/>
        </w:rPr>
        <w:t xml:space="preserve"> łatwiej niż u dorosłych może dojść do zahamowania czynności osi </w:t>
      </w:r>
      <w:proofErr w:type="spellStart"/>
      <w:r w:rsidRPr="00837556">
        <w:rPr>
          <w:sz w:val="22"/>
          <w:szCs w:val="22"/>
        </w:rPr>
        <w:t>podwzgórze-przysadka-nadnercza</w:t>
      </w:r>
      <w:proofErr w:type="spellEnd"/>
      <w:r w:rsidRPr="00837556">
        <w:rPr>
          <w:sz w:val="22"/>
          <w:szCs w:val="22"/>
        </w:rPr>
        <w:t xml:space="preserve"> i wystąpienia objawów niepożądanych charakterystycznych dla kortykosteroidów, w tym zaburzeń wzrostu i rozwoju.</w:t>
      </w:r>
    </w:p>
    <w:p w14:paraId="365546ED" w14:textId="77777777" w:rsidR="0079744C" w:rsidRPr="00837556" w:rsidRDefault="0079744C">
      <w:pPr>
        <w:rPr>
          <w:sz w:val="22"/>
          <w:szCs w:val="22"/>
        </w:rPr>
      </w:pPr>
    </w:p>
    <w:p w14:paraId="008EC9D8" w14:textId="77777777" w:rsidR="00652DC7" w:rsidRDefault="00652DC7" w:rsidP="00652DC7">
      <w:pPr>
        <w:rPr>
          <w:b/>
          <w:sz w:val="22"/>
          <w:szCs w:val="22"/>
        </w:rPr>
      </w:pPr>
      <w:proofErr w:type="spellStart"/>
      <w:r>
        <w:rPr>
          <w:b/>
          <w:sz w:val="22"/>
          <w:szCs w:val="22"/>
        </w:rPr>
        <w:t>Lorinden</w:t>
      </w:r>
      <w:proofErr w:type="spellEnd"/>
      <w:r>
        <w:rPr>
          <w:b/>
          <w:sz w:val="22"/>
          <w:szCs w:val="22"/>
        </w:rPr>
        <w:t xml:space="preserve"> A zawiera</w:t>
      </w:r>
      <w:r>
        <w:rPr>
          <w:sz w:val="22"/>
          <w:szCs w:val="22"/>
        </w:rPr>
        <w:t xml:space="preserve"> </w:t>
      </w:r>
      <w:r>
        <w:rPr>
          <w:b/>
          <w:sz w:val="22"/>
          <w:szCs w:val="22"/>
        </w:rPr>
        <w:t>glikol propylenowy:</w:t>
      </w:r>
    </w:p>
    <w:p w14:paraId="00E20B7C" w14:textId="44EDDF1A" w:rsidR="00652DC7" w:rsidRPr="007F03A9" w:rsidRDefault="00652DC7" w:rsidP="007F03A9">
      <w:pPr>
        <w:pStyle w:val="NormalnyWeb"/>
        <w:shd w:val="clear" w:color="auto" w:fill="FFFFFF"/>
        <w:outlineLvl w:val="0"/>
        <w:rPr>
          <w:color w:val="000000"/>
        </w:rPr>
      </w:pPr>
      <w:proofErr w:type="spellStart"/>
      <w:r>
        <w:rPr>
          <w:rFonts w:ascii="Times New Roman" w:eastAsia="Times New Roman" w:hAnsi="Times New Roman" w:cs="Times New Roman"/>
          <w:bCs/>
          <w:color w:val="201F1E"/>
          <w:kern w:val="36"/>
          <w:bdr w:val="none" w:sz="0" w:space="0" w:color="auto" w:frame="1"/>
        </w:rPr>
        <w:t>Lorinden</w:t>
      </w:r>
      <w:proofErr w:type="spellEnd"/>
      <w:r>
        <w:rPr>
          <w:rFonts w:ascii="Times New Roman" w:eastAsia="Times New Roman" w:hAnsi="Times New Roman" w:cs="Times New Roman"/>
          <w:bCs/>
          <w:color w:val="201F1E"/>
          <w:kern w:val="36"/>
          <w:bdr w:val="none" w:sz="0" w:space="0" w:color="auto" w:frame="1"/>
        </w:rPr>
        <w:t xml:space="preserve"> A zawiera 5</w:t>
      </w:r>
      <w:r w:rsidR="00C52725">
        <w:rPr>
          <w:rFonts w:ascii="Times New Roman" w:eastAsia="Times New Roman" w:hAnsi="Times New Roman" w:cs="Times New Roman"/>
          <w:bCs/>
          <w:color w:val="201F1E"/>
          <w:kern w:val="36"/>
          <w:bdr w:val="none" w:sz="0" w:space="0" w:color="auto" w:frame="1"/>
        </w:rPr>
        <w:t>0</w:t>
      </w:r>
      <w:r>
        <w:rPr>
          <w:rFonts w:ascii="Times New Roman" w:eastAsia="Times New Roman" w:hAnsi="Times New Roman" w:cs="Times New Roman"/>
          <w:bCs/>
          <w:color w:val="201F1E"/>
          <w:kern w:val="36"/>
          <w:bdr w:val="none" w:sz="0" w:space="0" w:color="auto" w:frame="1"/>
        </w:rPr>
        <w:t xml:space="preserve"> mg glikolu propylenowego  w 1 g maści.</w:t>
      </w:r>
    </w:p>
    <w:p w14:paraId="7ADF475F" w14:textId="4C90A643" w:rsidR="0079744C" w:rsidRDefault="00652DC7">
      <w:pPr>
        <w:rPr>
          <w:sz w:val="22"/>
          <w:szCs w:val="22"/>
        </w:rPr>
      </w:pPr>
      <w:r>
        <w:rPr>
          <w:sz w:val="22"/>
          <w:szCs w:val="22"/>
        </w:rPr>
        <w:t>G</w:t>
      </w:r>
      <w:r w:rsidR="0079744C" w:rsidRPr="00837556">
        <w:rPr>
          <w:sz w:val="22"/>
          <w:szCs w:val="22"/>
        </w:rPr>
        <w:t>likol propylenow</w:t>
      </w:r>
      <w:r>
        <w:rPr>
          <w:sz w:val="22"/>
          <w:szCs w:val="22"/>
        </w:rPr>
        <w:t>y</w:t>
      </w:r>
      <w:r w:rsidR="0079744C" w:rsidRPr="00837556">
        <w:rPr>
          <w:sz w:val="22"/>
          <w:szCs w:val="22"/>
        </w:rPr>
        <w:t xml:space="preserve"> może powodować podrażnienie skóry.</w:t>
      </w:r>
    </w:p>
    <w:p w14:paraId="62C1FD1C" w14:textId="77777777" w:rsidR="00652DC7" w:rsidRDefault="00652DC7">
      <w:pPr>
        <w:rPr>
          <w:sz w:val="22"/>
          <w:szCs w:val="22"/>
        </w:rPr>
      </w:pPr>
    </w:p>
    <w:p w14:paraId="4717F490" w14:textId="77777777" w:rsidR="00652DC7" w:rsidRPr="007F03A9" w:rsidRDefault="00652DC7">
      <w:pPr>
        <w:rPr>
          <w:b/>
          <w:sz w:val="22"/>
          <w:szCs w:val="22"/>
        </w:rPr>
      </w:pPr>
      <w:proofErr w:type="spellStart"/>
      <w:r w:rsidRPr="007F03A9">
        <w:rPr>
          <w:b/>
          <w:sz w:val="22"/>
          <w:szCs w:val="22"/>
        </w:rPr>
        <w:t>Lorinden</w:t>
      </w:r>
      <w:proofErr w:type="spellEnd"/>
      <w:r w:rsidRPr="007F03A9">
        <w:rPr>
          <w:b/>
          <w:sz w:val="22"/>
          <w:szCs w:val="22"/>
        </w:rPr>
        <w:t xml:space="preserve"> A zawiera lanolinę:</w:t>
      </w:r>
    </w:p>
    <w:p w14:paraId="7D0E0689" w14:textId="6447497B" w:rsidR="0079744C" w:rsidRPr="00837556" w:rsidRDefault="00652DC7">
      <w:pPr>
        <w:rPr>
          <w:sz w:val="22"/>
          <w:szCs w:val="22"/>
        </w:rPr>
      </w:pPr>
      <w:r>
        <w:rPr>
          <w:sz w:val="22"/>
          <w:szCs w:val="22"/>
        </w:rPr>
        <w:t>P</w:t>
      </w:r>
      <w:r w:rsidR="0079744C" w:rsidRPr="00837556">
        <w:rPr>
          <w:sz w:val="22"/>
          <w:szCs w:val="22"/>
        </w:rPr>
        <w:t>rodukt leczniczy może powodować miejscowe reakcje skórne (np. kontaktowe zapalenie skóry).</w:t>
      </w:r>
    </w:p>
    <w:p w14:paraId="1E1DA7E3" w14:textId="77777777" w:rsidR="0079744C" w:rsidRPr="00837556" w:rsidRDefault="0079744C">
      <w:pPr>
        <w:rPr>
          <w:sz w:val="22"/>
          <w:szCs w:val="22"/>
        </w:rPr>
      </w:pPr>
    </w:p>
    <w:p w14:paraId="72BE7B84" w14:textId="77777777" w:rsidR="00B41907" w:rsidRPr="00837556" w:rsidRDefault="0079744C">
      <w:pPr>
        <w:rPr>
          <w:b/>
          <w:bCs/>
          <w:sz w:val="22"/>
          <w:szCs w:val="22"/>
        </w:rPr>
      </w:pPr>
      <w:r w:rsidRPr="00837556">
        <w:rPr>
          <w:b/>
          <w:bCs/>
          <w:sz w:val="22"/>
          <w:szCs w:val="22"/>
        </w:rPr>
        <w:t xml:space="preserve">4.5 Interakcje z innymi </w:t>
      </w:r>
      <w:r w:rsidR="00B41907" w:rsidRPr="00837556">
        <w:rPr>
          <w:b/>
          <w:bCs/>
          <w:sz w:val="22"/>
          <w:szCs w:val="22"/>
        </w:rPr>
        <w:t xml:space="preserve">produktami leczniczymi </w:t>
      </w:r>
      <w:r w:rsidRPr="00837556">
        <w:rPr>
          <w:b/>
          <w:bCs/>
          <w:sz w:val="22"/>
          <w:szCs w:val="22"/>
        </w:rPr>
        <w:t xml:space="preserve"> i inne rodzaje interakcji</w:t>
      </w:r>
      <w:r w:rsidR="00B41907" w:rsidRPr="00837556">
        <w:rPr>
          <w:b/>
          <w:bCs/>
          <w:sz w:val="22"/>
          <w:szCs w:val="22"/>
        </w:rPr>
        <w:t xml:space="preserve"> </w:t>
      </w:r>
    </w:p>
    <w:p w14:paraId="10955ECF" w14:textId="77777777" w:rsidR="0079744C" w:rsidRPr="00837556" w:rsidRDefault="00B41907">
      <w:pPr>
        <w:rPr>
          <w:sz w:val="22"/>
          <w:szCs w:val="22"/>
        </w:rPr>
      </w:pPr>
      <w:r w:rsidRPr="00837556">
        <w:rPr>
          <w:b/>
          <w:bCs/>
          <w:sz w:val="22"/>
          <w:szCs w:val="22"/>
        </w:rPr>
        <w:br/>
      </w:r>
      <w:r w:rsidRPr="00837556">
        <w:rPr>
          <w:bCs/>
          <w:sz w:val="22"/>
          <w:szCs w:val="22"/>
        </w:rPr>
        <w:t>Nie przeprowadzono badań dotyczących interakcji</w:t>
      </w:r>
      <w:r w:rsidRPr="00837556">
        <w:rPr>
          <w:b/>
          <w:bCs/>
          <w:sz w:val="22"/>
          <w:szCs w:val="22"/>
        </w:rPr>
        <w:t>.</w:t>
      </w:r>
    </w:p>
    <w:p w14:paraId="4D62D562" w14:textId="77777777" w:rsidR="0079744C" w:rsidRPr="00837556" w:rsidRDefault="0079744C">
      <w:pPr>
        <w:rPr>
          <w:sz w:val="22"/>
          <w:szCs w:val="22"/>
        </w:rPr>
      </w:pPr>
      <w:r w:rsidRPr="00837556">
        <w:rPr>
          <w:sz w:val="22"/>
          <w:szCs w:val="22"/>
        </w:rPr>
        <w:t xml:space="preserve">Należy jednak mieć na uwadze, aby nie szczepić pacjentów przeciwko ospie i nie podejmować innych immunizacji, szczególnie przy przewlekłym stosowaniu produktu leczniczego na dużą powierzchnię skóry, ze względu na ryzyko braku prawidłowej odpowiedzi immunologicznej. </w:t>
      </w:r>
    </w:p>
    <w:p w14:paraId="63A0F48E" w14:textId="77777777" w:rsidR="0079744C" w:rsidRPr="00837556" w:rsidRDefault="0079744C">
      <w:pPr>
        <w:rPr>
          <w:sz w:val="22"/>
          <w:szCs w:val="22"/>
        </w:rPr>
      </w:pPr>
      <w:r w:rsidRPr="00837556">
        <w:rPr>
          <w:sz w:val="22"/>
          <w:szCs w:val="22"/>
        </w:rPr>
        <w:t xml:space="preserve">W przypadku długotrwałego stosowania produktu leczniczego na duże powierzchnie skóry, w wyniku wchłaniania kwasu salicylowego do organizmu, może wystąpić nasilenie działania </w:t>
      </w:r>
      <w:proofErr w:type="spellStart"/>
      <w:r w:rsidRPr="00837556">
        <w:rPr>
          <w:sz w:val="22"/>
          <w:szCs w:val="22"/>
        </w:rPr>
        <w:t>metotreksatu</w:t>
      </w:r>
      <w:proofErr w:type="spellEnd"/>
      <w:r w:rsidRPr="00837556">
        <w:rPr>
          <w:sz w:val="22"/>
          <w:szCs w:val="22"/>
        </w:rPr>
        <w:t xml:space="preserve">, doustnych leków przeciwcukrzycowych pochodnych </w:t>
      </w:r>
      <w:proofErr w:type="spellStart"/>
      <w:r w:rsidRPr="00837556">
        <w:rPr>
          <w:sz w:val="22"/>
          <w:szCs w:val="22"/>
        </w:rPr>
        <w:t>sulfonylomocznika</w:t>
      </w:r>
      <w:proofErr w:type="spellEnd"/>
      <w:r w:rsidRPr="00837556">
        <w:rPr>
          <w:sz w:val="22"/>
          <w:szCs w:val="22"/>
        </w:rPr>
        <w:t xml:space="preserve">. </w:t>
      </w:r>
    </w:p>
    <w:p w14:paraId="30D2D144" w14:textId="77777777" w:rsidR="0079744C" w:rsidRPr="00837556" w:rsidRDefault="0079744C">
      <w:pPr>
        <w:rPr>
          <w:sz w:val="22"/>
          <w:szCs w:val="22"/>
        </w:rPr>
      </w:pPr>
      <w:proofErr w:type="spellStart"/>
      <w:r w:rsidRPr="00837556">
        <w:rPr>
          <w:sz w:val="22"/>
          <w:szCs w:val="22"/>
        </w:rPr>
        <w:t>Lorinden</w:t>
      </w:r>
      <w:proofErr w:type="spellEnd"/>
      <w:r w:rsidRPr="00837556">
        <w:rPr>
          <w:sz w:val="22"/>
          <w:szCs w:val="22"/>
        </w:rPr>
        <w:t xml:space="preserve"> A maść może nasilać działanie leków immunosupresyjnych i osłabiać działanie leków immunostymulujących.</w:t>
      </w:r>
    </w:p>
    <w:p w14:paraId="22B2E3D7" w14:textId="77777777" w:rsidR="0079744C" w:rsidRPr="00837556" w:rsidRDefault="0079744C">
      <w:pPr>
        <w:rPr>
          <w:sz w:val="22"/>
          <w:szCs w:val="22"/>
        </w:rPr>
      </w:pPr>
    </w:p>
    <w:p w14:paraId="43DB632E" w14:textId="77777777" w:rsidR="0079744C" w:rsidRPr="00837556" w:rsidRDefault="0079744C">
      <w:pPr>
        <w:rPr>
          <w:b/>
          <w:bCs/>
          <w:sz w:val="22"/>
          <w:szCs w:val="22"/>
        </w:rPr>
      </w:pPr>
      <w:r w:rsidRPr="00837556">
        <w:rPr>
          <w:b/>
          <w:bCs/>
          <w:sz w:val="22"/>
          <w:szCs w:val="22"/>
        </w:rPr>
        <w:t xml:space="preserve">4.6 </w:t>
      </w:r>
      <w:r w:rsidR="00B41907" w:rsidRPr="00837556">
        <w:rPr>
          <w:b/>
          <w:bCs/>
          <w:sz w:val="22"/>
          <w:szCs w:val="22"/>
        </w:rPr>
        <w:t xml:space="preserve">Wpływ na płodność, ciążę i laktację </w:t>
      </w:r>
    </w:p>
    <w:p w14:paraId="5278BEC4" w14:textId="77777777" w:rsidR="0079744C" w:rsidRPr="00837556" w:rsidRDefault="0079744C">
      <w:pPr>
        <w:rPr>
          <w:b/>
          <w:bCs/>
          <w:sz w:val="22"/>
          <w:szCs w:val="22"/>
        </w:rPr>
      </w:pPr>
    </w:p>
    <w:p w14:paraId="7D3B43FC" w14:textId="77777777" w:rsidR="00B41907" w:rsidRPr="00837556" w:rsidRDefault="00B41907">
      <w:pPr>
        <w:rPr>
          <w:bCs/>
          <w:sz w:val="22"/>
          <w:szCs w:val="22"/>
          <w:u w:val="single"/>
        </w:rPr>
      </w:pPr>
      <w:r w:rsidRPr="00837556">
        <w:rPr>
          <w:bCs/>
          <w:sz w:val="22"/>
          <w:szCs w:val="22"/>
          <w:u w:val="single"/>
        </w:rPr>
        <w:t>Ciąża</w:t>
      </w:r>
    </w:p>
    <w:p w14:paraId="65AC1221" w14:textId="77777777" w:rsidR="0079744C" w:rsidRPr="00837556" w:rsidRDefault="0079744C">
      <w:pPr>
        <w:rPr>
          <w:sz w:val="22"/>
          <w:szCs w:val="22"/>
        </w:rPr>
      </w:pPr>
      <w:proofErr w:type="spellStart"/>
      <w:r w:rsidRPr="00837556">
        <w:rPr>
          <w:sz w:val="22"/>
          <w:szCs w:val="22"/>
        </w:rPr>
        <w:t>Lorinden</w:t>
      </w:r>
      <w:proofErr w:type="spellEnd"/>
      <w:r w:rsidRPr="00837556">
        <w:rPr>
          <w:sz w:val="22"/>
          <w:szCs w:val="22"/>
        </w:rPr>
        <w:t xml:space="preserve"> A maść może być zastosowany u kobiet w ciąży tylko krótkotrwale, na małą powierzchnię skóry, jeżeli korzyści dla matki przewyższają ryzyko dla płodu. </w:t>
      </w:r>
    </w:p>
    <w:p w14:paraId="1540784C" w14:textId="77777777" w:rsidR="0079744C" w:rsidRPr="00837556" w:rsidRDefault="0079744C">
      <w:pPr>
        <w:rPr>
          <w:sz w:val="22"/>
          <w:szCs w:val="22"/>
        </w:rPr>
      </w:pPr>
      <w:r w:rsidRPr="00837556">
        <w:rPr>
          <w:sz w:val="22"/>
          <w:szCs w:val="22"/>
        </w:rPr>
        <w:t>Bezwzględnie nie stosować w pierwszym trymestrze ciąży.</w:t>
      </w:r>
    </w:p>
    <w:p w14:paraId="6553BC32" w14:textId="77777777" w:rsidR="0079744C" w:rsidRPr="00837556" w:rsidRDefault="0079744C">
      <w:pPr>
        <w:rPr>
          <w:sz w:val="22"/>
          <w:szCs w:val="22"/>
        </w:rPr>
      </w:pPr>
      <w:r w:rsidRPr="00837556">
        <w:rPr>
          <w:sz w:val="22"/>
          <w:szCs w:val="22"/>
        </w:rPr>
        <w:t xml:space="preserve">W badaniach na zwierzętach wykazano, że kortykosteroidy działają teratogennie, nawet po stosowaniu małych dawek doustnie. Działanie teratogenne występowało u zwierząt, także po stosowaniu silnych </w:t>
      </w:r>
      <w:proofErr w:type="spellStart"/>
      <w:r w:rsidRPr="00837556">
        <w:rPr>
          <w:sz w:val="22"/>
          <w:szCs w:val="22"/>
        </w:rPr>
        <w:t>glikokortykosteroidów</w:t>
      </w:r>
      <w:proofErr w:type="spellEnd"/>
      <w:r w:rsidRPr="00837556">
        <w:rPr>
          <w:sz w:val="22"/>
          <w:szCs w:val="22"/>
        </w:rPr>
        <w:t xml:space="preserve"> na skórę. Nie przeprowadzono kontrolowanych badań dotyczących działania teratogennego po miejscowym stosowaniu na skórę </w:t>
      </w:r>
      <w:proofErr w:type="spellStart"/>
      <w:r w:rsidRPr="00837556">
        <w:rPr>
          <w:sz w:val="22"/>
          <w:szCs w:val="22"/>
        </w:rPr>
        <w:t>flumetazonu</w:t>
      </w:r>
      <w:proofErr w:type="spellEnd"/>
      <w:r w:rsidRPr="00837556">
        <w:rPr>
          <w:sz w:val="22"/>
          <w:szCs w:val="22"/>
        </w:rPr>
        <w:t xml:space="preserve"> </w:t>
      </w:r>
      <w:proofErr w:type="spellStart"/>
      <w:r w:rsidRPr="00837556">
        <w:rPr>
          <w:sz w:val="22"/>
          <w:szCs w:val="22"/>
        </w:rPr>
        <w:t>piwalanu</w:t>
      </w:r>
      <w:proofErr w:type="spellEnd"/>
      <w:r w:rsidRPr="00837556">
        <w:rPr>
          <w:sz w:val="22"/>
          <w:szCs w:val="22"/>
        </w:rPr>
        <w:t xml:space="preserve"> u kobiet w okresie ciąży.</w:t>
      </w:r>
    </w:p>
    <w:p w14:paraId="5867BA08" w14:textId="77777777" w:rsidR="00D91351" w:rsidRPr="00837556" w:rsidRDefault="00D91351">
      <w:pPr>
        <w:rPr>
          <w:b/>
          <w:bCs/>
          <w:sz w:val="22"/>
          <w:szCs w:val="22"/>
        </w:rPr>
      </w:pPr>
    </w:p>
    <w:p w14:paraId="1E58A604" w14:textId="77777777" w:rsidR="00B41907" w:rsidRPr="00837556" w:rsidRDefault="00B41907">
      <w:pPr>
        <w:rPr>
          <w:bCs/>
          <w:sz w:val="22"/>
          <w:szCs w:val="22"/>
          <w:u w:val="single"/>
        </w:rPr>
      </w:pPr>
      <w:r w:rsidRPr="00837556">
        <w:rPr>
          <w:bCs/>
          <w:sz w:val="22"/>
          <w:szCs w:val="22"/>
          <w:u w:val="single"/>
        </w:rPr>
        <w:t>Karmienie piersią</w:t>
      </w:r>
    </w:p>
    <w:p w14:paraId="49E5AA83" w14:textId="77777777" w:rsidR="0079744C" w:rsidRPr="00837556" w:rsidRDefault="0079744C">
      <w:pPr>
        <w:rPr>
          <w:sz w:val="22"/>
          <w:szCs w:val="22"/>
        </w:rPr>
      </w:pPr>
      <w:r w:rsidRPr="00837556">
        <w:rPr>
          <w:sz w:val="22"/>
          <w:szCs w:val="22"/>
        </w:rPr>
        <w:t xml:space="preserve">Należy rozważyć czy zaprzestać karmienia piersią czy zaprzestać stosowania produktu </w:t>
      </w:r>
      <w:proofErr w:type="spellStart"/>
      <w:r w:rsidRPr="00837556">
        <w:rPr>
          <w:sz w:val="22"/>
          <w:szCs w:val="22"/>
        </w:rPr>
        <w:t>Lorinden</w:t>
      </w:r>
      <w:proofErr w:type="spellEnd"/>
      <w:r w:rsidRPr="00837556">
        <w:rPr>
          <w:sz w:val="22"/>
          <w:szCs w:val="22"/>
        </w:rPr>
        <w:t> A maść, biorąc pod uwagę możliwość wystąpienia działań niepożądanych u dzieci i korzyści leczenia dla matki.</w:t>
      </w:r>
    </w:p>
    <w:p w14:paraId="0ACB533D" w14:textId="77777777" w:rsidR="0079744C" w:rsidRPr="00837556" w:rsidRDefault="0079744C">
      <w:pPr>
        <w:rPr>
          <w:sz w:val="22"/>
          <w:szCs w:val="22"/>
        </w:rPr>
      </w:pPr>
      <w:r w:rsidRPr="00837556">
        <w:rPr>
          <w:sz w:val="22"/>
          <w:szCs w:val="22"/>
        </w:rPr>
        <w:t xml:space="preserve">Nie ustalono, czy miejscowo stosowane kortykosteroidy wchłaniają się przez skórę w takim stopniu, że mogą przenikać do mleka kobiet karmiących Nie wiadomo w jakim stopniu </w:t>
      </w:r>
      <w:proofErr w:type="spellStart"/>
      <w:r w:rsidRPr="00837556">
        <w:rPr>
          <w:sz w:val="22"/>
          <w:szCs w:val="22"/>
        </w:rPr>
        <w:t>flumetazonu</w:t>
      </w:r>
      <w:proofErr w:type="spellEnd"/>
      <w:r w:rsidRPr="00837556">
        <w:rPr>
          <w:sz w:val="22"/>
          <w:szCs w:val="22"/>
        </w:rPr>
        <w:t xml:space="preserve"> </w:t>
      </w:r>
      <w:proofErr w:type="spellStart"/>
      <w:r w:rsidRPr="00837556">
        <w:rPr>
          <w:sz w:val="22"/>
          <w:szCs w:val="22"/>
        </w:rPr>
        <w:t>piwalanu</w:t>
      </w:r>
      <w:proofErr w:type="spellEnd"/>
      <w:r w:rsidRPr="00837556">
        <w:rPr>
          <w:sz w:val="22"/>
          <w:szCs w:val="22"/>
        </w:rPr>
        <w:t xml:space="preserve"> może przenikać do mleka kobiet karmiących piersią po zastosowaniu na skórę. </w:t>
      </w:r>
    </w:p>
    <w:p w14:paraId="3544F100" w14:textId="77777777" w:rsidR="0079744C" w:rsidRPr="00837556" w:rsidRDefault="0079744C">
      <w:pPr>
        <w:rPr>
          <w:sz w:val="22"/>
          <w:szCs w:val="22"/>
        </w:rPr>
      </w:pPr>
    </w:p>
    <w:p w14:paraId="30DE5C6D" w14:textId="77777777" w:rsidR="00D91351" w:rsidRPr="00837556" w:rsidRDefault="0079744C">
      <w:pPr>
        <w:pStyle w:val="Tekstpodstawowy"/>
        <w:spacing w:line="240" w:lineRule="auto"/>
        <w:rPr>
          <w:sz w:val="22"/>
          <w:szCs w:val="22"/>
        </w:rPr>
      </w:pPr>
      <w:r w:rsidRPr="00837556">
        <w:rPr>
          <w:sz w:val="22"/>
          <w:szCs w:val="22"/>
        </w:rPr>
        <w:t>4.7 Wpływ na zdolność prowadzenia pojazdów i obsługiwania</w:t>
      </w:r>
      <w:r w:rsidR="004C34DE" w:rsidRPr="00837556">
        <w:rPr>
          <w:sz w:val="22"/>
          <w:szCs w:val="22"/>
        </w:rPr>
        <w:t xml:space="preserve"> maszyn</w:t>
      </w:r>
    </w:p>
    <w:p w14:paraId="5D8C89C1" w14:textId="77777777" w:rsidR="0079744C" w:rsidRPr="00837556" w:rsidRDefault="004C34DE">
      <w:pPr>
        <w:pStyle w:val="Tekstpodstawowy"/>
        <w:spacing w:line="240" w:lineRule="auto"/>
        <w:rPr>
          <w:sz w:val="22"/>
          <w:szCs w:val="22"/>
        </w:rPr>
      </w:pPr>
      <w:r w:rsidRPr="00837556">
        <w:rPr>
          <w:sz w:val="22"/>
          <w:szCs w:val="22"/>
        </w:rPr>
        <w:t xml:space="preserve"> </w:t>
      </w:r>
    </w:p>
    <w:p w14:paraId="738D87E1" w14:textId="77777777" w:rsidR="004C34DE" w:rsidRPr="00837556" w:rsidRDefault="004C34DE" w:rsidP="004C34DE">
      <w:pPr>
        <w:rPr>
          <w:bCs/>
          <w:sz w:val="22"/>
          <w:szCs w:val="22"/>
        </w:rPr>
      </w:pPr>
      <w:proofErr w:type="spellStart"/>
      <w:r w:rsidRPr="00837556">
        <w:rPr>
          <w:bCs/>
          <w:sz w:val="22"/>
          <w:szCs w:val="22"/>
        </w:rPr>
        <w:lastRenderedPageBreak/>
        <w:t>Lorinden</w:t>
      </w:r>
      <w:proofErr w:type="spellEnd"/>
      <w:r w:rsidRPr="00837556">
        <w:rPr>
          <w:bCs/>
          <w:sz w:val="22"/>
          <w:szCs w:val="22"/>
        </w:rPr>
        <w:t xml:space="preserve"> </w:t>
      </w:r>
      <w:r w:rsidR="00623E65" w:rsidRPr="00837556">
        <w:rPr>
          <w:bCs/>
          <w:sz w:val="22"/>
          <w:szCs w:val="22"/>
        </w:rPr>
        <w:t>A</w:t>
      </w:r>
      <w:r w:rsidRPr="00837556">
        <w:rPr>
          <w:bCs/>
          <w:sz w:val="22"/>
          <w:szCs w:val="22"/>
        </w:rPr>
        <w:t xml:space="preserve"> nie ma wpływu </w:t>
      </w:r>
      <w:r w:rsidR="00060340" w:rsidRPr="00837556">
        <w:rPr>
          <w:bCs/>
          <w:sz w:val="22"/>
          <w:szCs w:val="22"/>
        </w:rPr>
        <w:t xml:space="preserve">lub wywiera nieistotny wpływ </w:t>
      </w:r>
      <w:r w:rsidRPr="00837556">
        <w:rPr>
          <w:bCs/>
          <w:sz w:val="22"/>
          <w:szCs w:val="22"/>
        </w:rPr>
        <w:t xml:space="preserve">na zdolność prowadzenia pojazdów </w:t>
      </w:r>
      <w:r w:rsidR="00060340" w:rsidRPr="00837556">
        <w:rPr>
          <w:bCs/>
          <w:sz w:val="22"/>
          <w:szCs w:val="22"/>
        </w:rPr>
        <w:t>i </w:t>
      </w:r>
      <w:r w:rsidRPr="00837556">
        <w:rPr>
          <w:bCs/>
          <w:sz w:val="22"/>
          <w:szCs w:val="22"/>
        </w:rPr>
        <w:t>obsługiwania maszyn.</w:t>
      </w:r>
    </w:p>
    <w:p w14:paraId="17A2A99E" w14:textId="77777777" w:rsidR="00060340" w:rsidRPr="00837556" w:rsidRDefault="00060340">
      <w:pPr>
        <w:pStyle w:val="Tekstpodstawowy"/>
        <w:spacing w:line="240" w:lineRule="auto"/>
        <w:rPr>
          <w:b w:val="0"/>
          <w:bCs w:val="0"/>
          <w:sz w:val="22"/>
          <w:szCs w:val="22"/>
        </w:rPr>
      </w:pPr>
    </w:p>
    <w:p w14:paraId="5651D502" w14:textId="77777777" w:rsidR="0079744C" w:rsidRPr="00837556" w:rsidRDefault="0079744C">
      <w:pPr>
        <w:rPr>
          <w:b/>
          <w:bCs/>
          <w:sz w:val="22"/>
          <w:szCs w:val="22"/>
        </w:rPr>
      </w:pPr>
      <w:r w:rsidRPr="00837556">
        <w:rPr>
          <w:b/>
          <w:bCs/>
          <w:sz w:val="22"/>
          <w:szCs w:val="22"/>
        </w:rPr>
        <w:t>4.8 Działania niepożądane</w:t>
      </w:r>
    </w:p>
    <w:p w14:paraId="1C6599ED" w14:textId="77777777" w:rsidR="00060340" w:rsidRPr="00837556" w:rsidRDefault="00060340">
      <w:pPr>
        <w:rPr>
          <w:b/>
          <w:bCs/>
          <w:sz w:val="22"/>
          <w:szCs w:val="22"/>
        </w:rPr>
      </w:pPr>
    </w:p>
    <w:p w14:paraId="00CED7AB" w14:textId="77777777" w:rsidR="00411C89" w:rsidRPr="00837556" w:rsidRDefault="00411C89" w:rsidP="00411C89">
      <w:pPr>
        <w:rPr>
          <w:b/>
          <w:sz w:val="22"/>
          <w:szCs w:val="22"/>
        </w:rPr>
      </w:pPr>
      <w:r w:rsidRPr="00837556">
        <w:rPr>
          <w:sz w:val="22"/>
          <w:szCs w:val="22"/>
        </w:rPr>
        <w:t xml:space="preserve">Działania niepożądane wymieniono poniżej zgodnie z klasyfikacją układów i narządów </w:t>
      </w:r>
      <w:proofErr w:type="spellStart"/>
      <w:r w:rsidRPr="00837556">
        <w:rPr>
          <w:sz w:val="22"/>
          <w:szCs w:val="22"/>
        </w:rPr>
        <w:t>MedDRA</w:t>
      </w:r>
      <w:proofErr w:type="spellEnd"/>
      <w:r w:rsidRPr="00837556">
        <w:rPr>
          <w:sz w:val="22"/>
          <w:szCs w:val="22"/>
        </w:rPr>
        <w:t xml:space="preserve"> oraz częstością występowania, według następującej konwencji: bardzo często (≥1/10); często (≥1/100 do &lt;1/10); niezbyt często (≥1/1 000 do &lt;1/100); rzadko (≥1/10 000 do &lt;1/1 000); bardzo rzadko (&lt; 1/10 000); nieznana (częstość nie może być określona na podstawie dostępnych danych).</w:t>
      </w:r>
    </w:p>
    <w:p w14:paraId="1A3461F0" w14:textId="77777777" w:rsidR="00411C89" w:rsidRPr="00837556" w:rsidRDefault="00411C89">
      <w:pPr>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106"/>
        <w:gridCol w:w="4334"/>
      </w:tblGrid>
      <w:tr w:rsidR="00411C89" w:rsidRPr="00837556" w14:paraId="5DB96BB7" w14:textId="77777777" w:rsidTr="00411C89">
        <w:tc>
          <w:tcPr>
            <w:tcW w:w="2552" w:type="dxa"/>
            <w:shd w:val="clear" w:color="auto" w:fill="auto"/>
            <w:vAlign w:val="center"/>
          </w:tcPr>
          <w:p w14:paraId="669DEB1C" w14:textId="77777777" w:rsidR="00411C89" w:rsidRPr="00837556" w:rsidRDefault="00411C89" w:rsidP="00411C89">
            <w:pPr>
              <w:widowControl w:val="0"/>
              <w:tabs>
                <w:tab w:val="left" w:pos="3686"/>
              </w:tabs>
              <w:autoSpaceDE w:val="0"/>
              <w:autoSpaceDN w:val="0"/>
              <w:ind w:right="-2"/>
              <w:rPr>
                <w:rFonts w:eastAsia="MS Mincho"/>
                <w:b/>
                <w:sz w:val="22"/>
                <w:szCs w:val="22"/>
                <w:lang w:eastAsia="ja-JP"/>
              </w:rPr>
            </w:pPr>
            <w:r w:rsidRPr="00837556">
              <w:rPr>
                <w:rFonts w:eastAsia="MS Mincho"/>
                <w:b/>
                <w:sz w:val="22"/>
                <w:szCs w:val="22"/>
                <w:lang w:eastAsia="ja-JP"/>
              </w:rPr>
              <w:t xml:space="preserve">Klasyfikacja układów </w:t>
            </w:r>
          </w:p>
          <w:p w14:paraId="53517BFB" w14:textId="77777777" w:rsidR="00411C89" w:rsidRPr="00837556" w:rsidRDefault="00411C89" w:rsidP="00411C89">
            <w:pPr>
              <w:widowControl w:val="0"/>
              <w:tabs>
                <w:tab w:val="left" w:pos="3686"/>
              </w:tabs>
              <w:autoSpaceDE w:val="0"/>
              <w:autoSpaceDN w:val="0"/>
              <w:ind w:right="-2"/>
              <w:rPr>
                <w:rFonts w:eastAsia="MS Mincho"/>
                <w:b/>
                <w:sz w:val="22"/>
                <w:szCs w:val="22"/>
                <w:lang w:eastAsia="ja-JP"/>
              </w:rPr>
            </w:pPr>
            <w:r w:rsidRPr="00837556">
              <w:rPr>
                <w:rFonts w:eastAsia="MS Mincho"/>
                <w:b/>
                <w:sz w:val="22"/>
                <w:szCs w:val="22"/>
                <w:lang w:eastAsia="ja-JP"/>
              </w:rPr>
              <w:t>i narządów</w:t>
            </w:r>
          </w:p>
        </w:tc>
        <w:tc>
          <w:tcPr>
            <w:tcW w:w="2126" w:type="dxa"/>
            <w:shd w:val="clear" w:color="auto" w:fill="auto"/>
            <w:vAlign w:val="center"/>
          </w:tcPr>
          <w:p w14:paraId="780E366E" w14:textId="77777777" w:rsidR="00411C89" w:rsidRPr="00837556" w:rsidRDefault="00411C89" w:rsidP="00411C89">
            <w:pPr>
              <w:widowControl w:val="0"/>
              <w:tabs>
                <w:tab w:val="left" w:pos="3686"/>
              </w:tabs>
              <w:autoSpaceDE w:val="0"/>
              <w:autoSpaceDN w:val="0"/>
              <w:ind w:right="-2"/>
              <w:rPr>
                <w:rFonts w:eastAsia="MS Mincho"/>
                <w:b/>
                <w:sz w:val="22"/>
                <w:szCs w:val="22"/>
                <w:lang w:eastAsia="ja-JP"/>
              </w:rPr>
            </w:pPr>
            <w:r w:rsidRPr="00837556">
              <w:rPr>
                <w:rFonts w:eastAsia="MS Mincho"/>
                <w:b/>
                <w:sz w:val="22"/>
                <w:szCs w:val="22"/>
                <w:lang w:eastAsia="ja-JP"/>
              </w:rPr>
              <w:t>Częstość występowania</w:t>
            </w:r>
          </w:p>
        </w:tc>
        <w:tc>
          <w:tcPr>
            <w:tcW w:w="4424" w:type="dxa"/>
            <w:shd w:val="clear" w:color="auto" w:fill="auto"/>
            <w:vAlign w:val="center"/>
          </w:tcPr>
          <w:p w14:paraId="544B0987" w14:textId="77777777" w:rsidR="00411C89" w:rsidRPr="00837556" w:rsidRDefault="00411C89" w:rsidP="00411C89">
            <w:pPr>
              <w:widowControl w:val="0"/>
              <w:tabs>
                <w:tab w:val="left" w:pos="3686"/>
              </w:tabs>
              <w:autoSpaceDE w:val="0"/>
              <w:autoSpaceDN w:val="0"/>
              <w:ind w:right="-2"/>
              <w:rPr>
                <w:rFonts w:eastAsia="MS Mincho"/>
                <w:b/>
                <w:sz w:val="22"/>
                <w:szCs w:val="22"/>
                <w:lang w:eastAsia="ja-JP"/>
              </w:rPr>
            </w:pPr>
            <w:r w:rsidRPr="00837556">
              <w:rPr>
                <w:rFonts w:eastAsia="MS Mincho"/>
                <w:b/>
                <w:sz w:val="22"/>
                <w:szCs w:val="22"/>
                <w:lang w:eastAsia="ja-JP"/>
              </w:rPr>
              <w:t>Działanie niepożądane</w:t>
            </w:r>
          </w:p>
        </w:tc>
      </w:tr>
      <w:tr w:rsidR="00411C89" w:rsidRPr="00837556" w14:paraId="23A91414" w14:textId="77777777" w:rsidTr="00411C89">
        <w:tc>
          <w:tcPr>
            <w:tcW w:w="2552" w:type="dxa"/>
            <w:shd w:val="clear" w:color="auto" w:fill="auto"/>
            <w:vAlign w:val="center"/>
          </w:tcPr>
          <w:p w14:paraId="2D6625FF" w14:textId="77777777" w:rsidR="00411C89" w:rsidRPr="00837556" w:rsidRDefault="00411C89" w:rsidP="00411C89">
            <w:pPr>
              <w:widowControl w:val="0"/>
              <w:autoSpaceDE w:val="0"/>
              <w:autoSpaceDN w:val="0"/>
              <w:rPr>
                <w:rFonts w:eastAsia="MS Mincho"/>
                <w:sz w:val="22"/>
                <w:szCs w:val="22"/>
                <w:lang w:eastAsia="ja-JP"/>
              </w:rPr>
            </w:pPr>
            <w:r w:rsidRPr="00837556">
              <w:rPr>
                <w:rFonts w:eastAsia="MS Mincho"/>
                <w:sz w:val="22"/>
                <w:szCs w:val="22"/>
                <w:lang w:eastAsia="ja-JP"/>
              </w:rPr>
              <w:t>Zaburzenia skóry i tkanki podskórnej</w:t>
            </w:r>
          </w:p>
        </w:tc>
        <w:tc>
          <w:tcPr>
            <w:tcW w:w="2126" w:type="dxa"/>
            <w:shd w:val="clear" w:color="auto" w:fill="auto"/>
            <w:vAlign w:val="center"/>
          </w:tcPr>
          <w:p w14:paraId="42CC6B4C" w14:textId="77777777" w:rsidR="00411C89" w:rsidRPr="00837556" w:rsidRDefault="00411C89" w:rsidP="00411C89">
            <w:pPr>
              <w:widowControl w:val="0"/>
              <w:tabs>
                <w:tab w:val="left" w:pos="3686"/>
              </w:tabs>
              <w:autoSpaceDE w:val="0"/>
              <w:autoSpaceDN w:val="0"/>
              <w:ind w:right="-2"/>
              <w:rPr>
                <w:rFonts w:eastAsia="MS Mincho"/>
                <w:sz w:val="22"/>
                <w:szCs w:val="22"/>
                <w:lang w:eastAsia="ja-JP"/>
              </w:rPr>
            </w:pPr>
            <w:r w:rsidRPr="00837556">
              <w:rPr>
                <w:rFonts w:eastAsia="MS Mincho"/>
                <w:sz w:val="22"/>
                <w:szCs w:val="22"/>
                <w:lang w:eastAsia="ja-JP"/>
              </w:rPr>
              <w:t>Nieznana</w:t>
            </w:r>
          </w:p>
        </w:tc>
        <w:tc>
          <w:tcPr>
            <w:tcW w:w="4424" w:type="dxa"/>
            <w:shd w:val="clear" w:color="auto" w:fill="auto"/>
            <w:vAlign w:val="center"/>
          </w:tcPr>
          <w:p w14:paraId="373D1D46" w14:textId="77777777" w:rsidR="00411C89" w:rsidRPr="00837556" w:rsidRDefault="00411C89" w:rsidP="00411C89">
            <w:pPr>
              <w:widowControl w:val="0"/>
              <w:tabs>
                <w:tab w:val="left" w:pos="3686"/>
              </w:tabs>
              <w:autoSpaceDE w:val="0"/>
              <w:autoSpaceDN w:val="0"/>
              <w:ind w:right="-2"/>
              <w:rPr>
                <w:rFonts w:eastAsia="MS Mincho"/>
                <w:sz w:val="22"/>
                <w:szCs w:val="22"/>
                <w:lang w:eastAsia="ja-JP"/>
              </w:rPr>
            </w:pPr>
            <w:r w:rsidRPr="00837556">
              <w:rPr>
                <w:rFonts w:eastAsia="MS Mincho"/>
                <w:sz w:val="22"/>
                <w:szCs w:val="22"/>
                <w:lang w:eastAsia="ja-JP"/>
              </w:rPr>
              <w:t xml:space="preserve">Mogą wystąpić objawy </w:t>
            </w:r>
            <w:proofErr w:type="spellStart"/>
            <w:r w:rsidRPr="00837556">
              <w:rPr>
                <w:rFonts w:eastAsia="MS Mincho"/>
                <w:sz w:val="22"/>
                <w:szCs w:val="22"/>
                <w:lang w:eastAsia="ja-JP"/>
              </w:rPr>
              <w:t>trądzikopodobne</w:t>
            </w:r>
            <w:proofErr w:type="spellEnd"/>
            <w:r w:rsidRPr="00837556">
              <w:rPr>
                <w:rFonts w:eastAsia="MS Mincho"/>
                <w:sz w:val="22"/>
                <w:szCs w:val="22"/>
                <w:lang w:eastAsia="ja-JP"/>
              </w:rPr>
              <w:t xml:space="preserve">, plamica </w:t>
            </w:r>
            <w:proofErr w:type="spellStart"/>
            <w:r w:rsidRPr="00837556">
              <w:rPr>
                <w:rFonts w:eastAsia="MS Mincho"/>
                <w:sz w:val="22"/>
                <w:szCs w:val="22"/>
                <w:lang w:eastAsia="ja-JP"/>
              </w:rPr>
              <w:t>posteroidowa</w:t>
            </w:r>
            <w:proofErr w:type="spellEnd"/>
            <w:r w:rsidRPr="00837556">
              <w:rPr>
                <w:rFonts w:eastAsia="MS Mincho"/>
                <w:sz w:val="22"/>
                <w:szCs w:val="22"/>
                <w:lang w:eastAsia="ja-JP"/>
              </w:rPr>
              <w:t xml:space="preserve">, zanik naskórka i tkanki podskórnej, suchość skóry, nadmierne owłosienie lub łysienie, odbarwienie lub przebarwienie skóry, zanik i rozstępy skóry, teleangiektazje, stan zapalny skóry dookoła ust, zapalenie mieszków włosowych, rozstępy, wtórne zakażenia, podrażnienie skóry. Niekiedy może wystąpić pokrzywka lub wysypka plamisto-grudkowa albo zaostrzenie istniejących zmian chorobowych. </w:t>
            </w:r>
          </w:p>
          <w:p w14:paraId="3E98D807" w14:textId="77777777" w:rsidR="00411C89" w:rsidRPr="00837556" w:rsidRDefault="00411C89" w:rsidP="00411C89">
            <w:pPr>
              <w:widowControl w:val="0"/>
              <w:tabs>
                <w:tab w:val="left" w:pos="3686"/>
              </w:tabs>
              <w:autoSpaceDE w:val="0"/>
              <w:autoSpaceDN w:val="0"/>
              <w:ind w:right="-2"/>
              <w:rPr>
                <w:rFonts w:eastAsia="MS Mincho"/>
                <w:sz w:val="22"/>
                <w:szCs w:val="22"/>
                <w:lang w:eastAsia="ja-JP"/>
              </w:rPr>
            </w:pPr>
            <w:r w:rsidRPr="00837556">
              <w:rPr>
                <w:rFonts w:eastAsia="MS Mincho"/>
                <w:sz w:val="22"/>
                <w:szCs w:val="22"/>
                <w:lang w:eastAsia="ja-JP"/>
              </w:rPr>
              <w:t xml:space="preserve">Ze względu na zawartość kwasu salicylowego, podczas długotrwałego stosowania produktu leczniczego może wystąpić zapalenie skóry. </w:t>
            </w:r>
          </w:p>
          <w:p w14:paraId="08A456F8" w14:textId="77777777" w:rsidR="00411C89" w:rsidRPr="00837556" w:rsidRDefault="00411C89" w:rsidP="00411C89">
            <w:pPr>
              <w:widowControl w:val="0"/>
              <w:tabs>
                <w:tab w:val="left" w:pos="3686"/>
              </w:tabs>
              <w:autoSpaceDE w:val="0"/>
              <w:autoSpaceDN w:val="0"/>
              <w:ind w:right="-2"/>
              <w:rPr>
                <w:rFonts w:eastAsia="MS Mincho"/>
                <w:sz w:val="22"/>
                <w:szCs w:val="22"/>
                <w:lang w:eastAsia="ja-JP"/>
              </w:rPr>
            </w:pPr>
          </w:p>
        </w:tc>
      </w:tr>
      <w:tr w:rsidR="00411C89" w:rsidRPr="00837556" w14:paraId="1873909A" w14:textId="77777777" w:rsidTr="00411C89">
        <w:tc>
          <w:tcPr>
            <w:tcW w:w="2552" w:type="dxa"/>
            <w:shd w:val="clear" w:color="auto" w:fill="auto"/>
            <w:vAlign w:val="center"/>
          </w:tcPr>
          <w:p w14:paraId="28740EA5" w14:textId="77777777" w:rsidR="00411C89" w:rsidRPr="00837556" w:rsidRDefault="00411C89" w:rsidP="00411C89">
            <w:pPr>
              <w:widowControl w:val="0"/>
              <w:autoSpaceDE w:val="0"/>
              <w:autoSpaceDN w:val="0"/>
              <w:rPr>
                <w:rFonts w:eastAsia="MS Mincho"/>
                <w:sz w:val="22"/>
                <w:szCs w:val="22"/>
                <w:lang w:eastAsia="ja-JP"/>
              </w:rPr>
            </w:pPr>
            <w:r w:rsidRPr="00837556">
              <w:rPr>
                <w:rFonts w:eastAsia="MS Mincho"/>
                <w:sz w:val="22"/>
                <w:szCs w:val="22"/>
                <w:lang w:eastAsia="ja-JP"/>
              </w:rPr>
              <w:t>Zaburzenia oka</w:t>
            </w:r>
          </w:p>
        </w:tc>
        <w:tc>
          <w:tcPr>
            <w:tcW w:w="2126" w:type="dxa"/>
            <w:shd w:val="clear" w:color="auto" w:fill="auto"/>
            <w:vAlign w:val="center"/>
          </w:tcPr>
          <w:p w14:paraId="07629F72" w14:textId="77777777" w:rsidR="00411C89" w:rsidRPr="00837556" w:rsidRDefault="00411C89" w:rsidP="00411C89">
            <w:pPr>
              <w:widowControl w:val="0"/>
              <w:tabs>
                <w:tab w:val="left" w:pos="3686"/>
              </w:tabs>
              <w:autoSpaceDE w:val="0"/>
              <w:autoSpaceDN w:val="0"/>
              <w:ind w:right="-2"/>
              <w:rPr>
                <w:rFonts w:eastAsia="MS Mincho"/>
                <w:sz w:val="22"/>
                <w:szCs w:val="22"/>
                <w:lang w:eastAsia="ja-JP"/>
              </w:rPr>
            </w:pPr>
            <w:r w:rsidRPr="00837556">
              <w:rPr>
                <w:rFonts w:eastAsia="MS Mincho"/>
                <w:sz w:val="22"/>
                <w:szCs w:val="22"/>
                <w:lang w:eastAsia="ja-JP"/>
              </w:rPr>
              <w:t>Nieznana</w:t>
            </w:r>
          </w:p>
        </w:tc>
        <w:tc>
          <w:tcPr>
            <w:tcW w:w="4424" w:type="dxa"/>
            <w:shd w:val="clear" w:color="auto" w:fill="auto"/>
            <w:vAlign w:val="center"/>
          </w:tcPr>
          <w:p w14:paraId="6D8B812C" w14:textId="77777777" w:rsidR="00411C89" w:rsidRPr="00837556" w:rsidRDefault="00411C89" w:rsidP="00411C89">
            <w:pPr>
              <w:rPr>
                <w:sz w:val="22"/>
                <w:szCs w:val="22"/>
              </w:rPr>
            </w:pPr>
            <w:r w:rsidRPr="00837556">
              <w:rPr>
                <w:sz w:val="22"/>
                <w:szCs w:val="22"/>
              </w:rPr>
              <w:t>Nieostre widzenie (patrz także punkt 4.4.).</w:t>
            </w:r>
          </w:p>
          <w:p w14:paraId="1BE76DFF" w14:textId="77777777" w:rsidR="00411C89" w:rsidRPr="00837556" w:rsidRDefault="00411C89" w:rsidP="00411C89">
            <w:pPr>
              <w:rPr>
                <w:sz w:val="22"/>
                <w:szCs w:val="22"/>
              </w:rPr>
            </w:pPr>
            <w:r w:rsidRPr="00837556">
              <w:rPr>
                <w:sz w:val="22"/>
                <w:szCs w:val="22"/>
              </w:rPr>
              <w:t>W przypadku stosowania produktu leczniczego na skórę powiek, niekiedy może wystąpić jaskra lub zaćma.</w:t>
            </w:r>
          </w:p>
        </w:tc>
      </w:tr>
      <w:tr w:rsidR="00411C89" w:rsidRPr="00837556" w14:paraId="7B6577F1" w14:textId="77777777" w:rsidTr="00411C89">
        <w:tc>
          <w:tcPr>
            <w:tcW w:w="2552" w:type="dxa"/>
            <w:shd w:val="clear" w:color="auto" w:fill="auto"/>
            <w:vAlign w:val="center"/>
          </w:tcPr>
          <w:p w14:paraId="247F29EE" w14:textId="77777777" w:rsidR="00411C89" w:rsidRPr="00837556" w:rsidRDefault="00411C89" w:rsidP="00411C89">
            <w:pPr>
              <w:widowControl w:val="0"/>
              <w:autoSpaceDE w:val="0"/>
              <w:autoSpaceDN w:val="0"/>
              <w:rPr>
                <w:rFonts w:eastAsia="MS Mincho"/>
                <w:sz w:val="22"/>
                <w:szCs w:val="22"/>
                <w:lang w:eastAsia="ja-JP"/>
              </w:rPr>
            </w:pPr>
            <w:r w:rsidRPr="00837556">
              <w:rPr>
                <w:rFonts w:eastAsia="MS Mincho"/>
                <w:sz w:val="22"/>
                <w:szCs w:val="22"/>
                <w:lang w:eastAsia="ja-JP"/>
              </w:rPr>
              <w:t>Zaburzenia ogólne i stany w miejscu podania</w:t>
            </w:r>
          </w:p>
        </w:tc>
        <w:tc>
          <w:tcPr>
            <w:tcW w:w="2126" w:type="dxa"/>
            <w:shd w:val="clear" w:color="auto" w:fill="auto"/>
            <w:vAlign w:val="center"/>
          </w:tcPr>
          <w:p w14:paraId="3D785BF7" w14:textId="77777777" w:rsidR="00411C89" w:rsidRPr="00837556" w:rsidRDefault="00411C89" w:rsidP="00411C89">
            <w:pPr>
              <w:widowControl w:val="0"/>
              <w:tabs>
                <w:tab w:val="left" w:pos="3686"/>
              </w:tabs>
              <w:autoSpaceDE w:val="0"/>
              <w:autoSpaceDN w:val="0"/>
              <w:ind w:right="-2"/>
              <w:rPr>
                <w:rFonts w:eastAsia="MS Mincho"/>
                <w:sz w:val="22"/>
                <w:szCs w:val="22"/>
                <w:lang w:eastAsia="ja-JP"/>
              </w:rPr>
            </w:pPr>
            <w:r w:rsidRPr="00837556">
              <w:rPr>
                <w:rFonts w:eastAsia="MS Mincho"/>
                <w:sz w:val="22"/>
                <w:szCs w:val="22"/>
                <w:lang w:eastAsia="ja-JP"/>
              </w:rPr>
              <w:t>Nieznana</w:t>
            </w:r>
          </w:p>
        </w:tc>
        <w:tc>
          <w:tcPr>
            <w:tcW w:w="4424" w:type="dxa"/>
            <w:shd w:val="clear" w:color="auto" w:fill="auto"/>
            <w:vAlign w:val="center"/>
          </w:tcPr>
          <w:p w14:paraId="4D6CD7AA" w14:textId="77777777" w:rsidR="00411C89" w:rsidRPr="00837556" w:rsidRDefault="00411C89" w:rsidP="00411C89">
            <w:pPr>
              <w:widowControl w:val="0"/>
              <w:tabs>
                <w:tab w:val="left" w:pos="3686"/>
              </w:tabs>
              <w:autoSpaceDE w:val="0"/>
              <w:autoSpaceDN w:val="0"/>
              <w:ind w:right="-2"/>
              <w:rPr>
                <w:rFonts w:eastAsia="MS Mincho"/>
                <w:sz w:val="22"/>
                <w:szCs w:val="22"/>
                <w:lang w:eastAsia="ja-JP"/>
              </w:rPr>
            </w:pPr>
          </w:p>
          <w:p w14:paraId="639A72CA" w14:textId="77777777" w:rsidR="00411C89" w:rsidRPr="00837556" w:rsidRDefault="00411C89" w:rsidP="00411C89">
            <w:pPr>
              <w:widowControl w:val="0"/>
              <w:tabs>
                <w:tab w:val="left" w:pos="3686"/>
              </w:tabs>
              <w:autoSpaceDE w:val="0"/>
              <w:autoSpaceDN w:val="0"/>
              <w:ind w:right="-2"/>
              <w:rPr>
                <w:rFonts w:eastAsia="MS Mincho"/>
                <w:sz w:val="22"/>
                <w:szCs w:val="22"/>
                <w:lang w:eastAsia="ja-JP"/>
              </w:rPr>
            </w:pPr>
            <w:r w:rsidRPr="00837556">
              <w:rPr>
                <w:rFonts w:eastAsia="MS Mincho"/>
                <w:sz w:val="22"/>
                <w:szCs w:val="22"/>
                <w:lang w:eastAsia="ja-JP"/>
              </w:rPr>
              <w:t xml:space="preserve">W wyniku wchłaniania substancji czynnych do krwi mogą również wystąpić ogólnoustrojowe działania niepożądane </w:t>
            </w:r>
            <w:proofErr w:type="spellStart"/>
            <w:r w:rsidRPr="00837556">
              <w:rPr>
                <w:rFonts w:eastAsia="MS Mincho"/>
                <w:sz w:val="22"/>
                <w:szCs w:val="22"/>
                <w:lang w:eastAsia="ja-JP"/>
              </w:rPr>
              <w:t>flumetazonu</w:t>
            </w:r>
            <w:proofErr w:type="spellEnd"/>
            <w:r w:rsidRPr="00837556">
              <w:rPr>
                <w:rFonts w:eastAsia="MS Mincho"/>
                <w:sz w:val="22"/>
                <w:szCs w:val="22"/>
                <w:lang w:eastAsia="ja-JP"/>
              </w:rPr>
              <w:t xml:space="preserve"> </w:t>
            </w:r>
            <w:proofErr w:type="spellStart"/>
            <w:r w:rsidRPr="00837556">
              <w:rPr>
                <w:rFonts w:eastAsia="MS Mincho"/>
                <w:sz w:val="22"/>
                <w:szCs w:val="22"/>
                <w:lang w:eastAsia="ja-JP"/>
              </w:rPr>
              <w:t>piwalanu</w:t>
            </w:r>
            <w:proofErr w:type="spellEnd"/>
            <w:r w:rsidRPr="00837556">
              <w:rPr>
                <w:rFonts w:eastAsia="MS Mincho"/>
                <w:sz w:val="22"/>
                <w:szCs w:val="22"/>
                <w:lang w:eastAsia="ja-JP"/>
              </w:rPr>
              <w:t xml:space="preserve"> i kwasu salicylowego.</w:t>
            </w:r>
          </w:p>
          <w:p w14:paraId="3732AE03" w14:textId="77777777" w:rsidR="00411C89" w:rsidRPr="00837556" w:rsidRDefault="00411C89" w:rsidP="00411C89">
            <w:pPr>
              <w:widowControl w:val="0"/>
              <w:tabs>
                <w:tab w:val="left" w:pos="3686"/>
              </w:tabs>
              <w:autoSpaceDE w:val="0"/>
              <w:autoSpaceDN w:val="0"/>
              <w:ind w:right="-2"/>
              <w:rPr>
                <w:rFonts w:eastAsia="MS Mincho"/>
                <w:sz w:val="22"/>
                <w:szCs w:val="22"/>
                <w:lang w:eastAsia="ja-JP"/>
              </w:rPr>
            </w:pPr>
            <w:r w:rsidRPr="00837556">
              <w:rPr>
                <w:rFonts w:eastAsia="MS Mincho"/>
                <w:sz w:val="22"/>
                <w:szCs w:val="22"/>
                <w:lang w:eastAsia="ja-JP"/>
              </w:rPr>
              <w:t xml:space="preserve">Występują one przede wszystkim w przypadku długotrwałego stosowania produktu leczniczego, stosowania go na dużą powierzchnię skóry, pod opatrunkiem </w:t>
            </w:r>
            <w:proofErr w:type="spellStart"/>
            <w:r w:rsidRPr="00837556">
              <w:rPr>
                <w:rFonts w:eastAsia="MS Mincho"/>
                <w:sz w:val="22"/>
                <w:szCs w:val="22"/>
                <w:lang w:eastAsia="ja-JP"/>
              </w:rPr>
              <w:t>okluzyjnym</w:t>
            </w:r>
            <w:proofErr w:type="spellEnd"/>
            <w:r w:rsidRPr="00837556">
              <w:rPr>
                <w:rFonts w:eastAsia="MS Mincho"/>
                <w:sz w:val="22"/>
                <w:szCs w:val="22"/>
                <w:lang w:eastAsia="ja-JP"/>
              </w:rPr>
              <w:t xml:space="preserve"> lub w przypadku stosowania u dzieci.</w:t>
            </w:r>
          </w:p>
          <w:p w14:paraId="2E4A81E2" w14:textId="77777777" w:rsidR="00411C89" w:rsidRPr="00837556" w:rsidRDefault="00411C89" w:rsidP="00411C89">
            <w:pPr>
              <w:widowControl w:val="0"/>
              <w:tabs>
                <w:tab w:val="left" w:pos="3686"/>
              </w:tabs>
              <w:autoSpaceDE w:val="0"/>
              <w:autoSpaceDN w:val="0"/>
              <w:ind w:right="-2"/>
              <w:rPr>
                <w:rFonts w:eastAsia="MS Mincho"/>
                <w:sz w:val="22"/>
                <w:szCs w:val="22"/>
                <w:lang w:eastAsia="ja-JP"/>
              </w:rPr>
            </w:pPr>
            <w:r w:rsidRPr="00837556">
              <w:rPr>
                <w:rFonts w:eastAsia="MS Mincho"/>
                <w:sz w:val="22"/>
                <w:szCs w:val="22"/>
                <w:lang w:eastAsia="ja-JP"/>
              </w:rPr>
              <w:t xml:space="preserve">Ogólnoustrojowe objawy niepożądane </w:t>
            </w:r>
            <w:proofErr w:type="spellStart"/>
            <w:r w:rsidRPr="00837556">
              <w:rPr>
                <w:rFonts w:eastAsia="MS Mincho"/>
                <w:sz w:val="22"/>
                <w:szCs w:val="22"/>
                <w:lang w:eastAsia="ja-JP"/>
              </w:rPr>
              <w:t>flumetazonu</w:t>
            </w:r>
            <w:proofErr w:type="spellEnd"/>
            <w:r w:rsidRPr="00837556">
              <w:rPr>
                <w:rFonts w:eastAsia="MS Mincho"/>
                <w:sz w:val="22"/>
                <w:szCs w:val="22"/>
                <w:lang w:eastAsia="ja-JP"/>
              </w:rPr>
              <w:t xml:space="preserve"> </w:t>
            </w:r>
            <w:proofErr w:type="spellStart"/>
            <w:r w:rsidRPr="00837556">
              <w:rPr>
                <w:rFonts w:eastAsia="MS Mincho"/>
                <w:sz w:val="22"/>
                <w:szCs w:val="22"/>
                <w:lang w:eastAsia="ja-JP"/>
              </w:rPr>
              <w:t>piwalanu</w:t>
            </w:r>
            <w:proofErr w:type="spellEnd"/>
            <w:r w:rsidRPr="00837556">
              <w:rPr>
                <w:rFonts w:eastAsia="MS Mincho"/>
                <w:sz w:val="22"/>
                <w:szCs w:val="22"/>
                <w:lang w:eastAsia="ja-JP"/>
              </w:rPr>
              <w:t xml:space="preserve"> charakterystyczne dla kortykosteroidów, to m.in. zahamowanie czynności osi podwzgórze–przysadka–nadnercza, zespół Cushinga, hamowanie wzrostu i rozwoju u dzieci, hiperglikemia, cukromocz, obrzęki, nadciśnienie, zmniejszenie odporności. </w:t>
            </w:r>
          </w:p>
        </w:tc>
      </w:tr>
    </w:tbl>
    <w:p w14:paraId="7EB74545" w14:textId="77777777" w:rsidR="00B47602" w:rsidRPr="00837556" w:rsidRDefault="00B47602" w:rsidP="00B47602">
      <w:pPr>
        <w:keepNext/>
        <w:rPr>
          <w:sz w:val="22"/>
          <w:szCs w:val="22"/>
          <w:u w:val="single"/>
        </w:rPr>
      </w:pPr>
    </w:p>
    <w:p w14:paraId="57E9577C" w14:textId="77777777" w:rsidR="00CF7323" w:rsidRPr="00837556" w:rsidRDefault="00CF7323" w:rsidP="00B47602">
      <w:pPr>
        <w:keepNext/>
        <w:rPr>
          <w:sz w:val="22"/>
          <w:szCs w:val="22"/>
          <w:u w:val="single"/>
        </w:rPr>
      </w:pPr>
      <w:r w:rsidRPr="00837556">
        <w:rPr>
          <w:sz w:val="22"/>
          <w:szCs w:val="22"/>
          <w:u w:val="single"/>
        </w:rPr>
        <w:t>Zgłaszanie podejrzewanych działań niepożądanych</w:t>
      </w:r>
    </w:p>
    <w:p w14:paraId="2DCE0DC9" w14:textId="77777777" w:rsidR="005C77FF" w:rsidRPr="00837556" w:rsidRDefault="005C77FF" w:rsidP="00B47602">
      <w:pPr>
        <w:keepNext/>
        <w:rPr>
          <w:sz w:val="22"/>
          <w:szCs w:val="22"/>
        </w:rPr>
      </w:pPr>
      <w:r w:rsidRPr="00837556">
        <w:rPr>
          <w:noProof/>
          <w:sz w:val="22"/>
          <w:szCs w:val="22"/>
          <w:lang w:eastAsia="en-US"/>
        </w:rPr>
        <w:t>Po dopuszczeniu produktu leczniczego do obrotu istotne jest zgłaszanie podejrzewanych działań niepożądanych.</w:t>
      </w:r>
      <w:r w:rsidRPr="00837556">
        <w:rPr>
          <w:sz w:val="22"/>
          <w:szCs w:val="22"/>
          <w:lang w:eastAsia="en-US"/>
        </w:rPr>
        <w:t xml:space="preserve"> </w:t>
      </w:r>
      <w:r w:rsidRPr="00837556">
        <w:rPr>
          <w:noProof/>
          <w:sz w:val="22"/>
          <w:szCs w:val="22"/>
          <w:lang w:eastAsia="en-US"/>
        </w:rPr>
        <w:t>Umożliwia to nieprzerwane monitorowanie stosunku korzyści do ryzyka stosowania produktu leczniczego.</w:t>
      </w:r>
      <w:r w:rsidRPr="00837556">
        <w:rPr>
          <w:sz w:val="22"/>
          <w:szCs w:val="22"/>
          <w:lang w:eastAsia="en-US"/>
        </w:rPr>
        <w:t xml:space="preserve"> </w:t>
      </w:r>
      <w:r w:rsidRPr="00837556">
        <w:rPr>
          <w:noProof/>
          <w:sz w:val="22"/>
          <w:szCs w:val="22"/>
          <w:lang w:eastAsia="en-US"/>
        </w:rPr>
        <w:t>Osoby należące do fachowego personelu medycznego powinny zgłaszać wszelkie podejrzewane działania niepożądane</w:t>
      </w:r>
      <w:r w:rsidRPr="00837556">
        <w:rPr>
          <w:sz w:val="22"/>
          <w:szCs w:val="22"/>
          <w:lang w:eastAsia="en-US"/>
        </w:rPr>
        <w:t xml:space="preserve"> za pośrednictwem</w:t>
      </w:r>
      <w:r w:rsidRPr="00837556">
        <w:rPr>
          <w:sz w:val="22"/>
          <w:szCs w:val="22"/>
        </w:rPr>
        <w:t xml:space="preserve"> Departamentu Monitorowania Niepożądanych Działań Produktów Leczniczych Urzędu Rejestracji Produktów Leczniczych, </w:t>
      </w:r>
      <w:r w:rsidRPr="00837556">
        <w:rPr>
          <w:sz w:val="22"/>
          <w:szCs w:val="22"/>
        </w:rPr>
        <w:lastRenderedPageBreak/>
        <w:t>Wyrobów Medycznych i Produktów Biobójczych:</w:t>
      </w:r>
      <w:r w:rsidRPr="00837556">
        <w:rPr>
          <w:sz w:val="22"/>
          <w:szCs w:val="22"/>
        </w:rPr>
        <w:br/>
        <w:t xml:space="preserve">Al. Jerozolimskie </w:t>
      </w:r>
      <w:smartTag w:uri="urn:schemas-microsoft-com:office:smarttags" w:element="metricconverter">
        <w:smartTagPr>
          <w:attr w:name="ProductID" w:val="181C"/>
        </w:smartTagPr>
        <w:r w:rsidRPr="00837556">
          <w:rPr>
            <w:sz w:val="22"/>
            <w:szCs w:val="22"/>
          </w:rPr>
          <w:t>181C</w:t>
        </w:r>
      </w:smartTag>
      <w:r w:rsidRPr="00837556">
        <w:rPr>
          <w:sz w:val="22"/>
          <w:szCs w:val="22"/>
        </w:rPr>
        <w:t xml:space="preserve"> </w:t>
      </w:r>
    </w:p>
    <w:p w14:paraId="54F39469" w14:textId="77777777" w:rsidR="005C77FF" w:rsidRPr="00837556" w:rsidRDefault="005C77FF" w:rsidP="005C77FF">
      <w:pPr>
        <w:rPr>
          <w:sz w:val="22"/>
          <w:szCs w:val="22"/>
        </w:rPr>
      </w:pPr>
      <w:r w:rsidRPr="00837556">
        <w:rPr>
          <w:sz w:val="22"/>
          <w:szCs w:val="22"/>
        </w:rPr>
        <w:t>02-222 Warszawa</w:t>
      </w:r>
    </w:p>
    <w:p w14:paraId="1F91696C" w14:textId="77777777" w:rsidR="005C77FF" w:rsidRPr="00837556" w:rsidRDefault="00837556" w:rsidP="005C77FF">
      <w:pPr>
        <w:rPr>
          <w:sz w:val="22"/>
          <w:szCs w:val="22"/>
          <w:u w:val="single"/>
        </w:rPr>
      </w:pPr>
      <w:r w:rsidRPr="00837556">
        <w:rPr>
          <w:sz w:val="22"/>
          <w:szCs w:val="22"/>
        </w:rPr>
        <w:t>T</w:t>
      </w:r>
      <w:r w:rsidR="005C77FF" w:rsidRPr="00837556">
        <w:rPr>
          <w:sz w:val="22"/>
          <w:szCs w:val="22"/>
        </w:rPr>
        <w:t>el.: + 48 22 49</w:t>
      </w:r>
      <w:r w:rsidRPr="00D54E3E">
        <w:rPr>
          <w:sz w:val="22"/>
          <w:szCs w:val="22"/>
        </w:rPr>
        <w:t xml:space="preserve"> </w:t>
      </w:r>
      <w:r w:rsidR="005C77FF" w:rsidRPr="00837556">
        <w:rPr>
          <w:sz w:val="22"/>
          <w:szCs w:val="22"/>
        </w:rPr>
        <w:t>21</w:t>
      </w:r>
      <w:r w:rsidRPr="00D54E3E">
        <w:rPr>
          <w:sz w:val="22"/>
          <w:szCs w:val="22"/>
        </w:rPr>
        <w:t xml:space="preserve"> </w:t>
      </w:r>
      <w:r w:rsidR="005C77FF" w:rsidRPr="00837556">
        <w:rPr>
          <w:sz w:val="22"/>
          <w:szCs w:val="22"/>
        </w:rPr>
        <w:t xml:space="preserve">301, </w:t>
      </w:r>
      <w:r w:rsidRPr="00D54E3E">
        <w:rPr>
          <w:sz w:val="22"/>
          <w:szCs w:val="22"/>
        </w:rPr>
        <w:t>F</w:t>
      </w:r>
      <w:r w:rsidR="005C77FF" w:rsidRPr="00837556">
        <w:rPr>
          <w:sz w:val="22"/>
          <w:szCs w:val="22"/>
        </w:rPr>
        <w:t>a</w:t>
      </w:r>
      <w:r w:rsidRPr="00D54E3E">
        <w:rPr>
          <w:sz w:val="22"/>
          <w:szCs w:val="22"/>
        </w:rPr>
        <w:t>ks</w:t>
      </w:r>
      <w:r w:rsidR="005C77FF" w:rsidRPr="00837556">
        <w:rPr>
          <w:sz w:val="22"/>
          <w:szCs w:val="22"/>
        </w:rPr>
        <w:t>: +48 22 49</w:t>
      </w:r>
      <w:r w:rsidRPr="00D54E3E">
        <w:rPr>
          <w:sz w:val="22"/>
          <w:szCs w:val="22"/>
        </w:rPr>
        <w:t xml:space="preserve"> </w:t>
      </w:r>
      <w:r w:rsidR="005C77FF" w:rsidRPr="00837556">
        <w:rPr>
          <w:sz w:val="22"/>
          <w:szCs w:val="22"/>
        </w:rPr>
        <w:t>21</w:t>
      </w:r>
      <w:r w:rsidRPr="00D54E3E">
        <w:rPr>
          <w:sz w:val="22"/>
          <w:szCs w:val="22"/>
        </w:rPr>
        <w:t xml:space="preserve"> </w:t>
      </w:r>
      <w:r w:rsidR="005C77FF" w:rsidRPr="00837556">
        <w:rPr>
          <w:sz w:val="22"/>
          <w:szCs w:val="22"/>
        </w:rPr>
        <w:t xml:space="preserve">309, </w:t>
      </w:r>
      <w:r w:rsidRPr="00D54E3E">
        <w:rPr>
          <w:sz w:val="22"/>
          <w:szCs w:val="22"/>
        </w:rPr>
        <w:t xml:space="preserve">Strona internetowa: https://smz.ezdrowie.gov.pl  </w:t>
      </w:r>
      <w:r w:rsidR="005C77FF" w:rsidRPr="00837556">
        <w:rPr>
          <w:sz w:val="22"/>
          <w:szCs w:val="22"/>
        </w:rPr>
        <w:br/>
        <w:t>Działania niepożądane można zgłaszać również podmiotowi odpowiedzialnemu.</w:t>
      </w:r>
    </w:p>
    <w:p w14:paraId="28860F94" w14:textId="77777777" w:rsidR="00CF7323" w:rsidRPr="00837556" w:rsidRDefault="00CF7323">
      <w:pPr>
        <w:rPr>
          <w:b/>
          <w:bCs/>
          <w:sz w:val="22"/>
          <w:szCs w:val="22"/>
          <w:lang w:val="pt-BR"/>
        </w:rPr>
      </w:pPr>
    </w:p>
    <w:p w14:paraId="3A107536" w14:textId="77777777" w:rsidR="0079744C" w:rsidRPr="00837556" w:rsidRDefault="0079744C">
      <w:pPr>
        <w:rPr>
          <w:b/>
          <w:bCs/>
          <w:sz w:val="22"/>
          <w:szCs w:val="22"/>
        </w:rPr>
      </w:pPr>
      <w:r w:rsidRPr="00837556">
        <w:rPr>
          <w:b/>
          <w:bCs/>
          <w:sz w:val="22"/>
          <w:szCs w:val="22"/>
        </w:rPr>
        <w:t>4.9 Przedawkowanie</w:t>
      </w:r>
    </w:p>
    <w:p w14:paraId="246D674B" w14:textId="77777777" w:rsidR="00060340" w:rsidRPr="00837556" w:rsidRDefault="00060340">
      <w:pPr>
        <w:rPr>
          <w:b/>
          <w:bCs/>
          <w:sz w:val="22"/>
          <w:szCs w:val="22"/>
        </w:rPr>
      </w:pPr>
    </w:p>
    <w:p w14:paraId="14207773" w14:textId="77777777" w:rsidR="0079744C" w:rsidRPr="00837556" w:rsidRDefault="0079744C">
      <w:pPr>
        <w:rPr>
          <w:sz w:val="22"/>
          <w:szCs w:val="22"/>
        </w:rPr>
      </w:pPr>
      <w:r w:rsidRPr="00837556">
        <w:rPr>
          <w:sz w:val="22"/>
          <w:szCs w:val="22"/>
        </w:rPr>
        <w:t xml:space="preserve">Długotrwałe lub nieprawidłowe miejscowe stosowanie produktu leczniczego lub stosowanie na duże powierzchnie skóry, może doprowadzić do zahamowania czynności osi </w:t>
      </w:r>
      <w:proofErr w:type="spellStart"/>
      <w:r w:rsidRPr="00837556">
        <w:rPr>
          <w:sz w:val="22"/>
          <w:szCs w:val="22"/>
        </w:rPr>
        <w:t>podwzgórze-przysadka-nadnercza</w:t>
      </w:r>
      <w:proofErr w:type="spellEnd"/>
      <w:r w:rsidRPr="00837556">
        <w:rPr>
          <w:sz w:val="22"/>
          <w:szCs w:val="22"/>
        </w:rPr>
        <w:t>, hamowanie wzrostu i rozwoju u dzieci. Mogą wystąpić objawy przedawkowania w postaci</w:t>
      </w:r>
      <w:r w:rsidR="003B0106" w:rsidRPr="00837556">
        <w:rPr>
          <w:sz w:val="22"/>
          <w:szCs w:val="22"/>
        </w:rPr>
        <w:t>,</w:t>
      </w:r>
      <w:r w:rsidRPr="00837556">
        <w:rPr>
          <w:sz w:val="22"/>
          <w:szCs w:val="22"/>
        </w:rPr>
        <w:t xml:space="preserve"> m.in. obrzęków, nadciśnienia, hiperglikemii, cukromoczu, zmniejszenia odporności a w ciężkich przypadkach występowaniem choroby Cushinga. Należy wówczas stopniowo odstawiać produkt leczniczy lub zastosować słabiej działające kortykosteroidy.</w:t>
      </w:r>
    </w:p>
    <w:p w14:paraId="3C932A07" w14:textId="77777777" w:rsidR="0079744C" w:rsidRPr="00837556" w:rsidRDefault="0079744C">
      <w:pPr>
        <w:rPr>
          <w:sz w:val="22"/>
          <w:szCs w:val="22"/>
        </w:rPr>
      </w:pPr>
      <w:r w:rsidRPr="00837556">
        <w:rPr>
          <w:sz w:val="22"/>
          <w:szCs w:val="22"/>
        </w:rPr>
        <w:t>Rzadko mogą wystąpić objawy zatrucia salicylanami.</w:t>
      </w:r>
    </w:p>
    <w:p w14:paraId="74C031AC" w14:textId="77777777" w:rsidR="00F35D08" w:rsidRPr="00837556" w:rsidRDefault="00F35D08">
      <w:pPr>
        <w:rPr>
          <w:b/>
          <w:bCs/>
          <w:caps/>
          <w:sz w:val="22"/>
          <w:szCs w:val="22"/>
        </w:rPr>
      </w:pPr>
    </w:p>
    <w:p w14:paraId="0C3E793E" w14:textId="77777777" w:rsidR="00F35D08" w:rsidRPr="00837556" w:rsidRDefault="00F35D08">
      <w:pPr>
        <w:rPr>
          <w:b/>
          <w:bCs/>
          <w:caps/>
          <w:sz w:val="22"/>
          <w:szCs w:val="22"/>
        </w:rPr>
      </w:pPr>
    </w:p>
    <w:p w14:paraId="53BDE669" w14:textId="77777777" w:rsidR="0079744C" w:rsidRPr="00837556" w:rsidRDefault="0079744C">
      <w:pPr>
        <w:rPr>
          <w:b/>
          <w:bCs/>
          <w:caps/>
          <w:sz w:val="22"/>
          <w:szCs w:val="22"/>
        </w:rPr>
      </w:pPr>
      <w:r w:rsidRPr="00837556">
        <w:rPr>
          <w:b/>
          <w:bCs/>
          <w:caps/>
          <w:sz w:val="22"/>
          <w:szCs w:val="22"/>
        </w:rPr>
        <w:t>5. Właściwości farmakologiczne</w:t>
      </w:r>
    </w:p>
    <w:p w14:paraId="373D2E66" w14:textId="77777777" w:rsidR="0079744C" w:rsidRPr="00837556" w:rsidRDefault="0079744C">
      <w:pPr>
        <w:rPr>
          <w:b/>
          <w:bCs/>
          <w:sz w:val="22"/>
          <w:szCs w:val="22"/>
        </w:rPr>
      </w:pPr>
    </w:p>
    <w:p w14:paraId="4129DA3E" w14:textId="77777777" w:rsidR="0079744C" w:rsidRPr="00837556" w:rsidRDefault="0079744C">
      <w:pPr>
        <w:rPr>
          <w:b/>
          <w:bCs/>
          <w:sz w:val="22"/>
          <w:szCs w:val="22"/>
        </w:rPr>
      </w:pPr>
      <w:r w:rsidRPr="00837556">
        <w:rPr>
          <w:b/>
          <w:bCs/>
          <w:sz w:val="22"/>
          <w:szCs w:val="22"/>
        </w:rPr>
        <w:t>5.1 Właściwości farmakodynamiczne</w:t>
      </w:r>
    </w:p>
    <w:p w14:paraId="7DA65888" w14:textId="77777777" w:rsidR="00FF7570" w:rsidRPr="00837556" w:rsidRDefault="00FF7570">
      <w:pPr>
        <w:rPr>
          <w:b/>
          <w:bCs/>
          <w:sz w:val="22"/>
          <w:szCs w:val="22"/>
        </w:rPr>
      </w:pPr>
    </w:p>
    <w:p w14:paraId="719F5BB4" w14:textId="77777777" w:rsidR="0079744C" w:rsidRPr="00837556" w:rsidRDefault="0079744C">
      <w:pPr>
        <w:rPr>
          <w:bCs/>
          <w:sz w:val="22"/>
          <w:szCs w:val="22"/>
        </w:rPr>
      </w:pPr>
      <w:r w:rsidRPr="00837556">
        <w:rPr>
          <w:bCs/>
          <w:sz w:val="22"/>
          <w:szCs w:val="22"/>
        </w:rPr>
        <w:t>Grupa farmakoterapeutyczna: kortykosteroidy o umiarkowanie silnym działaniu w połączeniu z innymi lekami.</w:t>
      </w:r>
    </w:p>
    <w:p w14:paraId="098E03CD" w14:textId="77777777" w:rsidR="0079744C" w:rsidRPr="00837556" w:rsidRDefault="0079744C">
      <w:pPr>
        <w:rPr>
          <w:bCs/>
          <w:sz w:val="22"/>
          <w:szCs w:val="22"/>
        </w:rPr>
      </w:pPr>
      <w:r w:rsidRPr="00837556">
        <w:rPr>
          <w:bCs/>
          <w:sz w:val="22"/>
          <w:szCs w:val="22"/>
        </w:rPr>
        <w:t>Kod ATC: D 07 XB 30</w:t>
      </w:r>
    </w:p>
    <w:p w14:paraId="2834893F" w14:textId="77777777" w:rsidR="0079744C" w:rsidRPr="00837556" w:rsidRDefault="0079744C">
      <w:pPr>
        <w:rPr>
          <w:b/>
          <w:bCs/>
          <w:sz w:val="22"/>
          <w:szCs w:val="22"/>
        </w:rPr>
      </w:pPr>
    </w:p>
    <w:p w14:paraId="0281EB17" w14:textId="77777777" w:rsidR="0079744C" w:rsidRPr="00837556" w:rsidRDefault="0079744C">
      <w:pPr>
        <w:rPr>
          <w:sz w:val="22"/>
          <w:szCs w:val="22"/>
        </w:rPr>
      </w:pPr>
      <w:r w:rsidRPr="00837556">
        <w:rPr>
          <w:sz w:val="22"/>
          <w:szCs w:val="22"/>
        </w:rPr>
        <w:t xml:space="preserve">Właściwości produktu leczniczego </w:t>
      </w:r>
      <w:proofErr w:type="spellStart"/>
      <w:r w:rsidRPr="00837556">
        <w:rPr>
          <w:sz w:val="22"/>
          <w:szCs w:val="22"/>
        </w:rPr>
        <w:t>Lorinden</w:t>
      </w:r>
      <w:proofErr w:type="spellEnd"/>
      <w:r w:rsidRPr="00837556">
        <w:rPr>
          <w:sz w:val="22"/>
          <w:szCs w:val="22"/>
          <w:vertAlign w:val="superscript"/>
        </w:rPr>
        <w:t xml:space="preserve"> </w:t>
      </w:r>
      <w:r w:rsidRPr="00837556">
        <w:rPr>
          <w:sz w:val="22"/>
          <w:szCs w:val="22"/>
        </w:rPr>
        <w:t xml:space="preserve">A maść wynikają ze skojarzonego działania </w:t>
      </w:r>
      <w:proofErr w:type="spellStart"/>
      <w:r w:rsidRPr="00837556">
        <w:rPr>
          <w:sz w:val="22"/>
          <w:szCs w:val="22"/>
        </w:rPr>
        <w:t>flumetazonu</w:t>
      </w:r>
      <w:proofErr w:type="spellEnd"/>
      <w:r w:rsidRPr="00837556">
        <w:rPr>
          <w:sz w:val="22"/>
          <w:szCs w:val="22"/>
        </w:rPr>
        <w:t xml:space="preserve"> </w:t>
      </w:r>
      <w:proofErr w:type="spellStart"/>
      <w:r w:rsidRPr="00837556">
        <w:rPr>
          <w:sz w:val="22"/>
          <w:szCs w:val="22"/>
        </w:rPr>
        <w:t>piwalanu</w:t>
      </w:r>
      <w:proofErr w:type="spellEnd"/>
      <w:r w:rsidRPr="00837556">
        <w:rPr>
          <w:sz w:val="22"/>
          <w:szCs w:val="22"/>
        </w:rPr>
        <w:t xml:space="preserve"> i kwasu salicylowego.</w:t>
      </w:r>
    </w:p>
    <w:p w14:paraId="4D24837B" w14:textId="77777777" w:rsidR="0079744C" w:rsidRPr="00837556" w:rsidRDefault="0079744C">
      <w:pPr>
        <w:rPr>
          <w:sz w:val="22"/>
          <w:szCs w:val="22"/>
        </w:rPr>
      </w:pPr>
      <w:proofErr w:type="spellStart"/>
      <w:r w:rsidRPr="00837556">
        <w:rPr>
          <w:sz w:val="22"/>
          <w:szCs w:val="22"/>
        </w:rPr>
        <w:t>Flumetazonu</w:t>
      </w:r>
      <w:proofErr w:type="spellEnd"/>
      <w:r w:rsidRPr="00837556">
        <w:rPr>
          <w:sz w:val="22"/>
          <w:szCs w:val="22"/>
        </w:rPr>
        <w:t xml:space="preserve"> </w:t>
      </w:r>
      <w:proofErr w:type="spellStart"/>
      <w:r w:rsidRPr="00837556">
        <w:rPr>
          <w:sz w:val="22"/>
          <w:szCs w:val="22"/>
        </w:rPr>
        <w:t>piwalan</w:t>
      </w:r>
      <w:proofErr w:type="spellEnd"/>
      <w:r w:rsidRPr="00837556">
        <w:rPr>
          <w:sz w:val="22"/>
          <w:szCs w:val="22"/>
        </w:rPr>
        <w:t xml:space="preserve"> jest syntetycznym kortykosteroidem o umiarkowanie silnym działaniu przeciwzapalnym. Stosowany miejscowo wykazuje działanie przeciwzapalne, przeciwświądowe i obkurczające naczynia krwionośne. </w:t>
      </w:r>
    </w:p>
    <w:p w14:paraId="0CD4F362" w14:textId="77777777" w:rsidR="0079744C" w:rsidRPr="00837556" w:rsidRDefault="0079744C">
      <w:pPr>
        <w:pStyle w:val="Stopka"/>
        <w:tabs>
          <w:tab w:val="left" w:pos="708"/>
        </w:tabs>
        <w:rPr>
          <w:sz w:val="22"/>
          <w:szCs w:val="22"/>
        </w:rPr>
      </w:pPr>
      <w:r w:rsidRPr="00837556">
        <w:rPr>
          <w:sz w:val="22"/>
          <w:szCs w:val="22"/>
        </w:rPr>
        <w:t xml:space="preserve">Kwas salicylowy w stężeniu występującym w preparacie wykazuje słabe działanie </w:t>
      </w:r>
      <w:proofErr w:type="spellStart"/>
      <w:r w:rsidRPr="00837556">
        <w:rPr>
          <w:sz w:val="22"/>
          <w:szCs w:val="22"/>
        </w:rPr>
        <w:t>keratolityczne</w:t>
      </w:r>
      <w:proofErr w:type="spellEnd"/>
      <w:r w:rsidRPr="00837556">
        <w:rPr>
          <w:sz w:val="22"/>
          <w:szCs w:val="22"/>
        </w:rPr>
        <w:t xml:space="preserve">. Ułatwia przenikanie </w:t>
      </w:r>
      <w:proofErr w:type="spellStart"/>
      <w:r w:rsidRPr="00837556">
        <w:rPr>
          <w:sz w:val="22"/>
          <w:szCs w:val="22"/>
        </w:rPr>
        <w:t>glikokortykosteroidu</w:t>
      </w:r>
      <w:proofErr w:type="spellEnd"/>
      <w:r w:rsidRPr="00837556">
        <w:rPr>
          <w:sz w:val="22"/>
          <w:szCs w:val="22"/>
        </w:rPr>
        <w:t xml:space="preserve"> przez nadmiernie zrogowaciały naskórek.</w:t>
      </w:r>
    </w:p>
    <w:p w14:paraId="6089BE15" w14:textId="77777777" w:rsidR="0079744C" w:rsidRPr="00837556" w:rsidRDefault="0079744C">
      <w:pPr>
        <w:rPr>
          <w:b/>
          <w:bCs/>
          <w:sz w:val="22"/>
          <w:szCs w:val="22"/>
        </w:rPr>
      </w:pPr>
    </w:p>
    <w:p w14:paraId="1F4E1069" w14:textId="77777777" w:rsidR="0079744C" w:rsidRPr="00837556" w:rsidRDefault="0079744C">
      <w:pPr>
        <w:rPr>
          <w:b/>
          <w:bCs/>
          <w:sz w:val="22"/>
          <w:szCs w:val="22"/>
        </w:rPr>
      </w:pPr>
      <w:r w:rsidRPr="00837556">
        <w:rPr>
          <w:b/>
          <w:bCs/>
          <w:sz w:val="22"/>
          <w:szCs w:val="22"/>
        </w:rPr>
        <w:t>5.2 Właściwości farmakokinetyczne</w:t>
      </w:r>
    </w:p>
    <w:p w14:paraId="10D84B63" w14:textId="77777777" w:rsidR="00FF7570" w:rsidRPr="00837556" w:rsidRDefault="00FF7570">
      <w:pPr>
        <w:rPr>
          <w:b/>
          <w:bCs/>
          <w:sz w:val="22"/>
          <w:szCs w:val="22"/>
        </w:rPr>
      </w:pPr>
    </w:p>
    <w:p w14:paraId="54D0D421" w14:textId="77777777" w:rsidR="00FF7570" w:rsidRPr="00837556" w:rsidRDefault="00FF7570">
      <w:pPr>
        <w:rPr>
          <w:b/>
          <w:bCs/>
          <w:sz w:val="22"/>
          <w:szCs w:val="22"/>
        </w:rPr>
      </w:pPr>
      <w:r w:rsidRPr="00837556">
        <w:rPr>
          <w:noProof/>
          <w:sz w:val="22"/>
          <w:szCs w:val="22"/>
          <w:u w:val="single"/>
        </w:rPr>
        <w:t>Wchłanianie</w:t>
      </w:r>
    </w:p>
    <w:p w14:paraId="6A66D48C" w14:textId="77777777" w:rsidR="00953482" w:rsidRPr="00837556" w:rsidRDefault="0079744C">
      <w:pPr>
        <w:rPr>
          <w:sz w:val="22"/>
          <w:szCs w:val="22"/>
        </w:rPr>
      </w:pPr>
      <w:proofErr w:type="spellStart"/>
      <w:r w:rsidRPr="00837556">
        <w:rPr>
          <w:sz w:val="22"/>
          <w:szCs w:val="22"/>
        </w:rPr>
        <w:t>Flumetazonu</w:t>
      </w:r>
      <w:proofErr w:type="spellEnd"/>
      <w:r w:rsidRPr="00837556">
        <w:rPr>
          <w:sz w:val="22"/>
          <w:szCs w:val="22"/>
        </w:rPr>
        <w:t xml:space="preserve"> </w:t>
      </w:r>
      <w:proofErr w:type="spellStart"/>
      <w:r w:rsidRPr="00837556">
        <w:rPr>
          <w:sz w:val="22"/>
          <w:szCs w:val="22"/>
        </w:rPr>
        <w:t>piwalan</w:t>
      </w:r>
      <w:proofErr w:type="spellEnd"/>
      <w:r w:rsidRPr="00837556">
        <w:rPr>
          <w:sz w:val="22"/>
          <w:szCs w:val="22"/>
        </w:rPr>
        <w:t xml:space="preserve"> po podaniu na skórę łatwo przenika do warstwy rogowej skóry. W niewielkim stopniu może przenikać do organizmu i wykazuje wówczas działanie ogólne. </w:t>
      </w:r>
    </w:p>
    <w:p w14:paraId="05F4E18B" w14:textId="77777777" w:rsidR="0079744C" w:rsidRPr="00837556" w:rsidRDefault="0079744C">
      <w:pPr>
        <w:rPr>
          <w:sz w:val="22"/>
          <w:szCs w:val="22"/>
        </w:rPr>
      </w:pPr>
      <w:r w:rsidRPr="00837556">
        <w:rPr>
          <w:sz w:val="22"/>
          <w:szCs w:val="22"/>
        </w:rPr>
        <w:t xml:space="preserve">Wchłanianie </w:t>
      </w:r>
      <w:proofErr w:type="spellStart"/>
      <w:r w:rsidRPr="00837556">
        <w:rPr>
          <w:sz w:val="22"/>
          <w:szCs w:val="22"/>
        </w:rPr>
        <w:t>flumetazonu</w:t>
      </w:r>
      <w:proofErr w:type="spellEnd"/>
      <w:r w:rsidRPr="00837556">
        <w:rPr>
          <w:sz w:val="22"/>
          <w:szCs w:val="22"/>
        </w:rPr>
        <w:t xml:space="preserve"> </w:t>
      </w:r>
      <w:proofErr w:type="spellStart"/>
      <w:r w:rsidRPr="00837556">
        <w:rPr>
          <w:sz w:val="22"/>
          <w:szCs w:val="22"/>
        </w:rPr>
        <w:t>piwalanu</w:t>
      </w:r>
      <w:proofErr w:type="spellEnd"/>
      <w:r w:rsidRPr="00837556">
        <w:rPr>
          <w:sz w:val="22"/>
          <w:szCs w:val="22"/>
        </w:rPr>
        <w:t xml:space="preserve"> przez skórę zwiększa się po zastosowaniu na delikatną skórę w okolicy fałdów lub na skórę twarzy oraz na skórę z uszkodzonym naskórkiem lub uszkodzoną procesem zapalnym Wchłanianie </w:t>
      </w:r>
      <w:proofErr w:type="spellStart"/>
      <w:r w:rsidRPr="00837556">
        <w:rPr>
          <w:sz w:val="22"/>
          <w:szCs w:val="22"/>
        </w:rPr>
        <w:t>flumetazonu</w:t>
      </w:r>
      <w:proofErr w:type="spellEnd"/>
      <w:r w:rsidRPr="00837556">
        <w:rPr>
          <w:sz w:val="22"/>
          <w:szCs w:val="22"/>
        </w:rPr>
        <w:t xml:space="preserve"> </w:t>
      </w:r>
      <w:proofErr w:type="spellStart"/>
      <w:r w:rsidRPr="00837556">
        <w:rPr>
          <w:sz w:val="22"/>
          <w:szCs w:val="22"/>
        </w:rPr>
        <w:t>piwalanu</w:t>
      </w:r>
      <w:proofErr w:type="spellEnd"/>
      <w:r w:rsidRPr="00837556">
        <w:rPr>
          <w:sz w:val="22"/>
          <w:szCs w:val="22"/>
        </w:rPr>
        <w:t xml:space="preserve"> ulega zwiększeniu podczas stosowania opatrunku </w:t>
      </w:r>
      <w:proofErr w:type="spellStart"/>
      <w:r w:rsidRPr="00837556">
        <w:rPr>
          <w:sz w:val="22"/>
          <w:szCs w:val="22"/>
        </w:rPr>
        <w:t>okluzyjnego</w:t>
      </w:r>
      <w:proofErr w:type="spellEnd"/>
      <w:r w:rsidRPr="00837556">
        <w:rPr>
          <w:sz w:val="22"/>
          <w:szCs w:val="22"/>
        </w:rPr>
        <w:t xml:space="preserve">, częstego stosowaniu produktu leczniczego lub po zastosowaniu go na dużą powierzchnię skóry. </w:t>
      </w:r>
    </w:p>
    <w:p w14:paraId="1E7D4D71" w14:textId="77777777" w:rsidR="00953482" w:rsidRPr="00837556" w:rsidRDefault="0079744C">
      <w:pPr>
        <w:rPr>
          <w:noProof/>
          <w:sz w:val="22"/>
          <w:szCs w:val="22"/>
          <w:u w:val="single"/>
        </w:rPr>
      </w:pPr>
      <w:r w:rsidRPr="00837556">
        <w:rPr>
          <w:sz w:val="22"/>
          <w:szCs w:val="22"/>
        </w:rPr>
        <w:t xml:space="preserve">Wchłanianie </w:t>
      </w:r>
      <w:proofErr w:type="spellStart"/>
      <w:r w:rsidRPr="00837556">
        <w:rPr>
          <w:sz w:val="22"/>
          <w:szCs w:val="22"/>
        </w:rPr>
        <w:t>flumetazonu</w:t>
      </w:r>
      <w:proofErr w:type="spellEnd"/>
      <w:r w:rsidRPr="00837556">
        <w:rPr>
          <w:sz w:val="22"/>
          <w:szCs w:val="22"/>
        </w:rPr>
        <w:t xml:space="preserve"> </w:t>
      </w:r>
      <w:proofErr w:type="spellStart"/>
      <w:r w:rsidRPr="00837556">
        <w:rPr>
          <w:sz w:val="22"/>
          <w:szCs w:val="22"/>
        </w:rPr>
        <w:t>piwalanu</w:t>
      </w:r>
      <w:proofErr w:type="spellEnd"/>
      <w:r w:rsidRPr="00837556">
        <w:rPr>
          <w:sz w:val="22"/>
          <w:szCs w:val="22"/>
        </w:rPr>
        <w:t xml:space="preserve"> przez skórę u dzieci jest większe niż u dorosłych.</w:t>
      </w:r>
    </w:p>
    <w:p w14:paraId="4810A784" w14:textId="77777777" w:rsidR="00953482" w:rsidRPr="00837556" w:rsidRDefault="00953482">
      <w:pPr>
        <w:rPr>
          <w:sz w:val="22"/>
          <w:szCs w:val="22"/>
        </w:rPr>
      </w:pPr>
    </w:p>
    <w:p w14:paraId="41F74706" w14:textId="77777777" w:rsidR="0079744C" w:rsidRPr="00837556" w:rsidRDefault="00953482" w:rsidP="00411C89">
      <w:pPr>
        <w:rPr>
          <w:sz w:val="22"/>
          <w:szCs w:val="22"/>
        </w:rPr>
      </w:pPr>
      <w:r w:rsidRPr="00837556">
        <w:rPr>
          <w:noProof/>
          <w:sz w:val="22"/>
          <w:szCs w:val="22"/>
          <w:u w:val="single"/>
        </w:rPr>
        <w:t>Metabolizm</w:t>
      </w:r>
    </w:p>
    <w:p w14:paraId="466C8360" w14:textId="77777777" w:rsidR="00953482" w:rsidRPr="00837556" w:rsidRDefault="00953482" w:rsidP="00953482">
      <w:pPr>
        <w:pStyle w:val="Stopka"/>
        <w:tabs>
          <w:tab w:val="left" w:pos="708"/>
        </w:tabs>
        <w:rPr>
          <w:sz w:val="22"/>
          <w:szCs w:val="22"/>
        </w:rPr>
      </w:pPr>
      <w:r w:rsidRPr="00837556">
        <w:rPr>
          <w:sz w:val="22"/>
          <w:szCs w:val="22"/>
        </w:rPr>
        <w:t xml:space="preserve">Po wchłonięciu ze skóry do organizmu </w:t>
      </w:r>
      <w:proofErr w:type="spellStart"/>
      <w:r w:rsidRPr="00837556">
        <w:rPr>
          <w:sz w:val="22"/>
          <w:szCs w:val="22"/>
        </w:rPr>
        <w:t>flumetazonu</w:t>
      </w:r>
      <w:proofErr w:type="spellEnd"/>
      <w:r w:rsidRPr="00837556">
        <w:rPr>
          <w:sz w:val="22"/>
          <w:szCs w:val="22"/>
        </w:rPr>
        <w:t xml:space="preserve"> </w:t>
      </w:r>
      <w:proofErr w:type="spellStart"/>
      <w:r w:rsidRPr="00837556">
        <w:rPr>
          <w:sz w:val="22"/>
          <w:szCs w:val="22"/>
        </w:rPr>
        <w:t>piwalan</w:t>
      </w:r>
      <w:proofErr w:type="spellEnd"/>
      <w:r w:rsidRPr="00837556">
        <w:rPr>
          <w:sz w:val="22"/>
          <w:szCs w:val="22"/>
        </w:rPr>
        <w:t xml:space="preserve"> jest metabolizowany głównie w wątrobie.</w:t>
      </w:r>
    </w:p>
    <w:p w14:paraId="4BF8DDAE" w14:textId="77777777" w:rsidR="00953482" w:rsidRPr="00837556" w:rsidRDefault="00953482" w:rsidP="00411C89">
      <w:pPr>
        <w:rPr>
          <w:noProof/>
          <w:sz w:val="22"/>
          <w:szCs w:val="22"/>
          <w:u w:val="single"/>
        </w:rPr>
      </w:pPr>
    </w:p>
    <w:p w14:paraId="255D33F4" w14:textId="77777777" w:rsidR="00953482" w:rsidRPr="00837556" w:rsidRDefault="00953482" w:rsidP="00411C89">
      <w:pPr>
        <w:rPr>
          <w:sz w:val="22"/>
          <w:szCs w:val="22"/>
        </w:rPr>
      </w:pPr>
      <w:r w:rsidRPr="00837556">
        <w:rPr>
          <w:noProof/>
          <w:sz w:val="22"/>
          <w:szCs w:val="22"/>
          <w:u w:val="single"/>
        </w:rPr>
        <w:t>Eliminacja</w:t>
      </w:r>
    </w:p>
    <w:p w14:paraId="039EE605" w14:textId="77777777" w:rsidR="00953482" w:rsidRPr="00837556" w:rsidRDefault="00953482">
      <w:pPr>
        <w:pStyle w:val="Stopka"/>
        <w:tabs>
          <w:tab w:val="left" w:pos="708"/>
        </w:tabs>
        <w:rPr>
          <w:sz w:val="22"/>
          <w:szCs w:val="22"/>
        </w:rPr>
      </w:pPr>
      <w:r w:rsidRPr="00837556">
        <w:rPr>
          <w:sz w:val="22"/>
          <w:szCs w:val="22"/>
        </w:rPr>
        <w:t>Następnie jest wydalany z moczem i w mniejszej ilości z żółcią, głównie w postaci połączeń z kwasem glukuronowym oraz w niewielkiej ilości w postaci niezmienionej.</w:t>
      </w:r>
    </w:p>
    <w:p w14:paraId="01EB0125" w14:textId="77777777" w:rsidR="00953482" w:rsidRPr="00837556" w:rsidRDefault="00953482">
      <w:pPr>
        <w:pStyle w:val="Stopka"/>
        <w:tabs>
          <w:tab w:val="left" w:pos="708"/>
        </w:tabs>
        <w:rPr>
          <w:sz w:val="22"/>
          <w:szCs w:val="22"/>
        </w:rPr>
      </w:pPr>
    </w:p>
    <w:p w14:paraId="2F97AC2E" w14:textId="77777777" w:rsidR="0079744C" w:rsidRPr="00837556" w:rsidRDefault="0079744C">
      <w:pPr>
        <w:rPr>
          <w:b/>
          <w:bCs/>
          <w:sz w:val="22"/>
          <w:szCs w:val="22"/>
        </w:rPr>
      </w:pPr>
      <w:r w:rsidRPr="00837556">
        <w:rPr>
          <w:b/>
          <w:bCs/>
          <w:sz w:val="22"/>
          <w:szCs w:val="22"/>
        </w:rPr>
        <w:t>5.3 Przedkliniczne dane o bezpieczeństwie</w:t>
      </w:r>
    </w:p>
    <w:p w14:paraId="68B51BFB" w14:textId="77777777" w:rsidR="00953482" w:rsidRPr="00837556" w:rsidRDefault="00953482">
      <w:pPr>
        <w:rPr>
          <w:b/>
          <w:bCs/>
          <w:sz w:val="22"/>
          <w:szCs w:val="22"/>
        </w:rPr>
      </w:pPr>
    </w:p>
    <w:p w14:paraId="06FF50AB" w14:textId="77777777" w:rsidR="0079744C" w:rsidRPr="00837556" w:rsidRDefault="0079744C">
      <w:pPr>
        <w:rPr>
          <w:i/>
          <w:sz w:val="22"/>
          <w:szCs w:val="22"/>
        </w:rPr>
      </w:pPr>
      <w:r w:rsidRPr="00837556">
        <w:rPr>
          <w:i/>
          <w:sz w:val="22"/>
          <w:szCs w:val="22"/>
        </w:rPr>
        <w:t>Działanie mutagenne.</w:t>
      </w:r>
    </w:p>
    <w:p w14:paraId="0BC6537E" w14:textId="77777777" w:rsidR="0079744C" w:rsidRPr="00837556" w:rsidRDefault="0079744C">
      <w:pPr>
        <w:rPr>
          <w:sz w:val="22"/>
          <w:szCs w:val="22"/>
        </w:rPr>
      </w:pPr>
      <w:r w:rsidRPr="00837556">
        <w:rPr>
          <w:sz w:val="22"/>
          <w:szCs w:val="22"/>
        </w:rPr>
        <w:lastRenderedPageBreak/>
        <w:t xml:space="preserve">Nie przeprowadzono badań dotyczących mutagennego działania </w:t>
      </w:r>
      <w:proofErr w:type="spellStart"/>
      <w:r w:rsidRPr="00837556">
        <w:rPr>
          <w:sz w:val="22"/>
          <w:szCs w:val="22"/>
        </w:rPr>
        <w:t>flumetazonu</w:t>
      </w:r>
      <w:proofErr w:type="spellEnd"/>
      <w:r w:rsidRPr="00837556">
        <w:rPr>
          <w:sz w:val="22"/>
          <w:szCs w:val="22"/>
        </w:rPr>
        <w:t xml:space="preserve"> </w:t>
      </w:r>
      <w:proofErr w:type="spellStart"/>
      <w:r w:rsidRPr="00837556">
        <w:rPr>
          <w:sz w:val="22"/>
          <w:szCs w:val="22"/>
        </w:rPr>
        <w:t>piwalanu</w:t>
      </w:r>
      <w:proofErr w:type="spellEnd"/>
      <w:r w:rsidRPr="00837556">
        <w:rPr>
          <w:sz w:val="22"/>
          <w:szCs w:val="22"/>
        </w:rPr>
        <w:t xml:space="preserve">, przeprowadzono natomiast badania dotyczące działania mutagennego innych kortykosteroidów o zbliżonej budowie chemicznej. </w:t>
      </w:r>
    </w:p>
    <w:p w14:paraId="527DB20F" w14:textId="77777777" w:rsidR="00B47602" w:rsidRPr="00837556" w:rsidRDefault="00B47602">
      <w:pPr>
        <w:rPr>
          <w:sz w:val="22"/>
          <w:szCs w:val="22"/>
        </w:rPr>
      </w:pPr>
    </w:p>
    <w:p w14:paraId="3B24C683" w14:textId="77777777" w:rsidR="0079744C" w:rsidRPr="00837556" w:rsidRDefault="0079744C">
      <w:pPr>
        <w:rPr>
          <w:iCs/>
          <w:sz w:val="22"/>
          <w:szCs w:val="22"/>
        </w:rPr>
      </w:pPr>
      <w:proofErr w:type="spellStart"/>
      <w:r w:rsidRPr="00837556">
        <w:rPr>
          <w:sz w:val="22"/>
          <w:szCs w:val="22"/>
        </w:rPr>
        <w:t>Flutykazonu</w:t>
      </w:r>
      <w:proofErr w:type="spellEnd"/>
      <w:r w:rsidRPr="00837556">
        <w:rPr>
          <w:sz w:val="22"/>
          <w:szCs w:val="22"/>
        </w:rPr>
        <w:t xml:space="preserve"> </w:t>
      </w:r>
      <w:proofErr w:type="spellStart"/>
      <w:r w:rsidRPr="00837556">
        <w:rPr>
          <w:sz w:val="22"/>
          <w:szCs w:val="22"/>
        </w:rPr>
        <w:t>propionian</w:t>
      </w:r>
      <w:proofErr w:type="spellEnd"/>
      <w:r w:rsidRPr="00837556">
        <w:rPr>
          <w:sz w:val="22"/>
          <w:szCs w:val="22"/>
        </w:rPr>
        <w:t xml:space="preserve"> nie wykazywał działania mutagennego w teście </w:t>
      </w:r>
      <w:proofErr w:type="spellStart"/>
      <w:r w:rsidRPr="00837556">
        <w:rPr>
          <w:sz w:val="22"/>
          <w:szCs w:val="22"/>
        </w:rPr>
        <w:t>Ames</w:t>
      </w:r>
      <w:r w:rsidRPr="00837556">
        <w:rPr>
          <w:sz w:val="22"/>
          <w:szCs w:val="22"/>
          <w:vertAlign w:val="superscript"/>
        </w:rPr>
        <w:t>’</w:t>
      </w:r>
      <w:r w:rsidRPr="00837556">
        <w:rPr>
          <w:sz w:val="22"/>
          <w:szCs w:val="22"/>
        </w:rPr>
        <w:t>a</w:t>
      </w:r>
      <w:proofErr w:type="spellEnd"/>
      <w:r w:rsidRPr="00837556">
        <w:rPr>
          <w:sz w:val="22"/>
          <w:szCs w:val="22"/>
        </w:rPr>
        <w:t xml:space="preserve"> wykonanym na bakteriach </w:t>
      </w:r>
      <w:r w:rsidRPr="00837556">
        <w:rPr>
          <w:i/>
          <w:sz w:val="22"/>
          <w:szCs w:val="22"/>
        </w:rPr>
        <w:t xml:space="preserve">Escherichia coli, </w:t>
      </w:r>
      <w:r w:rsidRPr="00837556">
        <w:rPr>
          <w:iCs/>
          <w:sz w:val="22"/>
          <w:szCs w:val="22"/>
        </w:rPr>
        <w:t xml:space="preserve">w teście konwersji genów wykonanych na drożdżach </w:t>
      </w:r>
      <w:proofErr w:type="spellStart"/>
      <w:r w:rsidRPr="00837556">
        <w:rPr>
          <w:i/>
          <w:sz w:val="22"/>
          <w:szCs w:val="22"/>
        </w:rPr>
        <w:t>Saccharomyces</w:t>
      </w:r>
      <w:proofErr w:type="spellEnd"/>
      <w:r w:rsidRPr="00837556">
        <w:rPr>
          <w:i/>
          <w:sz w:val="22"/>
          <w:szCs w:val="22"/>
        </w:rPr>
        <w:t xml:space="preserve"> </w:t>
      </w:r>
      <w:proofErr w:type="spellStart"/>
      <w:r w:rsidRPr="00837556">
        <w:rPr>
          <w:i/>
          <w:sz w:val="22"/>
          <w:szCs w:val="22"/>
        </w:rPr>
        <w:t>cerevisiae</w:t>
      </w:r>
      <w:proofErr w:type="spellEnd"/>
      <w:r w:rsidRPr="00837556">
        <w:rPr>
          <w:iCs/>
          <w:sz w:val="22"/>
          <w:szCs w:val="22"/>
        </w:rPr>
        <w:t xml:space="preserve"> oraz w teście działania mutagennego na komórkach jajnika </w:t>
      </w:r>
      <w:r w:rsidR="00E62008" w:rsidRPr="00837556">
        <w:rPr>
          <w:iCs/>
          <w:sz w:val="22"/>
          <w:szCs w:val="22"/>
        </w:rPr>
        <w:t>c</w:t>
      </w:r>
      <w:r w:rsidRPr="00837556">
        <w:rPr>
          <w:iCs/>
          <w:sz w:val="22"/>
          <w:szCs w:val="22"/>
        </w:rPr>
        <w:t xml:space="preserve">homika chińskiego. Nie wykazano również działania mutagennego </w:t>
      </w:r>
      <w:proofErr w:type="spellStart"/>
      <w:r w:rsidRPr="00837556">
        <w:rPr>
          <w:iCs/>
          <w:sz w:val="22"/>
          <w:szCs w:val="22"/>
        </w:rPr>
        <w:t>flutykazonu</w:t>
      </w:r>
      <w:proofErr w:type="spellEnd"/>
      <w:r w:rsidRPr="00837556">
        <w:rPr>
          <w:iCs/>
          <w:sz w:val="22"/>
          <w:szCs w:val="22"/>
        </w:rPr>
        <w:t xml:space="preserve"> w badaniach na limfocytach ludzkich </w:t>
      </w:r>
      <w:r w:rsidRPr="00837556">
        <w:rPr>
          <w:i/>
          <w:sz w:val="22"/>
          <w:szCs w:val="22"/>
        </w:rPr>
        <w:t>in vitro</w:t>
      </w:r>
      <w:r w:rsidRPr="00837556">
        <w:rPr>
          <w:iCs/>
          <w:sz w:val="22"/>
          <w:szCs w:val="22"/>
        </w:rPr>
        <w:t xml:space="preserve"> oraz działania </w:t>
      </w:r>
      <w:proofErr w:type="spellStart"/>
      <w:r w:rsidRPr="00837556">
        <w:rPr>
          <w:iCs/>
          <w:sz w:val="22"/>
          <w:szCs w:val="22"/>
        </w:rPr>
        <w:t>klastogenowego</w:t>
      </w:r>
      <w:proofErr w:type="spellEnd"/>
      <w:r w:rsidRPr="00837556">
        <w:rPr>
          <w:iCs/>
          <w:sz w:val="22"/>
          <w:szCs w:val="22"/>
        </w:rPr>
        <w:t xml:space="preserve"> w teście </w:t>
      </w:r>
      <w:proofErr w:type="spellStart"/>
      <w:r w:rsidRPr="00837556">
        <w:rPr>
          <w:iCs/>
          <w:sz w:val="22"/>
          <w:szCs w:val="22"/>
        </w:rPr>
        <w:t>mikrojąderkowym</w:t>
      </w:r>
      <w:proofErr w:type="spellEnd"/>
      <w:r w:rsidRPr="00837556">
        <w:rPr>
          <w:iCs/>
          <w:sz w:val="22"/>
          <w:szCs w:val="22"/>
        </w:rPr>
        <w:t xml:space="preserve"> na myszach.</w:t>
      </w:r>
    </w:p>
    <w:p w14:paraId="0CE059FF" w14:textId="77777777" w:rsidR="001E1031" w:rsidRPr="00837556" w:rsidRDefault="0079744C">
      <w:pPr>
        <w:rPr>
          <w:iCs/>
          <w:sz w:val="22"/>
          <w:szCs w:val="22"/>
        </w:rPr>
      </w:pPr>
      <w:r w:rsidRPr="00837556">
        <w:rPr>
          <w:iCs/>
          <w:sz w:val="22"/>
          <w:szCs w:val="22"/>
        </w:rPr>
        <w:t xml:space="preserve">Badania </w:t>
      </w:r>
      <w:proofErr w:type="spellStart"/>
      <w:r w:rsidRPr="00837556">
        <w:rPr>
          <w:iCs/>
          <w:sz w:val="22"/>
          <w:szCs w:val="22"/>
        </w:rPr>
        <w:t>hydrokortyzonu</w:t>
      </w:r>
      <w:proofErr w:type="spellEnd"/>
      <w:r w:rsidRPr="00837556">
        <w:rPr>
          <w:iCs/>
          <w:sz w:val="22"/>
          <w:szCs w:val="22"/>
        </w:rPr>
        <w:t xml:space="preserve"> i </w:t>
      </w:r>
      <w:proofErr w:type="spellStart"/>
      <w:r w:rsidRPr="00837556">
        <w:rPr>
          <w:iCs/>
          <w:sz w:val="22"/>
          <w:szCs w:val="22"/>
        </w:rPr>
        <w:t>prednizolonu</w:t>
      </w:r>
      <w:proofErr w:type="spellEnd"/>
      <w:r w:rsidRPr="00837556">
        <w:rPr>
          <w:iCs/>
          <w:sz w:val="22"/>
          <w:szCs w:val="22"/>
        </w:rPr>
        <w:t xml:space="preserve"> na bakteriach </w:t>
      </w:r>
      <w:r w:rsidRPr="00837556">
        <w:rPr>
          <w:i/>
          <w:sz w:val="22"/>
          <w:szCs w:val="22"/>
        </w:rPr>
        <w:t xml:space="preserve">Salmonella </w:t>
      </w:r>
      <w:proofErr w:type="spellStart"/>
      <w:r w:rsidRPr="00837556">
        <w:rPr>
          <w:i/>
          <w:sz w:val="22"/>
          <w:szCs w:val="22"/>
        </w:rPr>
        <w:t>typhimurium</w:t>
      </w:r>
      <w:proofErr w:type="spellEnd"/>
      <w:r w:rsidRPr="00837556">
        <w:rPr>
          <w:i/>
          <w:sz w:val="22"/>
          <w:szCs w:val="22"/>
        </w:rPr>
        <w:t xml:space="preserve"> </w:t>
      </w:r>
      <w:r w:rsidRPr="00837556">
        <w:rPr>
          <w:iCs/>
          <w:sz w:val="22"/>
          <w:szCs w:val="22"/>
        </w:rPr>
        <w:t>również nie wykazały ich działania mutagennego.</w:t>
      </w:r>
    </w:p>
    <w:p w14:paraId="15E94D47" w14:textId="77777777" w:rsidR="0079744C" w:rsidRPr="00837556" w:rsidRDefault="0079744C">
      <w:pPr>
        <w:rPr>
          <w:i/>
          <w:sz w:val="22"/>
          <w:szCs w:val="22"/>
        </w:rPr>
      </w:pPr>
      <w:r w:rsidRPr="00837556">
        <w:rPr>
          <w:i/>
          <w:sz w:val="22"/>
          <w:szCs w:val="22"/>
        </w:rPr>
        <w:t xml:space="preserve"> </w:t>
      </w:r>
    </w:p>
    <w:p w14:paraId="324654C4" w14:textId="77777777" w:rsidR="0079744C" w:rsidRPr="00837556" w:rsidRDefault="0079744C">
      <w:pPr>
        <w:rPr>
          <w:sz w:val="22"/>
          <w:szCs w:val="22"/>
        </w:rPr>
      </w:pPr>
      <w:r w:rsidRPr="00837556">
        <w:rPr>
          <w:i/>
          <w:sz w:val="22"/>
          <w:szCs w:val="22"/>
        </w:rPr>
        <w:t>Działanie rakotwórcze</w:t>
      </w:r>
      <w:r w:rsidRPr="00837556">
        <w:rPr>
          <w:sz w:val="22"/>
          <w:szCs w:val="22"/>
        </w:rPr>
        <w:t>.</w:t>
      </w:r>
    </w:p>
    <w:p w14:paraId="4F2EB0FA" w14:textId="77777777" w:rsidR="0079744C" w:rsidRPr="00837556" w:rsidRDefault="0079744C">
      <w:pPr>
        <w:rPr>
          <w:sz w:val="22"/>
          <w:szCs w:val="22"/>
        </w:rPr>
      </w:pPr>
      <w:r w:rsidRPr="00837556">
        <w:rPr>
          <w:sz w:val="22"/>
          <w:szCs w:val="22"/>
        </w:rPr>
        <w:t>Nie uzyskano jednak danych mogących wskazywać, że miejscowe stosowanie kortykosteroidów sprzyja występowaniu raka skóry u ludzi.</w:t>
      </w:r>
    </w:p>
    <w:p w14:paraId="4D48557D" w14:textId="77777777" w:rsidR="001E1031" w:rsidRPr="00837556" w:rsidRDefault="001E1031">
      <w:pPr>
        <w:rPr>
          <w:sz w:val="22"/>
          <w:szCs w:val="22"/>
        </w:rPr>
      </w:pPr>
    </w:p>
    <w:p w14:paraId="6B04811D" w14:textId="77777777" w:rsidR="0079744C" w:rsidRPr="00837556" w:rsidRDefault="0079744C">
      <w:pPr>
        <w:rPr>
          <w:i/>
          <w:sz w:val="22"/>
          <w:szCs w:val="22"/>
        </w:rPr>
      </w:pPr>
      <w:r w:rsidRPr="00837556">
        <w:rPr>
          <w:i/>
          <w:sz w:val="22"/>
          <w:szCs w:val="22"/>
        </w:rPr>
        <w:t>Wpływ na płodność.</w:t>
      </w:r>
    </w:p>
    <w:p w14:paraId="26DA142C" w14:textId="77777777" w:rsidR="0079744C" w:rsidRPr="00837556" w:rsidRDefault="0079744C">
      <w:pPr>
        <w:rPr>
          <w:sz w:val="22"/>
          <w:szCs w:val="22"/>
        </w:rPr>
      </w:pPr>
      <w:r w:rsidRPr="00837556">
        <w:rPr>
          <w:sz w:val="22"/>
          <w:szCs w:val="22"/>
        </w:rPr>
        <w:t xml:space="preserve">Nie badano wpływu </w:t>
      </w:r>
      <w:proofErr w:type="spellStart"/>
      <w:r w:rsidRPr="00837556">
        <w:rPr>
          <w:sz w:val="22"/>
          <w:szCs w:val="22"/>
        </w:rPr>
        <w:t>flumetazonu</w:t>
      </w:r>
      <w:proofErr w:type="spellEnd"/>
      <w:r w:rsidRPr="00837556">
        <w:rPr>
          <w:sz w:val="22"/>
          <w:szCs w:val="22"/>
        </w:rPr>
        <w:t xml:space="preserve"> </w:t>
      </w:r>
      <w:proofErr w:type="spellStart"/>
      <w:r w:rsidRPr="00837556">
        <w:rPr>
          <w:sz w:val="22"/>
          <w:szCs w:val="22"/>
        </w:rPr>
        <w:t>piwalanu</w:t>
      </w:r>
      <w:proofErr w:type="spellEnd"/>
      <w:r w:rsidRPr="00837556">
        <w:rPr>
          <w:sz w:val="22"/>
          <w:szCs w:val="22"/>
        </w:rPr>
        <w:t xml:space="preserve"> na płodność, natomiast wykazano wpływ na płodność dla innych kortykosteroidów.</w:t>
      </w:r>
    </w:p>
    <w:p w14:paraId="17449F59" w14:textId="77777777" w:rsidR="0079744C" w:rsidRPr="00837556" w:rsidRDefault="0079744C">
      <w:pPr>
        <w:rPr>
          <w:b/>
          <w:bCs/>
          <w:caps/>
          <w:sz w:val="22"/>
          <w:szCs w:val="22"/>
        </w:rPr>
      </w:pPr>
    </w:p>
    <w:p w14:paraId="3EA1D81F" w14:textId="77777777" w:rsidR="0079744C" w:rsidRPr="00837556" w:rsidRDefault="0079744C">
      <w:pPr>
        <w:rPr>
          <w:b/>
          <w:bCs/>
          <w:caps/>
          <w:sz w:val="22"/>
          <w:szCs w:val="22"/>
        </w:rPr>
      </w:pPr>
    </w:p>
    <w:p w14:paraId="61ECFF57" w14:textId="77777777" w:rsidR="0079744C" w:rsidRPr="00837556" w:rsidRDefault="0079744C">
      <w:pPr>
        <w:rPr>
          <w:b/>
          <w:bCs/>
          <w:caps/>
          <w:sz w:val="22"/>
          <w:szCs w:val="22"/>
        </w:rPr>
      </w:pPr>
      <w:r w:rsidRPr="00837556">
        <w:rPr>
          <w:b/>
          <w:bCs/>
          <w:caps/>
          <w:sz w:val="22"/>
          <w:szCs w:val="22"/>
        </w:rPr>
        <w:t>6. dane farmaceutyczne</w:t>
      </w:r>
    </w:p>
    <w:p w14:paraId="5C0CA3E4" w14:textId="77777777" w:rsidR="0079744C" w:rsidRPr="00837556" w:rsidRDefault="0079744C">
      <w:pPr>
        <w:rPr>
          <w:b/>
          <w:bCs/>
          <w:sz w:val="22"/>
          <w:szCs w:val="22"/>
        </w:rPr>
      </w:pPr>
    </w:p>
    <w:p w14:paraId="6BF84242" w14:textId="77777777" w:rsidR="0079744C" w:rsidRPr="00837556" w:rsidRDefault="0079744C">
      <w:pPr>
        <w:rPr>
          <w:b/>
          <w:bCs/>
          <w:sz w:val="22"/>
          <w:szCs w:val="22"/>
        </w:rPr>
      </w:pPr>
      <w:r w:rsidRPr="00837556">
        <w:rPr>
          <w:b/>
          <w:bCs/>
          <w:sz w:val="22"/>
          <w:szCs w:val="22"/>
        </w:rPr>
        <w:t>6.1 Wykaz substancji pomocniczych</w:t>
      </w:r>
    </w:p>
    <w:p w14:paraId="2E12D56A" w14:textId="77777777" w:rsidR="00953482" w:rsidRPr="00837556" w:rsidRDefault="00953482">
      <w:pPr>
        <w:rPr>
          <w:b/>
          <w:bCs/>
          <w:sz w:val="22"/>
          <w:szCs w:val="22"/>
        </w:rPr>
      </w:pPr>
    </w:p>
    <w:p w14:paraId="23920BAA" w14:textId="77777777" w:rsidR="0079744C" w:rsidRPr="00837556" w:rsidRDefault="0079744C">
      <w:pPr>
        <w:rPr>
          <w:sz w:val="22"/>
          <w:szCs w:val="22"/>
        </w:rPr>
      </w:pPr>
      <w:r w:rsidRPr="00837556">
        <w:rPr>
          <w:sz w:val="22"/>
          <w:szCs w:val="22"/>
        </w:rPr>
        <w:t>Glikol propylenowy, wazelina biała, lanolina bezwodna.</w:t>
      </w:r>
    </w:p>
    <w:p w14:paraId="34D64F87" w14:textId="77777777" w:rsidR="00953482" w:rsidRPr="00837556" w:rsidRDefault="00953482">
      <w:pPr>
        <w:rPr>
          <w:sz w:val="22"/>
          <w:szCs w:val="22"/>
        </w:rPr>
      </w:pPr>
    </w:p>
    <w:p w14:paraId="1CB5AE8F" w14:textId="77777777" w:rsidR="0079744C" w:rsidRPr="00837556" w:rsidRDefault="0079744C">
      <w:pPr>
        <w:rPr>
          <w:b/>
          <w:bCs/>
          <w:sz w:val="22"/>
          <w:szCs w:val="22"/>
        </w:rPr>
      </w:pPr>
      <w:r w:rsidRPr="00837556">
        <w:rPr>
          <w:b/>
          <w:bCs/>
          <w:sz w:val="22"/>
          <w:szCs w:val="22"/>
        </w:rPr>
        <w:t>6.2 Niezgodności farmaceutyczne</w:t>
      </w:r>
    </w:p>
    <w:p w14:paraId="00F6667D" w14:textId="77777777" w:rsidR="00953482" w:rsidRPr="00837556" w:rsidRDefault="00953482">
      <w:pPr>
        <w:rPr>
          <w:b/>
          <w:bCs/>
          <w:sz w:val="22"/>
          <w:szCs w:val="22"/>
        </w:rPr>
      </w:pPr>
    </w:p>
    <w:p w14:paraId="07C68847" w14:textId="77777777" w:rsidR="0079744C" w:rsidRPr="00837556" w:rsidRDefault="0079744C">
      <w:pPr>
        <w:rPr>
          <w:sz w:val="22"/>
          <w:szCs w:val="22"/>
        </w:rPr>
      </w:pPr>
      <w:r w:rsidRPr="00837556">
        <w:rPr>
          <w:sz w:val="22"/>
          <w:szCs w:val="22"/>
        </w:rPr>
        <w:t>Nie stosować jednocześnie z innymi lekami stosowanymi na skórę.</w:t>
      </w:r>
    </w:p>
    <w:p w14:paraId="6666CE7A" w14:textId="77777777" w:rsidR="0079744C" w:rsidRPr="00837556" w:rsidRDefault="0079744C">
      <w:pPr>
        <w:rPr>
          <w:sz w:val="22"/>
          <w:szCs w:val="22"/>
        </w:rPr>
      </w:pPr>
    </w:p>
    <w:p w14:paraId="110C1CFD" w14:textId="77777777" w:rsidR="0079744C" w:rsidRPr="00837556" w:rsidRDefault="0079744C">
      <w:pPr>
        <w:rPr>
          <w:b/>
          <w:bCs/>
          <w:sz w:val="22"/>
          <w:szCs w:val="22"/>
        </w:rPr>
      </w:pPr>
      <w:r w:rsidRPr="00837556">
        <w:rPr>
          <w:b/>
          <w:bCs/>
          <w:sz w:val="22"/>
          <w:szCs w:val="22"/>
        </w:rPr>
        <w:t>6.3 Okres ważności</w:t>
      </w:r>
    </w:p>
    <w:p w14:paraId="18C0DF0B" w14:textId="77777777" w:rsidR="00953482" w:rsidRPr="00837556" w:rsidRDefault="00953482">
      <w:pPr>
        <w:rPr>
          <w:b/>
          <w:bCs/>
          <w:sz w:val="22"/>
          <w:szCs w:val="22"/>
        </w:rPr>
      </w:pPr>
    </w:p>
    <w:p w14:paraId="3A396743" w14:textId="77777777" w:rsidR="0079744C" w:rsidRPr="00837556" w:rsidRDefault="0079744C">
      <w:pPr>
        <w:rPr>
          <w:sz w:val="22"/>
          <w:szCs w:val="22"/>
        </w:rPr>
      </w:pPr>
      <w:r w:rsidRPr="00837556">
        <w:rPr>
          <w:sz w:val="22"/>
          <w:szCs w:val="22"/>
        </w:rPr>
        <w:t>3 lata.</w:t>
      </w:r>
    </w:p>
    <w:p w14:paraId="473B4D01" w14:textId="77777777" w:rsidR="0079744C" w:rsidRPr="00837556" w:rsidRDefault="0079744C">
      <w:pPr>
        <w:rPr>
          <w:sz w:val="22"/>
          <w:szCs w:val="22"/>
        </w:rPr>
      </w:pPr>
    </w:p>
    <w:p w14:paraId="49060D22" w14:textId="77777777" w:rsidR="0079744C" w:rsidRPr="00837556" w:rsidRDefault="0079744C">
      <w:pPr>
        <w:rPr>
          <w:b/>
          <w:bCs/>
          <w:sz w:val="22"/>
          <w:szCs w:val="22"/>
        </w:rPr>
      </w:pPr>
      <w:r w:rsidRPr="00837556">
        <w:rPr>
          <w:b/>
          <w:bCs/>
          <w:sz w:val="22"/>
          <w:szCs w:val="22"/>
        </w:rPr>
        <w:t>6.4 Specjalne środki ostrożności przy przechowywaniu</w:t>
      </w:r>
    </w:p>
    <w:p w14:paraId="0832AF2A" w14:textId="77777777" w:rsidR="00953482" w:rsidRPr="00837556" w:rsidRDefault="00953482">
      <w:pPr>
        <w:rPr>
          <w:b/>
          <w:bCs/>
          <w:sz w:val="22"/>
          <w:szCs w:val="22"/>
        </w:rPr>
      </w:pPr>
    </w:p>
    <w:p w14:paraId="1B76A19F" w14:textId="77777777" w:rsidR="0079744C" w:rsidRPr="00837556" w:rsidRDefault="0079744C">
      <w:pPr>
        <w:rPr>
          <w:sz w:val="22"/>
          <w:szCs w:val="22"/>
        </w:rPr>
      </w:pPr>
      <w:r w:rsidRPr="00837556">
        <w:rPr>
          <w:sz w:val="22"/>
          <w:szCs w:val="22"/>
        </w:rPr>
        <w:t>Przechowywać w temperaturze poniżej 25</w:t>
      </w:r>
      <w:r w:rsidRPr="00837556">
        <w:rPr>
          <w:sz w:val="22"/>
          <w:szCs w:val="22"/>
          <w:vertAlign w:val="superscript"/>
        </w:rPr>
        <w:t>o</w:t>
      </w:r>
      <w:r w:rsidRPr="00837556">
        <w:rPr>
          <w:sz w:val="22"/>
          <w:szCs w:val="22"/>
        </w:rPr>
        <w:t>C.</w:t>
      </w:r>
    </w:p>
    <w:p w14:paraId="31230F8E" w14:textId="77777777" w:rsidR="0079744C" w:rsidRPr="00837556" w:rsidRDefault="0079744C">
      <w:pPr>
        <w:rPr>
          <w:sz w:val="22"/>
          <w:szCs w:val="22"/>
        </w:rPr>
      </w:pPr>
    </w:p>
    <w:p w14:paraId="2918764E" w14:textId="77777777" w:rsidR="0079744C" w:rsidRPr="00837556" w:rsidRDefault="0079744C">
      <w:pPr>
        <w:rPr>
          <w:b/>
          <w:bCs/>
          <w:sz w:val="22"/>
          <w:szCs w:val="22"/>
        </w:rPr>
      </w:pPr>
      <w:r w:rsidRPr="00837556">
        <w:rPr>
          <w:b/>
          <w:bCs/>
          <w:sz w:val="22"/>
          <w:szCs w:val="22"/>
        </w:rPr>
        <w:t>6.5 Rodzaj i zawartość pojemnika</w:t>
      </w:r>
    </w:p>
    <w:p w14:paraId="2A7F5F43" w14:textId="77777777" w:rsidR="00953482" w:rsidRPr="00837556" w:rsidRDefault="00953482">
      <w:pPr>
        <w:rPr>
          <w:b/>
          <w:bCs/>
          <w:sz w:val="22"/>
          <w:szCs w:val="22"/>
        </w:rPr>
      </w:pPr>
    </w:p>
    <w:p w14:paraId="73764768" w14:textId="77777777" w:rsidR="0079744C" w:rsidRPr="00837556" w:rsidRDefault="0079744C">
      <w:pPr>
        <w:rPr>
          <w:sz w:val="22"/>
          <w:szCs w:val="22"/>
        </w:rPr>
      </w:pPr>
      <w:r w:rsidRPr="00837556">
        <w:rPr>
          <w:sz w:val="22"/>
          <w:szCs w:val="22"/>
        </w:rPr>
        <w:t xml:space="preserve">Tuba aluminiowa z membraną zabezpieczającą, zamykana polietylenową lub polipropylenową nakrętką z przebijakiem, zawierająca </w:t>
      </w:r>
      <w:smartTag w:uri="urn:schemas-microsoft-com:office:smarttags" w:element="metricconverter">
        <w:smartTagPr>
          <w:attr w:name="ProductID" w:val="15 g"/>
        </w:smartTagPr>
        <w:r w:rsidRPr="00837556">
          <w:rPr>
            <w:sz w:val="22"/>
            <w:szCs w:val="22"/>
          </w:rPr>
          <w:t>15 g</w:t>
        </w:r>
      </w:smartTag>
      <w:r w:rsidRPr="00837556">
        <w:rPr>
          <w:sz w:val="22"/>
          <w:szCs w:val="22"/>
        </w:rPr>
        <w:t xml:space="preserve"> maści, umieszczona w tekturowym pudełku.</w:t>
      </w:r>
    </w:p>
    <w:p w14:paraId="1B9E5838" w14:textId="77777777" w:rsidR="0079744C" w:rsidRPr="00837556" w:rsidRDefault="0079744C">
      <w:pPr>
        <w:rPr>
          <w:b/>
          <w:bCs/>
          <w:sz w:val="22"/>
          <w:szCs w:val="22"/>
        </w:rPr>
      </w:pPr>
    </w:p>
    <w:p w14:paraId="24AB2480" w14:textId="77777777" w:rsidR="0079744C" w:rsidRPr="00837556" w:rsidRDefault="0079744C">
      <w:pPr>
        <w:rPr>
          <w:b/>
          <w:bCs/>
          <w:sz w:val="22"/>
          <w:szCs w:val="22"/>
        </w:rPr>
      </w:pPr>
      <w:r w:rsidRPr="00837556">
        <w:rPr>
          <w:b/>
          <w:bCs/>
          <w:sz w:val="22"/>
          <w:szCs w:val="22"/>
        </w:rPr>
        <w:t xml:space="preserve">6.6 Specjalne środki ostrożności dotyczące usuwania </w:t>
      </w:r>
    </w:p>
    <w:p w14:paraId="54A41944" w14:textId="77777777" w:rsidR="00953482" w:rsidRPr="00837556" w:rsidRDefault="00953482">
      <w:pPr>
        <w:rPr>
          <w:b/>
          <w:bCs/>
          <w:sz w:val="22"/>
          <w:szCs w:val="22"/>
        </w:rPr>
      </w:pPr>
    </w:p>
    <w:p w14:paraId="366A2C95" w14:textId="77777777" w:rsidR="0079744C" w:rsidRPr="00837556" w:rsidRDefault="006834A9">
      <w:pPr>
        <w:rPr>
          <w:bCs/>
          <w:sz w:val="22"/>
          <w:szCs w:val="22"/>
        </w:rPr>
      </w:pPr>
      <w:r w:rsidRPr="00837556">
        <w:rPr>
          <w:bCs/>
          <w:sz w:val="22"/>
          <w:szCs w:val="22"/>
        </w:rPr>
        <w:t xml:space="preserve">Bez specjalnych </w:t>
      </w:r>
      <w:r w:rsidR="0079744C" w:rsidRPr="00837556">
        <w:rPr>
          <w:bCs/>
          <w:sz w:val="22"/>
          <w:szCs w:val="22"/>
        </w:rPr>
        <w:t>wymagań.</w:t>
      </w:r>
      <w:r w:rsidR="00C06D46" w:rsidRPr="00837556">
        <w:rPr>
          <w:sz w:val="22"/>
          <w:szCs w:val="22"/>
        </w:rPr>
        <w:t xml:space="preserve"> Wszelkie niewykorzystane resztki produktu leczniczego lub jego odpady należy usunąć zgodnie z lokalnymi przepisami.</w:t>
      </w:r>
    </w:p>
    <w:p w14:paraId="223D12AB" w14:textId="77777777" w:rsidR="0079744C" w:rsidRPr="00837556" w:rsidRDefault="0079744C">
      <w:pPr>
        <w:rPr>
          <w:sz w:val="22"/>
          <w:szCs w:val="22"/>
        </w:rPr>
      </w:pPr>
    </w:p>
    <w:p w14:paraId="1C01E8FD" w14:textId="77777777" w:rsidR="0079744C" w:rsidRPr="00837556" w:rsidRDefault="0079744C">
      <w:pPr>
        <w:rPr>
          <w:sz w:val="22"/>
          <w:szCs w:val="22"/>
        </w:rPr>
      </w:pPr>
    </w:p>
    <w:p w14:paraId="1053F499" w14:textId="77777777" w:rsidR="0079744C" w:rsidRPr="00837556" w:rsidRDefault="0079744C">
      <w:pPr>
        <w:rPr>
          <w:b/>
          <w:bCs/>
          <w:sz w:val="22"/>
          <w:szCs w:val="22"/>
        </w:rPr>
      </w:pPr>
      <w:r w:rsidRPr="00837556">
        <w:rPr>
          <w:b/>
          <w:bCs/>
          <w:sz w:val="22"/>
          <w:szCs w:val="22"/>
        </w:rPr>
        <w:t>7. PODMIOT ODPOWIEDZIALNY POSIADAJĄCY POZWOLENIE NA DOPUSZCZENIE DO OBROTU</w:t>
      </w:r>
    </w:p>
    <w:p w14:paraId="7FDB5E61" w14:textId="77777777" w:rsidR="006834A9" w:rsidRPr="00837556" w:rsidRDefault="006834A9">
      <w:pPr>
        <w:rPr>
          <w:b/>
          <w:bCs/>
          <w:sz w:val="22"/>
          <w:szCs w:val="22"/>
        </w:rPr>
      </w:pPr>
    </w:p>
    <w:p w14:paraId="1DC0B669" w14:textId="77777777" w:rsidR="00837556" w:rsidRPr="00D54E3E" w:rsidRDefault="00837556" w:rsidP="00837556">
      <w:pPr>
        <w:rPr>
          <w:sz w:val="22"/>
          <w:szCs w:val="22"/>
          <w:lang w:val="en-US"/>
        </w:rPr>
      </w:pPr>
      <w:r w:rsidRPr="00D54E3E">
        <w:rPr>
          <w:sz w:val="22"/>
          <w:szCs w:val="22"/>
          <w:lang w:val="en-US"/>
        </w:rPr>
        <w:t>Bausch Health Ireland Limited</w:t>
      </w:r>
    </w:p>
    <w:p w14:paraId="0522A7B3" w14:textId="77777777" w:rsidR="00837556" w:rsidRPr="00D54E3E" w:rsidRDefault="00837556" w:rsidP="00837556">
      <w:pPr>
        <w:rPr>
          <w:sz w:val="22"/>
          <w:szCs w:val="22"/>
          <w:lang w:val="en-US"/>
        </w:rPr>
      </w:pPr>
      <w:r w:rsidRPr="00D54E3E">
        <w:rPr>
          <w:sz w:val="22"/>
          <w:szCs w:val="22"/>
          <w:lang w:val="en-US"/>
        </w:rPr>
        <w:t>3013 Lake Drive</w:t>
      </w:r>
    </w:p>
    <w:p w14:paraId="1D88316E" w14:textId="77777777" w:rsidR="00837556" w:rsidRPr="00D54E3E" w:rsidRDefault="00837556" w:rsidP="00837556">
      <w:pPr>
        <w:rPr>
          <w:sz w:val="22"/>
          <w:szCs w:val="22"/>
          <w:lang w:val="en-US"/>
        </w:rPr>
      </w:pPr>
      <w:r w:rsidRPr="00D54E3E">
        <w:rPr>
          <w:sz w:val="22"/>
          <w:szCs w:val="22"/>
          <w:lang w:val="en-US"/>
        </w:rPr>
        <w:t>Citywest Business Campus</w:t>
      </w:r>
    </w:p>
    <w:p w14:paraId="0CDD13AB" w14:textId="77777777" w:rsidR="00837556" w:rsidRPr="00D54E3E" w:rsidRDefault="00837556" w:rsidP="00837556">
      <w:pPr>
        <w:rPr>
          <w:sz w:val="22"/>
          <w:szCs w:val="22"/>
          <w:lang w:val="en-US"/>
        </w:rPr>
      </w:pPr>
      <w:r w:rsidRPr="00D54E3E">
        <w:rPr>
          <w:sz w:val="22"/>
          <w:szCs w:val="22"/>
          <w:lang w:val="en-US"/>
        </w:rPr>
        <w:t>Dublin 24, D24PPT3</w:t>
      </w:r>
    </w:p>
    <w:p w14:paraId="57144286" w14:textId="7064958E" w:rsidR="0079744C" w:rsidRPr="0099523D" w:rsidRDefault="00837556">
      <w:pPr>
        <w:rPr>
          <w:sz w:val="22"/>
          <w:szCs w:val="22"/>
          <w:lang w:val="en-US"/>
        </w:rPr>
      </w:pPr>
      <w:proofErr w:type="spellStart"/>
      <w:r w:rsidRPr="0099523D">
        <w:rPr>
          <w:sz w:val="22"/>
          <w:szCs w:val="22"/>
          <w:lang w:val="en-US"/>
        </w:rPr>
        <w:lastRenderedPageBreak/>
        <w:t>Irlandia</w:t>
      </w:r>
      <w:proofErr w:type="spellEnd"/>
    </w:p>
    <w:p w14:paraId="3F48EDB0" w14:textId="77777777" w:rsidR="00837556" w:rsidRPr="0099523D" w:rsidRDefault="00837556">
      <w:pPr>
        <w:rPr>
          <w:sz w:val="22"/>
          <w:szCs w:val="22"/>
          <w:lang w:val="en-US"/>
        </w:rPr>
      </w:pPr>
    </w:p>
    <w:p w14:paraId="6BD35F10" w14:textId="77777777" w:rsidR="0079744C" w:rsidRPr="00837556" w:rsidRDefault="0079744C">
      <w:pPr>
        <w:rPr>
          <w:b/>
          <w:bCs/>
          <w:sz w:val="22"/>
          <w:szCs w:val="22"/>
        </w:rPr>
      </w:pPr>
      <w:r w:rsidRPr="00837556">
        <w:rPr>
          <w:b/>
          <w:bCs/>
          <w:sz w:val="22"/>
          <w:szCs w:val="22"/>
        </w:rPr>
        <w:t>8. NUMER POZWOLENIA NA DOPUSZCZENIE DO OBROTU</w:t>
      </w:r>
    </w:p>
    <w:p w14:paraId="26F2D8C2" w14:textId="77777777" w:rsidR="006834A9" w:rsidRPr="00837556" w:rsidRDefault="006834A9">
      <w:pPr>
        <w:rPr>
          <w:b/>
          <w:bCs/>
          <w:sz w:val="22"/>
          <w:szCs w:val="22"/>
        </w:rPr>
      </w:pPr>
    </w:p>
    <w:p w14:paraId="4D724C57" w14:textId="77777777" w:rsidR="0079744C" w:rsidRPr="00837556" w:rsidRDefault="0079744C">
      <w:pPr>
        <w:rPr>
          <w:sz w:val="22"/>
          <w:szCs w:val="22"/>
        </w:rPr>
      </w:pPr>
      <w:r w:rsidRPr="00837556">
        <w:rPr>
          <w:sz w:val="22"/>
          <w:szCs w:val="22"/>
        </w:rPr>
        <w:t>R/2295</w:t>
      </w:r>
    </w:p>
    <w:p w14:paraId="34E7727C" w14:textId="77777777" w:rsidR="0079744C" w:rsidRPr="00837556" w:rsidRDefault="0079744C">
      <w:pPr>
        <w:rPr>
          <w:sz w:val="22"/>
          <w:szCs w:val="22"/>
        </w:rPr>
      </w:pPr>
    </w:p>
    <w:p w14:paraId="2E1FC076" w14:textId="77777777" w:rsidR="0079744C" w:rsidRPr="00837556" w:rsidRDefault="0079744C">
      <w:pPr>
        <w:rPr>
          <w:sz w:val="22"/>
          <w:szCs w:val="22"/>
        </w:rPr>
      </w:pPr>
    </w:p>
    <w:p w14:paraId="1327384D" w14:textId="77777777" w:rsidR="0079744C" w:rsidRPr="00837556" w:rsidRDefault="0079744C">
      <w:pPr>
        <w:rPr>
          <w:b/>
          <w:bCs/>
          <w:sz w:val="22"/>
          <w:szCs w:val="22"/>
        </w:rPr>
      </w:pPr>
      <w:r w:rsidRPr="00837556">
        <w:rPr>
          <w:b/>
          <w:bCs/>
          <w:sz w:val="22"/>
          <w:szCs w:val="22"/>
        </w:rPr>
        <w:t xml:space="preserve">9. DATA WYDANIA PIERWSZEGO POZWOLENIA NA DOPUSZCZENIE DO OBROTU </w:t>
      </w:r>
      <w:r w:rsidR="006834A9" w:rsidRPr="00837556">
        <w:rPr>
          <w:b/>
          <w:bCs/>
          <w:sz w:val="22"/>
          <w:szCs w:val="22"/>
        </w:rPr>
        <w:t xml:space="preserve">I </w:t>
      </w:r>
      <w:r w:rsidRPr="00837556">
        <w:rPr>
          <w:b/>
          <w:bCs/>
          <w:sz w:val="22"/>
          <w:szCs w:val="22"/>
        </w:rPr>
        <w:t>DATA PRZEDŁUŻENIA POZWOLENIA</w:t>
      </w:r>
    </w:p>
    <w:p w14:paraId="62A795BF" w14:textId="77777777" w:rsidR="00B47602" w:rsidRPr="00837556" w:rsidRDefault="00B47602">
      <w:pPr>
        <w:rPr>
          <w:b/>
          <w:bCs/>
          <w:sz w:val="22"/>
          <w:szCs w:val="22"/>
        </w:rPr>
      </w:pPr>
    </w:p>
    <w:p w14:paraId="5228ADEE" w14:textId="77777777" w:rsidR="009E67AE" w:rsidRPr="00837556" w:rsidRDefault="006834A9">
      <w:pPr>
        <w:rPr>
          <w:sz w:val="22"/>
          <w:szCs w:val="22"/>
        </w:rPr>
      </w:pPr>
      <w:r w:rsidRPr="00837556">
        <w:rPr>
          <w:sz w:val="22"/>
          <w:szCs w:val="22"/>
        </w:rPr>
        <w:t xml:space="preserve">Data wydania pierwszego pozwolenia na dopuszczenie do obrotu: </w:t>
      </w:r>
      <w:r w:rsidR="0079744C" w:rsidRPr="00837556">
        <w:rPr>
          <w:sz w:val="22"/>
          <w:szCs w:val="22"/>
        </w:rPr>
        <w:t>15</w:t>
      </w:r>
      <w:r w:rsidRPr="00837556">
        <w:rPr>
          <w:sz w:val="22"/>
          <w:szCs w:val="22"/>
        </w:rPr>
        <w:t xml:space="preserve"> </w:t>
      </w:r>
      <w:r w:rsidR="006F736B" w:rsidRPr="00837556">
        <w:rPr>
          <w:sz w:val="22"/>
          <w:szCs w:val="22"/>
        </w:rPr>
        <w:t xml:space="preserve">kwietnia </w:t>
      </w:r>
      <w:r w:rsidR="0079744C" w:rsidRPr="00837556">
        <w:rPr>
          <w:sz w:val="22"/>
          <w:szCs w:val="22"/>
        </w:rPr>
        <w:t>1999 r.</w:t>
      </w:r>
      <w:r w:rsidR="009E67AE" w:rsidRPr="00837556">
        <w:rPr>
          <w:sz w:val="22"/>
          <w:szCs w:val="22"/>
        </w:rPr>
        <w:t xml:space="preserve"> </w:t>
      </w:r>
    </w:p>
    <w:p w14:paraId="7DA572BA" w14:textId="77777777" w:rsidR="0079744C" w:rsidRPr="00837556" w:rsidRDefault="009E67AE">
      <w:pPr>
        <w:rPr>
          <w:sz w:val="22"/>
          <w:szCs w:val="22"/>
        </w:rPr>
      </w:pPr>
      <w:r w:rsidRPr="00837556">
        <w:rPr>
          <w:sz w:val="22"/>
          <w:szCs w:val="22"/>
        </w:rPr>
        <w:t>Data ostatniego przedłużenia pozwolenia: 9 sierpnia 2013</w:t>
      </w:r>
      <w:r w:rsidR="0079744C" w:rsidRPr="00837556">
        <w:rPr>
          <w:sz w:val="22"/>
          <w:szCs w:val="22"/>
        </w:rPr>
        <w:t xml:space="preserve"> r.</w:t>
      </w:r>
    </w:p>
    <w:p w14:paraId="4F2F3FA8" w14:textId="77777777" w:rsidR="0079744C" w:rsidRPr="00837556" w:rsidRDefault="0079744C">
      <w:pPr>
        <w:rPr>
          <w:sz w:val="22"/>
          <w:szCs w:val="22"/>
        </w:rPr>
      </w:pPr>
    </w:p>
    <w:p w14:paraId="62A9F40F" w14:textId="77777777" w:rsidR="0079744C" w:rsidRPr="00837556" w:rsidRDefault="0079744C">
      <w:pPr>
        <w:pStyle w:val="Tekstpodstawowy"/>
        <w:spacing w:line="240" w:lineRule="auto"/>
        <w:rPr>
          <w:sz w:val="22"/>
          <w:szCs w:val="22"/>
        </w:rPr>
      </w:pPr>
    </w:p>
    <w:p w14:paraId="2D04D019" w14:textId="77777777" w:rsidR="0079744C" w:rsidRPr="00837556" w:rsidRDefault="0079744C">
      <w:pPr>
        <w:pStyle w:val="Tekstpodstawowy"/>
        <w:spacing w:line="240" w:lineRule="auto"/>
        <w:rPr>
          <w:caps/>
          <w:sz w:val="22"/>
          <w:szCs w:val="22"/>
        </w:rPr>
      </w:pPr>
      <w:r w:rsidRPr="00837556">
        <w:rPr>
          <w:sz w:val="22"/>
          <w:szCs w:val="22"/>
        </w:rPr>
        <w:t>10</w:t>
      </w:r>
      <w:r w:rsidRPr="00837556">
        <w:rPr>
          <w:caps/>
          <w:sz w:val="22"/>
          <w:szCs w:val="22"/>
        </w:rPr>
        <w:t>. Data zatwierdzenia lub częściowej zmiany tekstu Charakterystyki Produktu Leczniczego</w:t>
      </w:r>
    </w:p>
    <w:p w14:paraId="2CB01118" w14:textId="77777777" w:rsidR="0045171F" w:rsidRPr="00837556" w:rsidRDefault="0045171F">
      <w:pPr>
        <w:pStyle w:val="Tekstpodstawowy"/>
        <w:spacing w:line="240" w:lineRule="auto"/>
        <w:rPr>
          <w:b w:val="0"/>
          <w:caps/>
          <w:sz w:val="22"/>
          <w:szCs w:val="22"/>
        </w:rPr>
      </w:pPr>
    </w:p>
    <w:p w14:paraId="22F760F1" w14:textId="04F9FF6F" w:rsidR="00CB59A8" w:rsidRPr="00837556" w:rsidRDefault="00B2707E">
      <w:pPr>
        <w:rPr>
          <w:sz w:val="22"/>
          <w:szCs w:val="22"/>
        </w:rPr>
      </w:pPr>
      <w:r>
        <w:rPr>
          <w:sz w:val="22"/>
          <w:szCs w:val="22"/>
        </w:rPr>
        <w:t>28 grudnia 2021</w:t>
      </w:r>
      <w:bookmarkStart w:id="0" w:name="_GoBack"/>
      <w:bookmarkEnd w:id="0"/>
    </w:p>
    <w:sectPr w:rsidR="00CB59A8" w:rsidRPr="0083755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294D41"/>
    <w:multiLevelType w:val="hybridMultilevel"/>
    <w:tmpl w:val="5CE29C80"/>
    <w:lvl w:ilvl="0" w:tplc="CF50BE6A">
      <w:start w:val="4"/>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13E"/>
    <w:rsid w:val="00060340"/>
    <w:rsid w:val="00060488"/>
    <w:rsid w:val="00075A0E"/>
    <w:rsid w:val="000A78E3"/>
    <w:rsid w:val="000B34BC"/>
    <w:rsid w:val="000F003E"/>
    <w:rsid w:val="00184B51"/>
    <w:rsid w:val="001931E9"/>
    <w:rsid w:val="001E1031"/>
    <w:rsid w:val="001E37CA"/>
    <w:rsid w:val="00211D33"/>
    <w:rsid w:val="00225735"/>
    <w:rsid w:val="00234FFE"/>
    <w:rsid w:val="002454E0"/>
    <w:rsid w:val="0029381A"/>
    <w:rsid w:val="00294D1F"/>
    <w:rsid w:val="003776BF"/>
    <w:rsid w:val="00387582"/>
    <w:rsid w:val="003876F3"/>
    <w:rsid w:val="003905E0"/>
    <w:rsid w:val="003A386C"/>
    <w:rsid w:val="003B0106"/>
    <w:rsid w:val="003C4B40"/>
    <w:rsid w:val="003C4F4D"/>
    <w:rsid w:val="00411C89"/>
    <w:rsid w:val="004130E9"/>
    <w:rsid w:val="00415921"/>
    <w:rsid w:val="00433F9C"/>
    <w:rsid w:val="0045171F"/>
    <w:rsid w:val="0045483E"/>
    <w:rsid w:val="00492D2F"/>
    <w:rsid w:val="004C34DE"/>
    <w:rsid w:val="004F4233"/>
    <w:rsid w:val="00522DC4"/>
    <w:rsid w:val="00596FE7"/>
    <w:rsid w:val="005C77FF"/>
    <w:rsid w:val="00623E65"/>
    <w:rsid w:val="00634EF6"/>
    <w:rsid w:val="00652DC7"/>
    <w:rsid w:val="006834A9"/>
    <w:rsid w:val="006D294F"/>
    <w:rsid w:val="006F736B"/>
    <w:rsid w:val="00727967"/>
    <w:rsid w:val="0074413E"/>
    <w:rsid w:val="0079744C"/>
    <w:rsid w:val="00797730"/>
    <w:rsid w:val="007F03A9"/>
    <w:rsid w:val="0080319B"/>
    <w:rsid w:val="00820988"/>
    <w:rsid w:val="00837556"/>
    <w:rsid w:val="00852DCC"/>
    <w:rsid w:val="008920B4"/>
    <w:rsid w:val="00953482"/>
    <w:rsid w:val="0099523D"/>
    <w:rsid w:val="009E4E69"/>
    <w:rsid w:val="009E67AE"/>
    <w:rsid w:val="009F6B1D"/>
    <w:rsid w:val="00A65B40"/>
    <w:rsid w:val="00A80D60"/>
    <w:rsid w:val="00A82999"/>
    <w:rsid w:val="00AA21AE"/>
    <w:rsid w:val="00B2707E"/>
    <w:rsid w:val="00B41907"/>
    <w:rsid w:val="00B47602"/>
    <w:rsid w:val="00B70E78"/>
    <w:rsid w:val="00B73363"/>
    <w:rsid w:val="00B92F75"/>
    <w:rsid w:val="00C048C9"/>
    <w:rsid w:val="00C06D46"/>
    <w:rsid w:val="00C16231"/>
    <w:rsid w:val="00C33C61"/>
    <w:rsid w:val="00C4218D"/>
    <w:rsid w:val="00C443C2"/>
    <w:rsid w:val="00C52725"/>
    <w:rsid w:val="00C7264A"/>
    <w:rsid w:val="00CA6EFA"/>
    <w:rsid w:val="00CB59A8"/>
    <w:rsid w:val="00CF7323"/>
    <w:rsid w:val="00D2183F"/>
    <w:rsid w:val="00D21AB1"/>
    <w:rsid w:val="00D276B1"/>
    <w:rsid w:val="00D54E3E"/>
    <w:rsid w:val="00D61494"/>
    <w:rsid w:val="00D61AEA"/>
    <w:rsid w:val="00D91351"/>
    <w:rsid w:val="00DB20CD"/>
    <w:rsid w:val="00DD6997"/>
    <w:rsid w:val="00E366DA"/>
    <w:rsid w:val="00E62008"/>
    <w:rsid w:val="00E80015"/>
    <w:rsid w:val="00E82424"/>
    <w:rsid w:val="00F2477D"/>
    <w:rsid w:val="00F35D08"/>
    <w:rsid w:val="00F43EE5"/>
    <w:rsid w:val="00F45DAF"/>
    <w:rsid w:val="00F62DE8"/>
    <w:rsid w:val="00FB3EEC"/>
    <w:rsid w:val="00FC215B"/>
    <w:rsid w:val="00FC60C1"/>
    <w:rsid w:val="00FD67EF"/>
    <w:rsid w:val="00FF7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9DE37DD"/>
  <w15:docId w15:val="{FD8252C6-C24E-4FFF-93E4-35AA7264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pPr>
  </w:style>
  <w:style w:type="paragraph" w:styleId="Tekstpodstawowy">
    <w:name w:val="Body Text"/>
    <w:basedOn w:val="Normalny"/>
    <w:pPr>
      <w:spacing w:line="360" w:lineRule="auto"/>
    </w:pPr>
    <w:rPr>
      <w:b/>
      <w:bCs/>
    </w:rPr>
  </w:style>
  <w:style w:type="paragraph" w:styleId="Tekstdymka">
    <w:name w:val="Balloon Text"/>
    <w:basedOn w:val="Normalny"/>
    <w:semiHidden/>
    <w:rPr>
      <w:rFonts w:ascii="Tahoma" w:hAnsi="Tahoma" w:cs="Tahoma"/>
      <w:sz w:val="16"/>
      <w:szCs w:val="16"/>
    </w:rPr>
  </w:style>
  <w:style w:type="paragraph" w:styleId="Mapadokumentu">
    <w:name w:val="Document Map"/>
    <w:basedOn w:val="Normalny"/>
    <w:semiHidden/>
    <w:pPr>
      <w:shd w:val="clear" w:color="auto" w:fill="000080"/>
    </w:pPr>
    <w:rPr>
      <w:rFonts w:ascii="Tahoma" w:hAnsi="Tahoma" w:cs="Tahoma"/>
    </w:r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character" w:styleId="Hipercze">
    <w:name w:val="Hyperlink"/>
    <w:rsid w:val="00CF7323"/>
    <w:rPr>
      <w:color w:val="0000FF"/>
      <w:u w:val="single"/>
    </w:rPr>
  </w:style>
  <w:style w:type="paragraph" w:styleId="NormalnyWeb">
    <w:name w:val="Normal (Web)"/>
    <w:basedOn w:val="Normalny"/>
    <w:uiPriority w:val="99"/>
    <w:unhideWhenUsed/>
    <w:rsid w:val="00652DC7"/>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2320</Words>
  <Characters>13225</Characters>
  <Application>Microsoft Office Word</Application>
  <DocSecurity>0</DocSecurity>
  <Lines>110</Lines>
  <Paragraphs>31</Paragraphs>
  <ScaleCrop>false</ScaleCrop>
  <HeadingPairs>
    <vt:vector size="2" baseType="variant">
      <vt:variant>
        <vt:lpstr>Tytuł</vt:lpstr>
      </vt:variant>
      <vt:variant>
        <vt:i4>1</vt:i4>
      </vt:variant>
    </vt:vector>
  </HeadingPairs>
  <TitlesOfParts>
    <vt:vector size="1" baseType="lpstr">
      <vt:lpstr>CHARAKTERYSTYKA  PRODUKTU  LECZNICZEGO</vt:lpstr>
    </vt:vector>
  </TitlesOfParts>
  <Company>P.F "JELFA" S.A.</Company>
  <LinksUpToDate>false</LinksUpToDate>
  <CharactersWithSpaces>15514</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6684689</vt:i4>
      </vt:variant>
      <vt:variant>
        <vt:i4>0</vt:i4>
      </vt:variant>
      <vt:variant>
        <vt:i4>0</vt:i4>
      </vt:variant>
      <vt:variant>
        <vt:i4>5</vt:i4>
      </vt:variant>
      <vt:variant>
        <vt:lpwstr>mailto:ndl@urpl.gov.pl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CHARAKTERYSTYKA  PRODUKTU  LECZNICZEGO</dc:title>
  <dc:creator>agatan</dc:creator>
  <cp:lastModifiedBy>Buslowicz, Agnieszka</cp:lastModifiedBy>
  <cp:revision>2</cp:revision>
  <cp:lastPrinted>2012-09-11T08:55:00Z</cp:lastPrinted>
  <dcterms:created xsi:type="dcterms:W3CDTF">2021-01-11T10:31:00Z</dcterms:created>
  <dcterms:modified xsi:type="dcterms:W3CDTF">2021-01-11T10:31:00Z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129fb7-f777-4feb-b84e-0390c1a7ed44_Enabled">
    <vt:lpwstr>true</vt:lpwstr>
  </property>
  <property fmtid="{D5CDD505-2E9C-101B-9397-08002B2CF9AE}" pid="3" name="MSIP_Label_36129fb7-f777-4feb-b84e-0390c1a7ed44_SetDate">
    <vt:lpwstr>2022-04-03T07:14:57Z</vt:lpwstr>
  </property>
  <property fmtid="{D5CDD505-2E9C-101B-9397-08002B2CF9AE}" pid="4" name="MSIP_Label_36129fb7-f777-4feb-b84e-0390c1a7ed44_Method">
    <vt:lpwstr>Standard</vt:lpwstr>
  </property>
  <property fmtid="{D5CDD505-2E9C-101B-9397-08002B2CF9AE}" pid="5" name="MSIP_Label_36129fb7-f777-4feb-b84e-0390c1a7ed44_Name">
    <vt:lpwstr>CORP US-CAN Information Label</vt:lpwstr>
  </property>
  <property fmtid="{D5CDD505-2E9C-101B-9397-08002B2CF9AE}" pid="6" name="MSIP_Label_36129fb7-f777-4feb-b84e-0390c1a7ed44_SiteId">
    <vt:lpwstr>a72dda32-ee80-4da8-a3ac-ec0e9e41a50a</vt:lpwstr>
  </property>
  <property fmtid="{D5CDD505-2E9C-101B-9397-08002B2CF9AE}" pid="7" name="MSIP_Label_36129fb7-f777-4feb-b84e-0390c1a7ed44_ActionId">
    <vt:lpwstr>6c2f6718-4ce7-44be-bf9b-6763938e1a6a</vt:lpwstr>
  </property>
  <property fmtid="{D5CDD505-2E9C-101B-9397-08002B2CF9AE}" pid="8" name="MSIP_Label_36129fb7-f777-4feb-b84e-0390c1a7ed44_ContentBits">
    <vt:lpwstr>0</vt:lpwstr>
  </property>
</Properties>
</file>