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5D886" w14:textId="77777777" w:rsidR="00484FC7" w:rsidRPr="00374521" w:rsidRDefault="00484FC7" w:rsidP="00374521">
      <w:pPr>
        <w:pStyle w:val="Tytu"/>
        <w:rPr>
          <w:sz w:val="22"/>
          <w:szCs w:val="22"/>
        </w:rPr>
      </w:pPr>
      <w:r w:rsidRPr="00374521">
        <w:rPr>
          <w:sz w:val="22"/>
          <w:szCs w:val="22"/>
        </w:rPr>
        <w:t>CHARAKTERYSTYKA PRODUKTU LECZNICZEGO</w:t>
      </w:r>
    </w:p>
    <w:p w14:paraId="72507F64" w14:textId="77777777" w:rsidR="00484FC7" w:rsidRPr="00374521" w:rsidRDefault="00484FC7" w:rsidP="00374521">
      <w:pPr>
        <w:pStyle w:val="Tytu"/>
        <w:jc w:val="left"/>
        <w:rPr>
          <w:b w:val="0"/>
          <w:sz w:val="22"/>
          <w:szCs w:val="22"/>
        </w:rPr>
      </w:pPr>
    </w:p>
    <w:p w14:paraId="1534230E" w14:textId="77777777" w:rsidR="0074625D" w:rsidRPr="00374521" w:rsidRDefault="0074625D" w:rsidP="00374521">
      <w:pPr>
        <w:pStyle w:val="Tytu"/>
        <w:jc w:val="left"/>
        <w:rPr>
          <w:b w:val="0"/>
          <w:sz w:val="22"/>
          <w:szCs w:val="22"/>
        </w:rPr>
      </w:pPr>
    </w:p>
    <w:p w14:paraId="0C319027" w14:textId="77777777" w:rsidR="001742C2" w:rsidRPr="00374521" w:rsidRDefault="00484FC7" w:rsidP="00374521">
      <w:pPr>
        <w:numPr>
          <w:ilvl w:val="0"/>
          <w:numId w:val="26"/>
        </w:numPr>
        <w:tabs>
          <w:tab w:val="clear" w:pos="720"/>
          <w:tab w:val="num" w:pos="540"/>
        </w:tabs>
        <w:ind w:left="540" w:hanging="540"/>
        <w:rPr>
          <w:b/>
          <w:bCs/>
          <w:sz w:val="22"/>
          <w:szCs w:val="22"/>
        </w:rPr>
      </w:pPr>
      <w:r w:rsidRPr="00374521">
        <w:rPr>
          <w:b/>
          <w:bCs/>
          <w:sz w:val="22"/>
          <w:szCs w:val="22"/>
        </w:rPr>
        <w:t>NAZWA PRODUKTU LECZNICZEGO</w:t>
      </w:r>
    </w:p>
    <w:p w14:paraId="6473E741" w14:textId="77777777" w:rsidR="00AA64C6" w:rsidRPr="00374521" w:rsidRDefault="00AA64C6" w:rsidP="00374521">
      <w:pPr>
        <w:rPr>
          <w:bCs/>
          <w:sz w:val="22"/>
          <w:szCs w:val="22"/>
        </w:rPr>
      </w:pPr>
    </w:p>
    <w:p w14:paraId="4D7BA691" w14:textId="77777777" w:rsidR="00EC3E2B" w:rsidRPr="00986F0B" w:rsidRDefault="00EC3E2B" w:rsidP="00EC3E2B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986F0B">
        <w:rPr>
          <w:color w:val="000000"/>
          <w:sz w:val="22"/>
          <w:szCs w:val="22"/>
        </w:rPr>
        <w:t>Presartan</w:t>
      </w:r>
      <w:proofErr w:type="spellEnd"/>
      <w:r w:rsidRPr="00986F0B">
        <w:rPr>
          <w:color w:val="000000"/>
          <w:sz w:val="22"/>
          <w:szCs w:val="22"/>
        </w:rPr>
        <w:t xml:space="preserve"> H, 100 mg</w:t>
      </w:r>
      <w:r>
        <w:rPr>
          <w:color w:val="000000"/>
          <w:sz w:val="22"/>
          <w:szCs w:val="22"/>
        </w:rPr>
        <w:t xml:space="preserve"> </w:t>
      </w:r>
      <w:r w:rsidRPr="00986F0B">
        <w:rPr>
          <w:color w:val="000000"/>
          <w:sz w:val="22"/>
          <w:szCs w:val="22"/>
        </w:rPr>
        <w:t>+</w:t>
      </w:r>
      <w:r>
        <w:rPr>
          <w:color w:val="000000"/>
          <w:sz w:val="22"/>
          <w:szCs w:val="22"/>
        </w:rPr>
        <w:t xml:space="preserve"> </w:t>
      </w:r>
      <w:r w:rsidRPr="00986F0B">
        <w:rPr>
          <w:color w:val="000000"/>
          <w:sz w:val="22"/>
          <w:szCs w:val="22"/>
        </w:rPr>
        <w:t>25 mg, tabletki powlekane</w:t>
      </w:r>
    </w:p>
    <w:p w14:paraId="1BB1EF7B" w14:textId="77777777" w:rsidR="00EC3E2B" w:rsidRPr="00374521" w:rsidRDefault="00EC3E2B" w:rsidP="00EC3E2B">
      <w:pPr>
        <w:autoSpaceDE w:val="0"/>
        <w:autoSpaceDN w:val="0"/>
        <w:adjustRightInd w:val="0"/>
        <w:rPr>
          <w:sz w:val="22"/>
          <w:szCs w:val="22"/>
        </w:rPr>
      </w:pPr>
    </w:p>
    <w:p w14:paraId="143CFD41" w14:textId="77777777" w:rsidR="00EC3E2B" w:rsidRPr="00374521" w:rsidRDefault="00EC3E2B" w:rsidP="00EC3E2B">
      <w:pPr>
        <w:pStyle w:val="Tytu"/>
        <w:jc w:val="left"/>
        <w:rPr>
          <w:b w:val="0"/>
          <w:sz w:val="22"/>
          <w:szCs w:val="22"/>
        </w:rPr>
      </w:pPr>
    </w:p>
    <w:p w14:paraId="02CC699A" w14:textId="77777777" w:rsidR="00EC3E2B" w:rsidRPr="00374521" w:rsidRDefault="00EC3E2B" w:rsidP="00EC3E2B">
      <w:pPr>
        <w:numPr>
          <w:ilvl w:val="0"/>
          <w:numId w:val="26"/>
        </w:numPr>
        <w:tabs>
          <w:tab w:val="clear" w:pos="720"/>
          <w:tab w:val="num" w:pos="540"/>
        </w:tabs>
        <w:ind w:left="540" w:hanging="540"/>
        <w:rPr>
          <w:b/>
          <w:sz w:val="22"/>
          <w:szCs w:val="22"/>
        </w:rPr>
      </w:pPr>
      <w:r w:rsidRPr="00374521">
        <w:rPr>
          <w:b/>
          <w:bCs/>
          <w:sz w:val="22"/>
          <w:szCs w:val="22"/>
        </w:rPr>
        <w:t xml:space="preserve">SKŁAD JAKOŚCIOWY I ILOŚCIOWY </w:t>
      </w:r>
    </w:p>
    <w:p w14:paraId="76FBFB41" w14:textId="77777777" w:rsidR="00EC3E2B" w:rsidRPr="00374521" w:rsidRDefault="00EC3E2B" w:rsidP="00EC3E2B">
      <w:pPr>
        <w:rPr>
          <w:sz w:val="22"/>
          <w:szCs w:val="22"/>
        </w:rPr>
      </w:pPr>
    </w:p>
    <w:p w14:paraId="3BE2E34D" w14:textId="77777777" w:rsidR="00EC3E2B" w:rsidRPr="00986F0B" w:rsidRDefault="00EC3E2B" w:rsidP="00EC3E2B">
      <w:pPr>
        <w:autoSpaceDE w:val="0"/>
        <w:autoSpaceDN w:val="0"/>
        <w:adjustRightInd w:val="0"/>
        <w:rPr>
          <w:sz w:val="22"/>
          <w:szCs w:val="22"/>
        </w:rPr>
      </w:pPr>
      <w:r w:rsidRPr="00986F0B">
        <w:rPr>
          <w:color w:val="000000"/>
          <w:sz w:val="22"/>
          <w:szCs w:val="22"/>
        </w:rPr>
        <w:t>Każda tabletka powlekana zawiera 100</w:t>
      </w:r>
      <w:r w:rsidRPr="00986F0B">
        <w:rPr>
          <w:sz w:val="22"/>
          <w:szCs w:val="22"/>
        </w:rPr>
        <w:t xml:space="preserve"> mg </w:t>
      </w:r>
      <w:proofErr w:type="spellStart"/>
      <w:r w:rsidRPr="00986F0B">
        <w:rPr>
          <w:sz w:val="22"/>
          <w:szCs w:val="22"/>
        </w:rPr>
        <w:t>losartanu</w:t>
      </w:r>
      <w:proofErr w:type="spellEnd"/>
      <w:r w:rsidRPr="00986F0B">
        <w:rPr>
          <w:sz w:val="22"/>
          <w:szCs w:val="22"/>
        </w:rPr>
        <w:t xml:space="preserve"> potasowego (</w:t>
      </w:r>
      <w:proofErr w:type="spellStart"/>
      <w:r w:rsidRPr="00986F0B">
        <w:rPr>
          <w:i/>
          <w:sz w:val="22"/>
          <w:szCs w:val="22"/>
        </w:rPr>
        <w:t>Losartanum</w:t>
      </w:r>
      <w:proofErr w:type="spellEnd"/>
      <w:r w:rsidRPr="00986F0B">
        <w:rPr>
          <w:i/>
          <w:sz w:val="22"/>
          <w:szCs w:val="22"/>
        </w:rPr>
        <w:t xml:space="preserve"> </w:t>
      </w:r>
      <w:proofErr w:type="spellStart"/>
      <w:r w:rsidRPr="00986F0B">
        <w:rPr>
          <w:i/>
          <w:sz w:val="22"/>
          <w:szCs w:val="22"/>
        </w:rPr>
        <w:t>kalicum</w:t>
      </w:r>
      <w:proofErr w:type="spellEnd"/>
      <w:r w:rsidRPr="00986F0B">
        <w:rPr>
          <w:sz w:val="22"/>
          <w:szCs w:val="22"/>
        </w:rPr>
        <w:t xml:space="preserve">) i 25 mg </w:t>
      </w:r>
      <w:proofErr w:type="spellStart"/>
      <w:r w:rsidRPr="00986F0B">
        <w:rPr>
          <w:sz w:val="22"/>
          <w:szCs w:val="22"/>
        </w:rPr>
        <w:t>hydrochlorotiazydu</w:t>
      </w:r>
      <w:proofErr w:type="spellEnd"/>
      <w:r w:rsidRPr="00986F0B">
        <w:rPr>
          <w:sz w:val="22"/>
          <w:szCs w:val="22"/>
        </w:rPr>
        <w:t xml:space="preserve"> (</w:t>
      </w:r>
      <w:proofErr w:type="spellStart"/>
      <w:r w:rsidRPr="00986F0B">
        <w:rPr>
          <w:i/>
          <w:sz w:val="22"/>
          <w:szCs w:val="22"/>
        </w:rPr>
        <w:t>Hydrochlorothiazidum</w:t>
      </w:r>
      <w:proofErr w:type="spellEnd"/>
      <w:r w:rsidRPr="00986F0B">
        <w:rPr>
          <w:sz w:val="22"/>
          <w:szCs w:val="22"/>
        </w:rPr>
        <w:t>).</w:t>
      </w:r>
    </w:p>
    <w:p w14:paraId="0A36E71B" w14:textId="77777777" w:rsidR="00EC3E2B" w:rsidRPr="00986F0B" w:rsidRDefault="00EC3E2B" w:rsidP="00EC3E2B">
      <w:pPr>
        <w:autoSpaceDE w:val="0"/>
        <w:autoSpaceDN w:val="0"/>
        <w:adjustRightInd w:val="0"/>
        <w:rPr>
          <w:sz w:val="22"/>
          <w:szCs w:val="22"/>
        </w:rPr>
      </w:pPr>
    </w:p>
    <w:p w14:paraId="774C9A06" w14:textId="77777777" w:rsidR="00166C16" w:rsidRDefault="00EC3E2B" w:rsidP="008E1BD1">
      <w:pPr>
        <w:pStyle w:val="Tytu"/>
        <w:jc w:val="left"/>
        <w:rPr>
          <w:b w:val="0"/>
          <w:sz w:val="22"/>
          <w:szCs w:val="22"/>
        </w:rPr>
      </w:pPr>
      <w:r w:rsidRPr="00171B67">
        <w:rPr>
          <w:b w:val="0"/>
          <w:sz w:val="22"/>
          <w:szCs w:val="22"/>
          <w:u w:val="single"/>
        </w:rPr>
        <w:t>Substancja pomocnicza o znanym działaniu</w:t>
      </w:r>
      <w:r w:rsidRPr="00E273EE">
        <w:rPr>
          <w:b w:val="0"/>
          <w:sz w:val="22"/>
          <w:szCs w:val="22"/>
        </w:rPr>
        <w:t>:</w:t>
      </w:r>
      <w:r w:rsidR="008E1BD1" w:rsidRPr="00E273EE">
        <w:rPr>
          <w:b w:val="0"/>
          <w:sz w:val="22"/>
          <w:szCs w:val="22"/>
        </w:rPr>
        <w:t xml:space="preserve"> </w:t>
      </w:r>
    </w:p>
    <w:p w14:paraId="50BDC041" w14:textId="1AFAEEF8" w:rsidR="00EC3E2B" w:rsidRPr="008E1BD1" w:rsidRDefault="00166C16" w:rsidP="008E1BD1">
      <w:pPr>
        <w:pStyle w:val="Tytu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K</w:t>
      </w:r>
      <w:r w:rsidR="00EC3E2B" w:rsidRPr="008E1BD1">
        <w:rPr>
          <w:b w:val="0"/>
          <w:sz w:val="22"/>
          <w:szCs w:val="22"/>
        </w:rPr>
        <w:t>ażda tabletka powlekana zawiera 123,00 mg laktozy jednowodnej.</w:t>
      </w:r>
    </w:p>
    <w:p w14:paraId="1A8562FE" w14:textId="77777777" w:rsidR="00EC3E2B" w:rsidRPr="00374521" w:rsidRDefault="00EC3E2B" w:rsidP="00EC3E2B">
      <w:pPr>
        <w:autoSpaceDE w:val="0"/>
        <w:autoSpaceDN w:val="0"/>
        <w:adjustRightInd w:val="0"/>
        <w:rPr>
          <w:sz w:val="22"/>
          <w:szCs w:val="22"/>
        </w:rPr>
      </w:pPr>
    </w:p>
    <w:p w14:paraId="0A337AE6" w14:textId="77777777" w:rsidR="00EC3E2B" w:rsidRPr="00374521" w:rsidRDefault="00EC3E2B" w:rsidP="00EC3E2B">
      <w:pPr>
        <w:pStyle w:val="Tytu"/>
        <w:jc w:val="left"/>
        <w:rPr>
          <w:b w:val="0"/>
          <w:sz w:val="22"/>
          <w:szCs w:val="22"/>
        </w:rPr>
      </w:pPr>
      <w:r w:rsidRPr="00374521">
        <w:rPr>
          <w:b w:val="0"/>
          <w:sz w:val="22"/>
          <w:szCs w:val="22"/>
        </w:rPr>
        <w:t>Pełny wykaz substancji pomocniczych, patrz punkt 6.1.</w:t>
      </w:r>
    </w:p>
    <w:p w14:paraId="73FE8E1C" w14:textId="77777777" w:rsidR="00EC3E2B" w:rsidRPr="00374521" w:rsidRDefault="00EC3E2B" w:rsidP="00EC3E2B">
      <w:pPr>
        <w:pStyle w:val="Tytu"/>
        <w:jc w:val="left"/>
        <w:rPr>
          <w:b w:val="0"/>
          <w:sz w:val="22"/>
          <w:szCs w:val="22"/>
        </w:rPr>
      </w:pPr>
    </w:p>
    <w:p w14:paraId="079ED018" w14:textId="77777777" w:rsidR="00EC3E2B" w:rsidRPr="00374521" w:rsidRDefault="00EC3E2B" w:rsidP="00EC3E2B">
      <w:pPr>
        <w:pStyle w:val="Tytu"/>
        <w:jc w:val="left"/>
        <w:rPr>
          <w:b w:val="0"/>
          <w:sz w:val="22"/>
          <w:szCs w:val="22"/>
        </w:rPr>
      </w:pPr>
    </w:p>
    <w:p w14:paraId="72A1EF60" w14:textId="77777777" w:rsidR="00EC3E2B" w:rsidRPr="00374521" w:rsidRDefault="00EC3E2B" w:rsidP="00EC3E2B">
      <w:pPr>
        <w:numPr>
          <w:ilvl w:val="0"/>
          <w:numId w:val="26"/>
        </w:numPr>
        <w:tabs>
          <w:tab w:val="clear" w:pos="720"/>
          <w:tab w:val="num" w:pos="540"/>
        </w:tabs>
        <w:ind w:left="540" w:hanging="540"/>
        <w:rPr>
          <w:b/>
          <w:bCs/>
          <w:sz w:val="22"/>
          <w:szCs w:val="22"/>
        </w:rPr>
      </w:pPr>
      <w:r w:rsidRPr="00374521">
        <w:rPr>
          <w:b/>
          <w:bCs/>
          <w:sz w:val="22"/>
          <w:szCs w:val="22"/>
        </w:rPr>
        <w:t xml:space="preserve">POSTAĆ FARMACEUTYCZNA </w:t>
      </w:r>
    </w:p>
    <w:p w14:paraId="49691ABA" w14:textId="77777777" w:rsidR="00EC3E2B" w:rsidRPr="00374521" w:rsidRDefault="00EC3E2B" w:rsidP="00EC3E2B">
      <w:pPr>
        <w:pStyle w:val="Tytu"/>
        <w:jc w:val="left"/>
        <w:rPr>
          <w:b w:val="0"/>
          <w:sz w:val="22"/>
          <w:szCs w:val="22"/>
        </w:rPr>
      </w:pPr>
    </w:p>
    <w:p w14:paraId="60333E4A" w14:textId="77777777" w:rsidR="00EC3E2B" w:rsidRPr="00374521" w:rsidRDefault="00EC3E2B" w:rsidP="00EC3E2B">
      <w:pPr>
        <w:pStyle w:val="Tytu"/>
        <w:jc w:val="left"/>
        <w:rPr>
          <w:b w:val="0"/>
          <w:sz w:val="22"/>
          <w:szCs w:val="22"/>
        </w:rPr>
      </w:pPr>
      <w:r w:rsidRPr="00374521">
        <w:rPr>
          <w:b w:val="0"/>
          <w:sz w:val="22"/>
          <w:szCs w:val="22"/>
        </w:rPr>
        <w:t xml:space="preserve">Tabletki powlekane. </w:t>
      </w:r>
    </w:p>
    <w:p w14:paraId="28E98C3A" w14:textId="77777777" w:rsidR="00EC3E2B" w:rsidRPr="00986F0B" w:rsidRDefault="00EC3E2B" w:rsidP="00EC3E2B">
      <w:pPr>
        <w:pStyle w:val="Tytu"/>
        <w:jc w:val="left"/>
        <w:rPr>
          <w:b w:val="0"/>
          <w:color w:val="000000"/>
          <w:sz w:val="22"/>
          <w:szCs w:val="22"/>
        </w:rPr>
      </w:pPr>
      <w:proofErr w:type="spellStart"/>
      <w:r w:rsidRPr="00986F0B">
        <w:rPr>
          <w:b w:val="0"/>
          <w:color w:val="000000"/>
          <w:sz w:val="22"/>
          <w:szCs w:val="22"/>
        </w:rPr>
        <w:t>Presartan</w:t>
      </w:r>
      <w:proofErr w:type="spellEnd"/>
      <w:r w:rsidRPr="00986F0B">
        <w:rPr>
          <w:b w:val="0"/>
          <w:color w:val="000000"/>
          <w:sz w:val="22"/>
          <w:szCs w:val="22"/>
        </w:rPr>
        <w:t xml:space="preserve"> H, 100 mg</w:t>
      </w:r>
      <w:r>
        <w:rPr>
          <w:b w:val="0"/>
          <w:color w:val="000000"/>
          <w:sz w:val="22"/>
          <w:szCs w:val="22"/>
        </w:rPr>
        <w:t xml:space="preserve"> </w:t>
      </w:r>
      <w:r w:rsidRPr="00986F0B">
        <w:rPr>
          <w:b w:val="0"/>
          <w:color w:val="000000"/>
          <w:sz w:val="22"/>
          <w:szCs w:val="22"/>
        </w:rPr>
        <w:t>+</w:t>
      </w:r>
      <w:r>
        <w:rPr>
          <w:b w:val="0"/>
          <w:color w:val="000000"/>
          <w:sz w:val="22"/>
          <w:szCs w:val="22"/>
        </w:rPr>
        <w:t xml:space="preserve"> </w:t>
      </w:r>
      <w:r w:rsidRPr="00986F0B">
        <w:rPr>
          <w:b w:val="0"/>
          <w:color w:val="000000"/>
          <w:sz w:val="22"/>
          <w:szCs w:val="22"/>
        </w:rPr>
        <w:t>25 mg: biała, podłużna, obustronnie wypukła</w:t>
      </w:r>
      <w:r w:rsidR="00FE04FF">
        <w:rPr>
          <w:b w:val="0"/>
          <w:color w:val="000000"/>
          <w:sz w:val="22"/>
          <w:szCs w:val="22"/>
        </w:rPr>
        <w:t xml:space="preserve"> tabletka powlekana</w:t>
      </w:r>
      <w:r w:rsidRPr="00986F0B">
        <w:rPr>
          <w:b w:val="0"/>
          <w:color w:val="000000"/>
          <w:sz w:val="22"/>
          <w:szCs w:val="22"/>
        </w:rPr>
        <w:t>, o średnicy 15,3x6,7 mm z linią podziału po obu stronach.</w:t>
      </w:r>
    </w:p>
    <w:p w14:paraId="22B563C4" w14:textId="77777777" w:rsidR="00EC3E2B" w:rsidRPr="00374521" w:rsidRDefault="00EC3E2B" w:rsidP="00EC3E2B">
      <w:pPr>
        <w:rPr>
          <w:b/>
          <w:bCs/>
          <w:sz w:val="22"/>
          <w:szCs w:val="22"/>
        </w:rPr>
      </w:pPr>
    </w:p>
    <w:p w14:paraId="23C10FC0" w14:textId="77777777" w:rsidR="00EC3E2B" w:rsidRPr="00FF2554" w:rsidRDefault="00EC3E2B" w:rsidP="00EC3E2B">
      <w:pPr>
        <w:rPr>
          <w:bCs/>
          <w:sz w:val="22"/>
          <w:szCs w:val="22"/>
        </w:rPr>
      </w:pPr>
      <w:r w:rsidRPr="00374521">
        <w:rPr>
          <w:bCs/>
          <w:sz w:val="22"/>
          <w:szCs w:val="22"/>
        </w:rPr>
        <w:t xml:space="preserve">Tabletkę można podzielić na </w:t>
      </w:r>
      <w:r>
        <w:rPr>
          <w:bCs/>
          <w:sz w:val="22"/>
          <w:szCs w:val="22"/>
        </w:rPr>
        <w:t xml:space="preserve">dwie </w:t>
      </w:r>
      <w:r w:rsidRPr="00374521">
        <w:rPr>
          <w:bCs/>
          <w:sz w:val="22"/>
          <w:szCs w:val="22"/>
        </w:rPr>
        <w:t>równe dawki.</w:t>
      </w:r>
    </w:p>
    <w:p w14:paraId="4085FF68" w14:textId="77777777" w:rsidR="0074625D" w:rsidRDefault="0074625D" w:rsidP="00374521">
      <w:pPr>
        <w:rPr>
          <w:b/>
          <w:bCs/>
          <w:sz w:val="22"/>
          <w:szCs w:val="22"/>
        </w:rPr>
      </w:pPr>
    </w:p>
    <w:p w14:paraId="6FA41DA2" w14:textId="77777777" w:rsidR="00374521" w:rsidRPr="00374521" w:rsidRDefault="00374521" w:rsidP="00374521">
      <w:pPr>
        <w:rPr>
          <w:b/>
          <w:bCs/>
          <w:sz w:val="22"/>
          <w:szCs w:val="22"/>
        </w:rPr>
      </w:pPr>
    </w:p>
    <w:p w14:paraId="0611BC6D" w14:textId="77777777" w:rsidR="00484FC7" w:rsidRPr="00374521" w:rsidRDefault="003C411B" w:rsidP="00374521">
      <w:pPr>
        <w:numPr>
          <w:ilvl w:val="0"/>
          <w:numId w:val="26"/>
        </w:numPr>
        <w:tabs>
          <w:tab w:val="clear" w:pos="720"/>
          <w:tab w:val="num" w:pos="540"/>
        </w:tabs>
        <w:ind w:left="540" w:hanging="540"/>
        <w:rPr>
          <w:b/>
          <w:bCs/>
          <w:sz w:val="22"/>
          <w:szCs w:val="22"/>
        </w:rPr>
      </w:pPr>
      <w:r w:rsidRPr="00374521">
        <w:rPr>
          <w:b/>
          <w:bCs/>
          <w:sz w:val="22"/>
          <w:szCs w:val="22"/>
        </w:rPr>
        <w:t xml:space="preserve">SZCZEGÓŁOWE </w:t>
      </w:r>
      <w:r w:rsidR="00484FC7" w:rsidRPr="00374521">
        <w:rPr>
          <w:b/>
          <w:bCs/>
          <w:sz w:val="22"/>
          <w:szCs w:val="22"/>
        </w:rPr>
        <w:t>DANE KLINICZNE</w:t>
      </w:r>
    </w:p>
    <w:p w14:paraId="71765CB7" w14:textId="77777777" w:rsidR="0074625D" w:rsidRPr="00374521" w:rsidRDefault="0074625D" w:rsidP="00374521">
      <w:pPr>
        <w:pStyle w:val="Tytu"/>
        <w:jc w:val="left"/>
        <w:rPr>
          <w:b w:val="0"/>
          <w:sz w:val="22"/>
          <w:szCs w:val="22"/>
        </w:rPr>
      </w:pPr>
    </w:p>
    <w:p w14:paraId="64CFBE62" w14:textId="77777777" w:rsidR="00484FC7" w:rsidRPr="00374521" w:rsidRDefault="00E33426" w:rsidP="00374521">
      <w:pPr>
        <w:tabs>
          <w:tab w:val="left" w:pos="540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374521">
        <w:rPr>
          <w:b/>
          <w:sz w:val="22"/>
          <w:szCs w:val="22"/>
        </w:rPr>
        <w:t>4.1</w:t>
      </w:r>
      <w:r w:rsidRPr="00374521">
        <w:rPr>
          <w:b/>
          <w:sz w:val="22"/>
          <w:szCs w:val="22"/>
        </w:rPr>
        <w:tab/>
        <w:t>W</w:t>
      </w:r>
      <w:r w:rsidR="00484FC7" w:rsidRPr="00374521">
        <w:rPr>
          <w:b/>
          <w:bCs/>
          <w:sz w:val="22"/>
          <w:szCs w:val="22"/>
        </w:rPr>
        <w:t>skazania do stosowania</w:t>
      </w:r>
    </w:p>
    <w:p w14:paraId="10C790A5" w14:textId="77777777" w:rsidR="00484FC7" w:rsidRPr="00374521" w:rsidRDefault="00484FC7" w:rsidP="00374521">
      <w:pPr>
        <w:rPr>
          <w:bCs/>
          <w:sz w:val="22"/>
          <w:szCs w:val="22"/>
        </w:rPr>
      </w:pPr>
    </w:p>
    <w:p w14:paraId="5304B1A7" w14:textId="77777777" w:rsidR="00D604E9" w:rsidRPr="00374521" w:rsidRDefault="00EF7DC8" w:rsidP="00374521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374521">
        <w:rPr>
          <w:color w:val="000000"/>
          <w:sz w:val="22"/>
          <w:szCs w:val="22"/>
        </w:rPr>
        <w:t>Presartan</w:t>
      </w:r>
      <w:proofErr w:type="spellEnd"/>
      <w:r w:rsidRPr="00374521">
        <w:rPr>
          <w:color w:val="000000"/>
          <w:sz w:val="22"/>
          <w:szCs w:val="22"/>
        </w:rPr>
        <w:t xml:space="preserve"> H</w:t>
      </w:r>
      <w:r w:rsidR="00F55BBD" w:rsidRPr="00374521">
        <w:rPr>
          <w:sz w:val="22"/>
          <w:szCs w:val="22"/>
        </w:rPr>
        <w:t xml:space="preserve"> jest wskazan</w:t>
      </w:r>
      <w:r w:rsidR="009A1352" w:rsidRPr="00374521">
        <w:rPr>
          <w:sz w:val="22"/>
          <w:szCs w:val="22"/>
        </w:rPr>
        <w:t>y</w:t>
      </w:r>
      <w:r w:rsidR="00F55BBD" w:rsidRPr="00374521">
        <w:rPr>
          <w:sz w:val="22"/>
          <w:szCs w:val="22"/>
        </w:rPr>
        <w:t xml:space="preserve"> w l</w:t>
      </w:r>
      <w:r w:rsidR="006354DC" w:rsidRPr="00374521">
        <w:rPr>
          <w:sz w:val="22"/>
          <w:szCs w:val="22"/>
        </w:rPr>
        <w:t>eczeni</w:t>
      </w:r>
      <w:r w:rsidR="00F55BBD" w:rsidRPr="00374521">
        <w:rPr>
          <w:sz w:val="22"/>
          <w:szCs w:val="22"/>
        </w:rPr>
        <w:t>u</w:t>
      </w:r>
      <w:r w:rsidR="006354DC" w:rsidRPr="00374521">
        <w:rPr>
          <w:sz w:val="22"/>
          <w:szCs w:val="22"/>
        </w:rPr>
        <w:t xml:space="preserve"> </w:t>
      </w:r>
      <w:r w:rsidR="0023651B" w:rsidRPr="00374521">
        <w:rPr>
          <w:sz w:val="22"/>
          <w:szCs w:val="22"/>
        </w:rPr>
        <w:t xml:space="preserve">pierwotnego </w:t>
      </w:r>
      <w:r w:rsidR="00D604E9" w:rsidRPr="00374521">
        <w:rPr>
          <w:sz w:val="22"/>
          <w:szCs w:val="22"/>
        </w:rPr>
        <w:t>n</w:t>
      </w:r>
      <w:r w:rsidR="008C5E50" w:rsidRPr="00374521">
        <w:rPr>
          <w:sz w:val="22"/>
          <w:szCs w:val="22"/>
        </w:rPr>
        <w:t>adciśnieni</w:t>
      </w:r>
      <w:r w:rsidR="00D604E9" w:rsidRPr="00374521">
        <w:rPr>
          <w:sz w:val="22"/>
          <w:szCs w:val="22"/>
        </w:rPr>
        <w:t>a</w:t>
      </w:r>
      <w:r w:rsidR="008C5E50" w:rsidRPr="00374521">
        <w:rPr>
          <w:sz w:val="22"/>
          <w:szCs w:val="22"/>
        </w:rPr>
        <w:t xml:space="preserve"> tętnicze</w:t>
      </w:r>
      <w:r w:rsidR="00D604E9" w:rsidRPr="00374521">
        <w:rPr>
          <w:sz w:val="22"/>
          <w:szCs w:val="22"/>
        </w:rPr>
        <w:t>go</w:t>
      </w:r>
      <w:r w:rsidR="008C5E50" w:rsidRPr="00374521">
        <w:rPr>
          <w:sz w:val="22"/>
          <w:szCs w:val="22"/>
        </w:rPr>
        <w:t xml:space="preserve"> </w:t>
      </w:r>
      <w:r w:rsidR="006354DC" w:rsidRPr="00374521">
        <w:rPr>
          <w:sz w:val="22"/>
          <w:szCs w:val="22"/>
        </w:rPr>
        <w:t>u pacjentów</w:t>
      </w:r>
      <w:r w:rsidR="008E3357" w:rsidRPr="00374521">
        <w:rPr>
          <w:sz w:val="22"/>
          <w:szCs w:val="22"/>
        </w:rPr>
        <w:t>,</w:t>
      </w:r>
      <w:r w:rsidR="006354DC" w:rsidRPr="00374521">
        <w:rPr>
          <w:sz w:val="22"/>
          <w:szCs w:val="22"/>
        </w:rPr>
        <w:t xml:space="preserve"> </w:t>
      </w:r>
      <w:r w:rsidR="0023651B" w:rsidRPr="00374521">
        <w:rPr>
          <w:sz w:val="22"/>
          <w:szCs w:val="22"/>
        </w:rPr>
        <w:t xml:space="preserve">których </w:t>
      </w:r>
      <w:r w:rsidR="006354DC" w:rsidRPr="00374521">
        <w:rPr>
          <w:sz w:val="22"/>
          <w:szCs w:val="22"/>
        </w:rPr>
        <w:t>ciśnieni</w:t>
      </w:r>
      <w:r w:rsidR="0023651B" w:rsidRPr="00374521">
        <w:rPr>
          <w:sz w:val="22"/>
          <w:szCs w:val="22"/>
        </w:rPr>
        <w:t xml:space="preserve">e krwi nie jest wystarczająco kontrolowane </w:t>
      </w:r>
      <w:r w:rsidR="006354DC" w:rsidRPr="00374521">
        <w:rPr>
          <w:sz w:val="22"/>
          <w:szCs w:val="22"/>
        </w:rPr>
        <w:t xml:space="preserve">podczas </w:t>
      </w:r>
      <w:r w:rsidR="0023651B" w:rsidRPr="00374521">
        <w:rPr>
          <w:sz w:val="22"/>
          <w:szCs w:val="22"/>
        </w:rPr>
        <w:t>leczenia</w:t>
      </w:r>
      <w:r w:rsidR="006354DC" w:rsidRPr="00374521">
        <w:rPr>
          <w:sz w:val="22"/>
          <w:szCs w:val="22"/>
        </w:rPr>
        <w:t xml:space="preserve"> </w:t>
      </w:r>
      <w:proofErr w:type="spellStart"/>
      <w:r w:rsidR="006354DC" w:rsidRPr="00374521">
        <w:rPr>
          <w:sz w:val="22"/>
          <w:szCs w:val="22"/>
        </w:rPr>
        <w:t>losartan</w:t>
      </w:r>
      <w:r w:rsidR="0023651B" w:rsidRPr="00374521">
        <w:rPr>
          <w:sz w:val="22"/>
          <w:szCs w:val="22"/>
        </w:rPr>
        <w:t>em</w:t>
      </w:r>
      <w:proofErr w:type="spellEnd"/>
      <w:r w:rsidR="0023651B" w:rsidRPr="00374521">
        <w:rPr>
          <w:sz w:val="22"/>
          <w:szCs w:val="22"/>
        </w:rPr>
        <w:t xml:space="preserve"> lub </w:t>
      </w:r>
      <w:proofErr w:type="spellStart"/>
      <w:r w:rsidR="0023651B" w:rsidRPr="00374521">
        <w:rPr>
          <w:sz w:val="22"/>
          <w:szCs w:val="22"/>
        </w:rPr>
        <w:t>hydrochlorotiazydem</w:t>
      </w:r>
      <w:proofErr w:type="spellEnd"/>
      <w:r w:rsidR="006354DC" w:rsidRPr="00374521">
        <w:rPr>
          <w:sz w:val="22"/>
          <w:szCs w:val="22"/>
        </w:rPr>
        <w:t xml:space="preserve"> w </w:t>
      </w:r>
      <w:proofErr w:type="spellStart"/>
      <w:r w:rsidR="006354DC" w:rsidRPr="00374521">
        <w:rPr>
          <w:sz w:val="22"/>
          <w:szCs w:val="22"/>
        </w:rPr>
        <w:t>monoterapii</w:t>
      </w:r>
      <w:proofErr w:type="spellEnd"/>
      <w:r w:rsidR="006354DC" w:rsidRPr="00374521">
        <w:rPr>
          <w:sz w:val="22"/>
          <w:szCs w:val="22"/>
        </w:rPr>
        <w:t xml:space="preserve">. </w:t>
      </w:r>
    </w:p>
    <w:p w14:paraId="762037D8" w14:textId="77777777" w:rsidR="0074625D" w:rsidRPr="00374521" w:rsidRDefault="0074625D" w:rsidP="00374521">
      <w:pPr>
        <w:pStyle w:val="Tytu"/>
        <w:jc w:val="left"/>
        <w:rPr>
          <w:b w:val="0"/>
          <w:sz w:val="22"/>
          <w:szCs w:val="22"/>
        </w:rPr>
      </w:pPr>
    </w:p>
    <w:p w14:paraId="4D0B540D" w14:textId="77777777" w:rsidR="00484FC7" w:rsidRPr="00374521" w:rsidRDefault="00E33426" w:rsidP="00374521">
      <w:pPr>
        <w:tabs>
          <w:tab w:val="left" w:pos="540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374521">
        <w:rPr>
          <w:b/>
          <w:sz w:val="22"/>
          <w:szCs w:val="22"/>
        </w:rPr>
        <w:t>4.2</w:t>
      </w:r>
      <w:r w:rsidRPr="00374521">
        <w:rPr>
          <w:b/>
          <w:sz w:val="22"/>
          <w:szCs w:val="22"/>
        </w:rPr>
        <w:tab/>
      </w:r>
      <w:r w:rsidR="00484FC7" w:rsidRPr="00374521">
        <w:rPr>
          <w:b/>
          <w:bCs/>
          <w:sz w:val="22"/>
          <w:szCs w:val="22"/>
        </w:rPr>
        <w:t>Dawkowanie i sposób podawania</w:t>
      </w:r>
    </w:p>
    <w:p w14:paraId="46A456DB" w14:textId="77777777" w:rsidR="00484FC7" w:rsidRPr="00374521" w:rsidRDefault="00484FC7" w:rsidP="00374521">
      <w:pPr>
        <w:rPr>
          <w:b/>
          <w:bCs/>
          <w:sz w:val="22"/>
          <w:szCs w:val="22"/>
        </w:rPr>
      </w:pPr>
    </w:p>
    <w:p w14:paraId="29A4EB1F" w14:textId="77777777" w:rsidR="00EC1106" w:rsidRPr="00374521" w:rsidRDefault="00EF7DC8" w:rsidP="00374521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374521">
        <w:rPr>
          <w:color w:val="000000"/>
          <w:sz w:val="22"/>
          <w:szCs w:val="22"/>
        </w:rPr>
        <w:t>Presartan</w:t>
      </w:r>
      <w:proofErr w:type="spellEnd"/>
      <w:r w:rsidRPr="00374521">
        <w:rPr>
          <w:color w:val="000000"/>
          <w:sz w:val="22"/>
          <w:szCs w:val="22"/>
        </w:rPr>
        <w:t xml:space="preserve"> H</w:t>
      </w:r>
      <w:r w:rsidR="00EC1106" w:rsidRPr="00374521">
        <w:rPr>
          <w:color w:val="000000"/>
          <w:sz w:val="22"/>
          <w:szCs w:val="22"/>
        </w:rPr>
        <w:t xml:space="preserve"> </w:t>
      </w:r>
      <w:r w:rsidR="002F60E9" w:rsidRPr="00374521">
        <w:rPr>
          <w:sz w:val="22"/>
          <w:szCs w:val="22"/>
        </w:rPr>
        <w:t>można</w:t>
      </w:r>
      <w:r w:rsidR="00EC1106" w:rsidRPr="00374521">
        <w:rPr>
          <w:sz w:val="22"/>
          <w:szCs w:val="22"/>
        </w:rPr>
        <w:t xml:space="preserve"> </w:t>
      </w:r>
      <w:r w:rsidR="00840833" w:rsidRPr="00374521">
        <w:rPr>
          <w:sz w:val="22"/>
          <w:szCs w:val="22"/>
        </w:rPr>
        <w:t>jednocześnie</w:t>
      </w:r>
      <w:r w:rsidR="002F60E9" w:rsidRPr="00374521">
        <w:rPr>
          <w:sz w:val="22"/>
          <w:szCs w:val="22"/>
        </w:rPr>
        <w:t xml:space="preserve"> stosować</w:t>
      </w:r>
      <w:r w:rsidR="00840833" w:rsidRPr="00374521">
        <w:rPr>
          <w:sz w:val="22"/>
          <w:szCs w:val="22"/>
        </w:rPr>
        <w:t xml:space="preserve"> </w:t>
      </w:r>
      <w:r w:rsidR="00EC1106" w:rsidRPr="00374521">
        <w:rPr>
          <w:sz w:val="22"/>
          <w:szCs w:val="22"/>
        </w:rPr>
        <w:t xml:space="preserve">z innymi </w:t>
      </w:r>
      <w:r w:rsidR="002F60E9" w:rsidRPr="00374521">
        <w:rPr>
          <w:sz w:val="22"/>
          <w:szCs w:val="22"/>
        </w:rPr>
        <w:t>lekami</w:t>
      </w:r>
      <w:r w:rsidR="00840833" w:rsidRPr="00374521">
        <w:rPr>
          <w:sz w:val="22"/>
          <w:szCs w:val="22"/>
        </w:rPr>
        <w:t xml:space="preserve"> </w:t>
      </w:r>
      <w:proofErr w:type="spellStart"/>
      <w:r w:rsidR="00EC1106" w:rsidRPr="00374521">
        <w:rPr>
          <w:sz w:val="22"/>
          <w:szCs w:val="22"/>
        </w:rPr>
        <w:t>przeciwnadciśnieniowymi</w:t>
      </w:r>
      <w:proofErr w:type="spellEnd"/>
      <w:r w:rsidR="007249C2" w:rsidRPr="00374521">
        <w:rPr>
          <w:sz w:val="22"/>
          <w:szCs w:val="22"/>
        </w:rPr>
        <w:t xml:space="preserve"> (patrz punkty 4.3, 4.4, 4.5</w:t>
      </w:r>
      <w:r w:rsidR="00601395" w:rsidRPr="00374521">
        <w:rPr>
          <w:sz w:val="22"/>
          <w:szCs w:val="22"/>
        </w:rPr>
        <w:t xml:space="preserve"> i 5.1)</w:t>
      </w:r>
      <w:r w:rsidR="00EC1106" w:rsidRPr="00374521">
        <w:rPr>
          <w:sz w:val="22"/>
          <w:szCs w:val="22"/>
        </w:rPr>
        <w:t>.</w:t>
      </w:r>
    </w:p>
    <w:p w14:paraId="36DCDCC1" w14:textId="77777777" w:rsidR="00556DD0" w:rsidRPr="00374521" w:rsidRDefault="00556DD0" w:rsidP="0037452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74521">
        <w:rPr>
          <w:color w:val="000000"/>
          <w:sz w:val="22"/>
          <w:szCs w:val="22"/>
        </w:rPr>
        <w:t xml:space="preserve">Tabletki </w:t>
      </w:r>
      <w:r w:rsidR="00F55BBD" w:rsidRPr="00374521">
        <w:rPr>
          <w:color w:val="000000"/>
          <w:sz w:val="22"/>
          <w:szCs w:val="22"/>
        </w:rPr>
        <w:t xml:space="preserve">produktu </w:t>
      </w:r>
      <w:proofErr w:type="spellStart"/>
      <w:r w:rsidR="00EF7DC8" w:rsidRPr="00374521">
        <w:rPr>
          <w:color w:val="000000"/>
          <w:sz w:val="22"/>
          <w:szCs w:val="22"/>
        </w:rPr>
        <w:t>Presartan</w:t>
      </w:r>
      <w:proofErr w:type="spellEnd"/>
      <w:r w:rsidR="00EF7DC8" w:rsidRPr="00374521">
        <w:rPr>
          <w:color w:val="000000"/>
          <w:sz w:val="22"/>
          <w:szCs w:val="22"/>
        </w:rPr>
        <w:t xml:space="preserve"> H</w:t>
      </w:r>
      <w:r w:rsidRPr="00374521">
        <w:rPr>
          <w:color w:val="000000"/>
          <w:sz w:val="22"/>
          <w:szCs w:val="22"/>
        </w:rPr>
        <w:t xml:space="preserve"> </w:t>
      </w:r>
      <w:r w:rsidR="00F55BBD" w:rsidRPr="00374521">
        <w:rPr>
          <w:color w:val="000000"/>
          <w:sz w:val="22"/>
          <w:szCs w:val="22"/>
        </w:rPr>
        <w:t>należy</w:t>
      </w:r>
      <w:r w:rsidRPr="00374521">
        <w:rPr>
          <w:color w:val="000000"/>
          <w:sz w:val="22"/>
          <w:szCs w:val="22"/>
        </w:rPr>
        <w:t xml:space="preserve"> </w:t>
      </w:r>
      <w:r w:rsidR="00F55BBD" w:rsidRPr="00374521">
        <w:rPr>
          <w:color w:val="000000"/>
          <w:sz w:val="22"/>
          <w:szCs w:val="22"/>
        </w:rPr>
        <w:t xml:space="preserve">połykać </w:t>
      </w:r>
      <w:r w:rsidRPr="00374521">
        <w:rPr>
          <w:color w:val="000000"/>
          <w:sz w:val="22"/>
          <w:szCs w:val="22"/>
        </w:rPr>
        <w:t>popija</w:t>
      </w:r>
      <w:r w:rsidR="00F55BBD" w:rsidRPr="00374521">
        <w:rPr>
          <w:color w:val="000000"/>
          <w:sz w:val="22"/>
          <w:szCs w:val="22"/>
        </w:rPr>
        <w:t>jąc</w:t>
      </w:r>
      <w:r w:rsidRPr="00374521">
        <w:rPr>
          <w:color w:val="000000"/>
          <w:sz w:val="22"/>
          <w:szCs w:val="22"/>
        </w:rPr>
        <w:t xml:space="preserve"> szklank</w:t>
      </w:r>
      <w:r w:rsidR="00F55BBD" w:rsidRPr="00374521">
        <w:rPr>
          <w:color w:val="000000"/>
          <w:sz w:val="22"/>
          <w:szCs w:val="22"/>
        </w:rPr>
        <w:t>ą</w:t>
      </w:r>
      <w:r w:rsidRPr="00374521">
        <w:rPr>
          <w:color w:val="000000"/>
          <w:sz w:val="22"/>
          <w:szCs w:val="22"/>
        </w:rPr>
        <w:t xml:space="preserve"> wody.</w:t>
      </w:r>
    </w:p>
    <w:p w14:paraId="520D9F72" w14:textId="77777777" w:rsidR="0042783E" w:rsidRPr="00374521" w:rsidRDefault="00EF7DC8" w:rsidP="00374521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374521">
        <w:rPr>
          <w:color w:val="000000"/>
          <w:sz w:val="22"/>
          <w:szCs w:val="22"/>
        </w:rPr>
        <w:t>Presartan</w:t>
      </w:r>
      <w:proofErr w:type="spellEnd"/>
      <w:r w:rsidRPr="00374521">
        <w:rPr>
          <w:color w:val="000000"/>
          <w:sz w:val="22"/>
          <w:szCs w:val="22"/>
        </w:rPr>
        <w:t xml:space="preserve"> H</w:t>
      </w:r>
      <w:r w:rsidR="00EC1106" w:rsidRPr="00374521">
        <w:rPr>
          <w:color w:val="000000"/>
          <w:sz w:val="22"/>
          <w:szCs w:val="22"/>
        </w:rPr>
        <w:t xml:space="preserve"> </w:t>
      </w:r>
      <w:r w:rsidR="002F60E9" w:rsidRPr="00374521">
        <w:rPr>
          <w:sz w:val="22"/>
          <w:szCs w:val="22"/>
        </w:rPr>
        <w:t>można</w:t>
      </w:r>
      <w:r w:rsidR="00CB6D0D" w:rsidRPr="00374521">
        <w:rPr>
          <w:sz w:val="22"/>
          <w:szCs w:val="22"/>
        </w:rPr>
        <w:t xml:space="preserve"> p</w:t>
      </w:r>
      <w:r w:rsidR="002F60E9" w:rsidRPr="00374521">
        <w:rPr>
          <w:sz w:val="22"/>
          <w:szCs w:val="22"/>
        </w:rPr>
        <w:t>rzyjmować</w:t>
      </w:r>
      <w:r w:rsidR="00CB6D0D" w:rsidRPr="00374521">
        <w:rPr>
          <w:sz w:val="22"/>
          <w:szCs w:val="22"/>
        </w:rPr>
        <w:t xml:space="preserve"> </w:t>
      </w:r>
      <w:r w:rsidR="00840833" w:rsidRPr="00374521">
        <w:rPr>
          <w:sz w:val="22"/>
          <w:szCs w:val="22"/>
        </w:rPr>
        <w:t>niezależnie od posiłków</w:t>
      </w:r>
      <w:r w:rsidR="00CB6D0D" w:rsidRPr="00374521">
        <w:rPr>
          <w:sz w:val="22"/>
          <w:szCs w:val="22"/>
        </w:rPr>
        <w:t xml:space="preserve">. </w:t>
      </w:r>
    </w:p>
    <w:p w14:paraId="6FAAAF41" w14:textId="77777777" w:rsidR="0042783E" w:rsidRPr="00374521" w:rsidRDefault="0042783E" w:rsidP="00374521">
      <w:pPr>
        <w:autoSpaceDE w:val="0"/>
        <w:autoSpaceDN w:val="0"/>
        <w:adjustRightInd w:val="0"/>
        <w:rPr>
          <w:iCs/>
          <w:sz w:val="22"/>
          <w:szCs w:val="22"/>
        </w:rPr>
      </w:pPr>
    </w:p>
    <w:p w14:paraId="02123E76" w14:textId="77777777" w:rsidR="00CB6D0D" w:rsidRPr="00374521" w:rsidRDefault="00CB6D0D" w:rsidP="00374521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374521">
        <w:rPr>
          <w:i/>
          <w:iCs/>
          <w:sz w:val="22"/>
          <w:szCs w:val="22"/>
        </w:rPr>
        <w:t xml:space="preserve">Nadciśnienie </w:t>
      </w:r>
      <w:r w:rsidR="0098193C" w:rsidRPr="00374521">
        <w:rPr>
          <w:i/>
          <w:iCs/>
          <w:sz w:val="22"/>
          <w:szCs w:val="22"/>
        </w:rPr>
        <w:t xml:space="preserve">tętnicze </w:t>
      </w:r>
    </w:p>
    <w:p w14:paraId="10F2F36F" w14:textId="77777777" w:rsidR="00556DD0" w:rsidRPr="00374521" w:rsidRDefault="00F55BBD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color w:val="000000"/>
          <w:sz w:val="22"/>
          <w:szCs w:val="22"/>
        </w:rPr>
        <w:t>Produkt</w:t>
      </w:r>
      <w:r w:rsidR="002F60E9" w:rsidRPr="00374521">
        <w:rPr>
          <w:color w:val="000000"/>
          <w:sz w:val="22"/>
          <w:szCs w:val="22"/>
        </w:rPr>
        <w:t>u</w:t>
      </w:r>
      <w:r w:rsidRPr="00374521">
        <w:rPr>
          <w:color w:val="000000"/>
          <w:sz w:val="22"/>
          <w:szCs w:val="22"/>
        </w:rPr>
        <w:t xml:space="preserve"> </w:t>
      </w:r>
      <w:proofErr w:type="spellStart"/>
      <w:r w:rsidR="00EF7DC8" w:rsidRPr="00374521">
        <w:rPr>
          <w:color w:val="000000"/>
          <w:sz w:val="22"/>
          <w:szCs w:val="22"/>
        </w:rPr>
        <w:t>Presartan</w:t>
      </w:r>
      <w:proofErr w:type="spellEnd"/>
      <w:r w:rsidR="00EF7DC8" w:rsidRPr="00374521">
        <w:rPr>
          <w:color w:val="000000"/>
          <w:sz w:val="22"/>
          <w:szCs w:val="22"/>
        </w:rPr>
        <w:t xml:space="preserve"> H</w:t>
      </w:r>
      <w:r w:rsidRPr="00374521">
        <w:rPr>
          <w:color w:val="000000"/>
          <w:sz w:val="22"/>
          <w:szCs w:val="22"/>
        </w:rPr>
        <w:t xml:space="preserve"> nie </w:t>
      </w:r>
      <w:r w:rsidR="002F60E9" w:rsidRPr="00374521">
        <w:rPr>
          <w:color w:val="000000"/>
          <w:sz w:val="22"/>
          <w:szCs w:val="22"/>
        </w:rPr>
        <w:t>należy stosować w</w:t>
      </w:r>
      <w:r w:rsidRPr="00374521">
        <w:rPr>
          <w:color w:val="000000"/>
          <w:sz w:val="22"/>
          <w:szCs w:val="22"/>
        </w:rPr>
        <w:t xml:space="preserve"> leczeni</w:t>
      </w:r>
      <w:r w:rsidR="00E33426" w:rsidRPr="00374521">
        <w:rPr>
          <w:color w:val="000000"/>
          <w:sz w:val="22"/>
          <w:szCs w:val="22"/>
        </w:rPr>
        <w:t>u</w:t>
      </w:r>
      <w:r w:rsidR="002F60E9" w:rsidRPr="00374521">
        <w:rPr>
          <w:color w:val="000000"/>
          <w:sz w:val="22"/>
          <w:szCs w:val="22"/>
        </w:rPr>
        <w:t xml:space="preserve"> początkowym</w:t>
      </w:r>
      <w:r w:rsidRPr="00374521">
        <w:rPr>
          <w:color w:val="000000"/>
          <w:sz w:val="22"/>
          <w:szCs w:val="22"/>
        </w:rPr>
        <w:t xml:space="preserve">. Należy go stosować </w:t>
      </w:r>
      <w:r w:rsidR="00556DD0" w:rsidRPr="00374521">
        <w:rPr>
          <w:color w:val="000000"/>
          <w:sz w:val="22"/>
          <w:szCs w:val="22"/>
        </w:rPr>
        <w:t xml:space="preserve">u pacjentów, </w:t>
      </w:r>
      <w:r w:rsidR="00556DD0" w:rsidRPr="00374521">
        <w:rPr>
          <w:sz w:val="22"/>
          <w:szCs w:val="22"/>
        </w:rPr>
        <w:t>których ciśnienie</w:t>
      </w:r>
      <w:r w:rsidR="002F60E9" w:rsidRPr="00374521">
        <w:rPr>
          <w:sz w:val="22"/>
          <w:szCs w:val="22"/>
        </w:rPr>
        <w:t xml:space="preserve"> krwi</w:t>
      </w:r>
      <w:r w:rsidR="00556DD0" w:rsidRPr="00374521">
        <w:rPr>
          <w:sz w:val="22"/>
          <w:szCs w:val="22"/>
        </w:rPr>
        <w:t xml:space="preserve"> nie jest </w:t>
      </w:r>
      <w:r w:rsidR="002F60E9" w:rsidRPr="00374521">
        <w:rPr>
          <w:sz w:val="22"/>
          <w:szCs w:val="22"/>
        </w:rPr>
        <w:t>wystarczająco</w:t>
      </w:r>
      <w:r w:rsidR="00556DD0" w:rsidRPr="00374521">
        <w:rPr>
          <w:sz w:val="22"/>
          <w:szCs w:val="22"/>
        </w:rPr>
        <w:t xml:space="preserve"> kontrolowane </w:t>
      </w:r>
      <w:r w:rsidRPr="00374521">
        <w:rPr>
          <w:sz w:val="22"/>
          <w:szCs w:val="22"/>
        </w:rPr>
        <w:t xml:space="preserve">podczas </w:t>
      </w:r>
      <w:proofErr w:type="spellStart"/>
      <w:r w:rsidRPr="00374521">
        <w:rPr>
          <w:sz w:val="22"/>
          <w:szCs w:val="22"/>
        </w:rPr>
        <w:t>monoterapii</w:t>
      </w:r>
      <w:proofErr w:type="spellEnd"/>
      <w:r w:rsidR="00556DD0" w:rsidRPr="00374521">
        <w:rPr>
          <w:sz w:val="22"/>
          <w:szCs w:val="22"/>
        </w:rPr>
        <w:t xml:space="preserve"> </w:t>
      </w:r>
      <w:proofErr w:type="spellStart"/>
      <w:r w:rsidR="00556DD0" w:rsidRPr="00374521">
        <w:rPr>
          <w:sz w:val="22"/>
          <w:szCs w:val="22"/>
        </w:rPr>
        <w:t>losartanem</w:t>
      </w:r>
      <w:proofErr w:type="spellEnd"/>
      <w:r w:rsidR="00556DD0" w:rsidRPr="00374521">
        <w:rPr>
          <w:sz w:val="22"/>
          <w:szCs w:val="22"/>
        </w:rPr>
        <w:t xml:space="preserve"> lub </w:t>
      </w:r>
      <w:proofErr w:type="spellStart"/>
      <w:r w:rsidR="00556DD0" w:rsidRPr="00374521">
        <w:rPr>
          <w:sz w:val="22"/>
          <w:szCs w:val="22"/>
        </w:rPr>
        <w:t>hydrochlorotiazydem</w:t>
      </w:r>
      <w:proofErr w:type="spellEnd"/>
      <w:r w:rsidR="00556DD0" w:rsidRPr="00374521">
        <w:rPr>
          <w:sz w:val="22"/>
          <w:szCs w:val="22"/>
        </w:rPr>
        <w:t xml:space="preserve">. </w:t>
      </w:r>
    </w:p>
    <w:p w14:paraId="5371B680" w14:textId="77777777" w:rsidR="00556DD0" w:rsidRPr="00374521" w:rsidRDefault="00556DD0" w:rsidP="00374521">
      <w:pPr>
        <w:autoSpaceDE w:val="0"/>
        <w:autoSpaceDN w:val="0"/>
        <w:adjustRightInd w:val="0"/>
        <w:rPr>
          <w:iCs/>
          <w:sz w:val="22"/>
          <w:szCs w:val="22"/>
        </w:rPr>
      </w:pPr>
    </w:p>
    <w:p w14:paraId="4C7340CA" w14:textId="77777777" w:rsidR="00556DD0" w:rsidRPr="00374521" w:rsidRDefault="00556DD0" w:rsidP="00374521">
      <w:pPr>
        <w:autoSpaceDE w:val="0"/>
        <w:autoSpaceDN w:val="0"/>
        <w:adjustRightInd w:val="0"/>
        <w:rPr>
          <w:iCs/>
          <w:sz w:val="22"/>
          <w:szCs w:val="22"/>
        </w:rPr>
      </w:pPr>
      <w:r w:rsidRPr="00374521">
        <w:rPr>
          <w:iCs/>
          <w:sz w:val="22"/>
          <w:szCs w:val="22"/>
        </w:rPr>
        <w:t xml:space="preserve">Zalecane jest </w:t>
      </w:r>
      <w:r w:rsidR="00F55BBD" w:rsidRPr="00374521">
        <w:rPr>
          <w:iCs/>
          <w:sz w:val="22"/>
          <w:szCs w:val="22"/>
        </w:rPr>
        <w:t xml:space="preserve">oddzielne określenie </w:t>
      </w:r>
      <w:r w:rsidRPr="00374521">
        <w:rPr>
          <w:iCs/>
          <w:sz w:val="22"/>
          <w:szCs w:val="22"/>
        </w:rPr>
        <w:t xml:space="preserve">dawki dla </w:t>
      </w:r>
      <w:r w:rsidR="00F55BBD" w:rsidRPr="00374521">
        <w:rPr>
          <w:iCs/>
          <w:sz w:val="22"/>
          <w:szCs w:val="22"/>
        </w:rPr>
        <w:t>poszczególnych substancji czynnych</w:t>
      </w:r>
      <w:r w:rsidRPr="00374521">
        <w:rPr>
          <w:iCs/>
          <w:sz w:val="22"/>
          <w:szCs w:val="22"/>
        </w:rPr>
        <w:t xml:space="preserve"> (</w:t>
      </w:r>
      <w:proofErr w:type="spellStart"/>
      <w:r w:rsidRPr="00374521">
        <w:rPr>
          <w:iCs/>
          <w:sz w:val="22"/>
          <w:szCs w:val="22"/>
        </w:rPr>
        <w:t>losartan</w:t>
      </w:r>
      <w:r w:rsidR="008509EA" w:rsidRPr="00374521">
        <w:rPr>
          <w:iCs/>
          <w:sz w:val="22"/>
          <w:szCs w:val="22"/>
        </w:rPr>
        <w:t>u</w:t>
      </w:r>
      <w:proofErr w:type="spellEnd"/>
      <w:r w:rsidRPr="00374521">
        <w:rPr>
          <w:iCs/>
          <w:sz w:val="22"/>
          <w:szCs w:val="22"/>
        </w:rPr>
        <w:t xml:space="preserve"> i </w:t>
      </w:r>
      <w:proofErr w:type="spellStart"/>
      <w:r w:rsidRPr="00374521">
        <w:rPr>
          <w:iCs/>
          <w:sz w:val="22"/>
          <w:szCs w:val="22"/>
        </w:rPr>
        <w:t>hydrochlorotiazyd</w:t>
      </w:r>
      <w:r w:rsidR="008509EA" w:rsidRPr="00374521">
        <w:rPr>
          <w:iCs/>
          <w:sz w:val="22"/>
          <w:szCs w:val="22"/>
        </w:rPr>
        <w:t>u</w:t>
      </w:r>
      <w:proofErr w:type="spellEnd"/>
      <w:r w:rsidRPr="00374521">
        <w:rPr>
          <w:iCs/>
          <w:sz w:val="22"/>
          <w:szCs w:val="22"/>
        </w:rPr>
        <w:t xml:space="preserve">). </w:t>
      </w:r>
    </w:p>
    <w:p w14:paraId="7C895B9F" w14:textId="77777777" w:rsidR="00556DD0" w:rsidRPr="00374521" w:rsidRDefault="00556DD0" w:rsidP="00374521">
      <w:pPr>
        <w:autoSpaceDE w:val="0"/>
        <w:autoSpaceDN w:val="0"/>
        <w:adjustRightInd w:val="0"/>
        <w:rPr>
          <w:iCs/>
          <w:sz w:val="22"/>
          <w:szCs w:val="22"/>
        </w:rPr>
      </w:pPr>
    </w:p>
    <w:p w14:paraId="3C8CE596" w14:textId="77777777" w:rsidR="00B960AD" w:rsidRPr="00374521" w:rsidRDefault="00B960AD" w:rsidP="00374521">
      <w:pPr>
        <w:autoSpaceDE w:val="0"/>
        <w:autoSpaceDN w:val="0"/>
        <w:adjustRightInd w:val="0"/>
        <w:rPr>
          <w:iCs/>
          <w:sz w:val="22"/>
          <w:szCs w:val="22"/>
        </w:rPr>
      </w:pPr>
      <w:r w:rsidRPr="00374521">
        <w:rPr>
          <w:iCs/>
          <w:sz w:val="22"/>
          <w:szCs w:val="22"/>
        </w:rPr>
        <w:t>Zalecane jest stopniowe zwiększanie dawki pojedynczych składników (</w:t>
      </w:r>
      <w:proofErr w:type="spellStart"/>
      <w:r w:rsidRPr="00374521">
        <w:rPr>
          <w:iCs/>
          <w:sz w:val="22"/>
          <w:szCs w:val="22"/>
        </w:rPr>
        <w:t>losartanu</w:t>
      </w:r>
      <w:proofErr w:type="spellEnd"/>
      <w:r w:rsidRPr="00374521">
        <w:rPr>
          <w:iCs/>
          <w:sz w:val="22"/>
          <w:szCs w:val="22"/>
        </w:rPr>
        <w:t xml:space="preserve"> i </w:t>
      </w:r>
      <w:proofErr w:type="spellStart"/>
      <w:r w:rsidRPr="00374521">
        <w:rPr>
          <w:iCs/>
          <w:sz w:val="22"/>
          <w:szCs w:val="22"/>
        </w:rPr>
        <w:t>hydrochlorotiazydu</w:t>
      </w:r>
      <w:proofErr w:type="spellEnd"/>
      <w:r w:rsidRPr="00374521">
        <w:rPr>
          <w:iCs/>
          <w:sz w:val="22"/>
          <w:szCs w:val="22"/>
        </w:rPr>
        <w:t>).</w:t>
      </w:r>
    </w:p>
    <w:p w14:paraId="04508B08" w14:textId="77777777" w:rsidR="00B960AD" w:rsidRPr="00374521" w:rsidRDefault="00B960AD" w:rsidP="00374521">
      <w:pPr>
        <w:autoSpaceDE w:val="0"/>
        <w:autoSpaceDN w:val="0"/>
        <w:adjustRightInd w:val="0"/>
        <w:rPr>
          <w:iCs/>
          <w:sz w:val="22"/>
          <w:szCs w:val="22"/>
        </w:rPr>
      </w:pPr>
    </w:p>
    <w:p w14:paraId="20F255B9" w14:textId="77777777" w:rsidR="00556DD0" w:rsidRPr="00374521" w:rsidRDefault="000F7E06" w:rsidP="00374521">
      <w:pPr>
        <w:autoSpaceDE w:val="0"/>
        <w:autoSpaceDN w:val="0"/>
        <w:adjustRightInd w:val="0"/>
        <w:rPr>
          <w:iCs/>
          <w:sz w:val="22"/>
          <w:szCs w:val="22"/>
        </w:rPr>
      </w:pPr>
      <w:r w:rsidRPr="00374521">
        <w:rPr>
          <w:iCs/>
          <w:sz w:val="22"/>
          <w:szCs w:val="22"/>
        </w:rPr>
        <w:lastRenderedPageBreak/>
        <w:t xml:space="preserve">Jeżeli </w:t>
      </w:r>
      <w:r w:rsidR="00556DD0" w:rsidRPr="00374521">
        <w:rPr>
          <w:iCs/>
          <w:sz w:val="22"/>
          <w:szCs w:val="22"/>
        </w:rPr>
        <w:t xml:space="preserve">jest to klinicznie </w:t>
      </w:r>
      <w:r w:rsidRPr="00374521">
        <w:rPr>
          <w:iCs/>
          <w:sz w:val="22"/>
          <w:szCs w:val="22"/>
        </w:rPr>
        <w:t>uzasadnione,</w:t>
      </w:r>
      <w:r w:rsidR="00556DD0" w:rsidRPr="00374521">
        <w:rPr>
          <w:iCs/>
          <w:sz w:val="22"/>
          <w:szCs w:val="22"/>
        </w:rPr>
        <w:t xml:space="preserve"> </w:t>
      </w:r>
      <w:r w:rsidRPr="00374521">
        <w:rPr>
          <w:iCs/>
          <w:sz w:val="22"/>
          <w:szCs w:val="22"/>
        </w:rPr>
        <w:t xml:space="preserve">można </w:t>
      </w:r>
      <w:r w:rsidR="00556DD0" w:rsidRPr="00374521">
        <w:rPr>
          <w:iCs/>
          <w:sz w:val="22"/>
          <w:szCs w:val="22"/>
        </w:rPr>
        <w:t xml:space="preserve">rozważyć </w:t>
      </w:r>
      <w:r w:rsidRPr="00374521">
        <w:rPr>
          <w:iCs/>
          <w:sz w:val="22"/>
          <w:szCs w:val="22"/>
        </w:rPr>
        <w:t xml:space="preserve">bezpośrednią </w:t>
      </w:r>
      <w:r w:rsidR="00556DD0" w:rsidRPr="00374521">
        <w:rPr>
          <w:iCs/>
          <w:sz w:val="22"/>
          <w:szCs w:val="22"/>
        </w:rPr>
        <w:t xml:space="preserve">zmianę </w:t>
      </w:r>
      <w:proofErr w:type="spellStart"/>
      <w:r w:rsidR="00556DD0" w:rsidRPr="00374521">
        <w:rPr>
          <w:iCs/>
          <w:sz w:val="22"/>
          <w:szCs w:val="22"/>
        </w:rPr>
        <w:t>monoterapii</w:t>
      </w:r>
      <w:proofErr w:type="spellEnd"/>
      <w:r w:rsidR="00556DD0" w:rsidRPr="00374521">
        <w:rPr>
          <w:iCs/>
          <w:sz w:val="22"/>
          <w:szCs w:val="22"/>
        </w:rPr>
        <w:t xml:space="preserve"> na </w:t>
      </w:r>
      <w:r w:rsidRPr="00374521">
        <w:rPr>
          <w:iCs/>
          <w:sz w:val="22"/>
          <w:szCs w:val="22"/>
        </w:rPr>
        <w:t xml:space="preserve">leczenie dawką </w:t>
      </w:r>
      <w:r w:rsidR="00556DD0" w:rsidRPr="00374521">
        <w:rPr>
          <w:iCs/>
          <w:sz w:val="22"/>
          <w:szCs w:val="22"/>
        </w:rPr>
        <w:t xml:space="preserve">złożoną u pacjentów, u których ciśnienie </w:t>
      </w:r>
      <w:r w:rsidRPr="00374521">
        <w:rPr>
          <w:iCs/>
          <w:sz w:val="22"/>
          <w:szCs w:val="22"/>
        </w:rPr>
        <w:t>nie</w:t>
      </w:r>
      <w:r w:rsidR="00556DD0" w:rsidRPr="00374521">
        <w:rPr>
          <w:iCs/>
          <w:sz w:val="22"/>
          <w:szCs w:val="22"/>
        </w:rPr>
        <w:t xml:space="preserve"> jest odpowiednio kontrolowane. </w:t>
      </w:r>
    </w:p>
    <w:p w14:paraId="0BCF6D4E" w14:textId="77777777" w:rsidR="00556DD0" w:rsidRPr="00374521" w:rsidRDefault="00556DD0" w:rsidP="00374521">
      <w:pPr>
        <w:autoSpaceDE w:val="0"/>
        <w:autoSpaceDN w:val="0"/>
        <w:adjustRightInd w:val="0"/>
        <w:rPr>
          <w:iCs/>
          <w:sz w:val="22"/>
          <w:szCs w:val="22"/>
        </w:rPr>
      </w:pPr>
    </w:p>
    <w:p w14:paraId="2FA10DAC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iCs/>
          <w:sz w:val="22"/>
          <w:szCs w:val="22"/>
        </w:rPr>
        <w:t xml:space="preserve">Zazwyczaj </w:t>
      </w:r>
      <w:r w:rsidR="000F7E06" w:rsidRPr="00374521">
        <w:rPr>
          <w:iCs/>
          <w:sz w:val="22"/>
          <w:szCs w:val="22"/>
        </w:rPr>
        <w:t xml:space="preserve">stosowana </w:t>
      </w:r>
      <w:r w:rsidRPr="00374521">
        <w:rPr>
          <w:iCs/>
          <w:sz w:val="22"/>
          <w:szCs w:val="22"/>
        </w:rPr>
        <w:t>dawk</w:t>
      </w:r>
      <w:r w:rsidR="000F7E06" w:rsidRPr="00374521">
        <w:rPr>
          <w:iCs/>
          <w:sz w:val="22"/>
          <w:szCs w:val="22"/>
        </w:rPr>
        <w:t>a</w:t>
      </w:r>
      <w:r w:rsidRPr="00374521">
        <w:rPr>
          <w:iCs/>
          <w:sz w:val="22"/>
          <w:szCs w:val="22"/>
        </w:rPr>
        <w:t xml:space="preserve"> podtrzymując</w:t>
      </w:r>
      <w:r w:rsidR="000F7E06" w:rsidRPr="00374521">
        <w:rPr>
          <w:iCs/>
          <w:sz w:val="22"/>
          <w:szCs w:val="22"/>
        </w:rPr>
        <w:t xml:space="preserve">a wynosi </w:t>
      </w:r>
      <w:r w:rsidRPr="00374521">
        <w:rPr>
          <w:iCs/>
          <w:sz w:val="22"/>
          <w:szCs w:val="22"/>
        </w:rPr>
        <w:t>jedn</w:t>
      </w:r>
      <w:r w:rsidR="000F7E06" w:rsidRPr="00374521">
        <w:rPr>
          <w:iCs/>
          <w:sz w:val="22"/>
          <w:szCs w:val="22"/>
        </w:rPr>
        <w:t>ą</w:t>
      </w:r>
      <w:r w:rsidRPr="00374521">
        <w:rPr>
          <w:iCs/>
          <w:sz w:val="22"/>
          <w:szCs w:val="22"/>
        </w:rPr>
        <w:t xml:space="preserve"> tabletk</w:t>
      </w:r>
      <w:r w:rsidR="000F7E06" w:rsidRPr="00374521">
        <w:rPr>
          <w:iCs/>
          <w:sz w:val="22"/>
          <w:szCs w:val="22"/>
        </w:rPr>
        <w:t xml:space="preserve">ę produktu </w:t>
      </w:r>
      <w:proofErr w:type="spellStart"/>
      <w:r w:rsidR="00EF7DC8" w:rsidRPr="00374521">
        <w:rPr>
          <w:color w:val="000000"/>
          <w:sz w:val="22"/>
          <w:szCs w:val="22"/>
        </w:rPr>
        <w:t>Presartan</w:t>
      </w:r>
      <w:proofErr w:type="spellEnd"/>
      <w:r w:rsidR="00EF7DC8" w:rsidRPr="00374521">
        <w:rPr>
          <w:color w:val="000000"/>
          <w:sz w:val="22"/>
          <w:szCs w:val="22"/>
        </w:rPr>
        <w:t xml:space="preserve"> H</w:t>
      </w:r>
      <w:r w:rsidR="000F7E06" w:rsidRPr="00374521">
        <w:rPr>
          <w:color w:val="000000"/>
          <w:sz w:val="22"/>
          <w:szCs w:val="22"/>
        </w:rPr>
        <w:t xml:space="preserve"> o mocy </w:t>
      </w:r>
      <w:r w:rsidRPr="00374521">
        <w:rPr>
          <w:sz w:val="22"/>
          <w:szCs w:val="22"/>
        </w:rPr>
        <w:t>50</w:t>
      </w:r>
      <w:r w:rsidR="000F7E06" w:rsidRPr="00374521">
        <w:rPr>
          <w:sz w:val="22"/>
          <w:szCs w:val="22"/>
        </w:rPr>
        <w:t> </w:t>
      </w:r>
      <w:r w:rsidRPr="00374521">
        <w:rPr>
          <w:sz w:val="22"/>
          <w:szCs w:val="22"/>
        </w:rPr>
        <w:t>mg</w:t>
      </w:r>
      <w:r w:rsidR="000F7E06" w:rsidRPr="00374521">
        <w:rPr>
          <w:sz w:val="22"/>
          <w:szCs w:val="22"/>
        </w:rPr>
        <w:t xml:space="preserve"> +</w:t>
      </w:r>
      <w:r w:rsidRPr="00374521">
        <w:rPr>
          <w:sz w:val="22"/>
          <w:szCs w:val="22"/>
        </w:rPr>
        <w:t xml:space="preserve"> 12,5</w:t>
      </w:r>
      <w:r w:rsidR="000F7E06" w:rsidRPr="00374521">
        <w:rPr>
          <w:sz w:val="22"/>
          <w:szCs w:val="22"/>
        </w:rPr>
        <w:t xml:space="preserve"> </w:t>
      </w:r>
      <w:r w:rsidRPr="00374521">
        <w:rPr>
          <w:sz w:val="22"/>
          <w:szCs w:val="22"/>
        </w:rPr>
        <w:t>mg</w:t>
      </w:r>
      <w:r w:rsidR="000F7E06" w:rsidRPr="00374521">
        <w:rPr>
          <w:sz w:val="22"/>
          <w:szCs w:val="22"/>
        </w:rPr>
        <w:t xml:space="preserve"> raz na dobę</w:t>
      </w:r>
      <w:r w:rsidRPr="00374521">
        <w:rPr>
          <w:sz w:val="22"/>
          <w:szCs w:val="22"/>
        </w:rPr>
        <w:t xml:space="preserve">. U pacjentów, </w:t>
      </w:r>
      <w:r w:rsidR="000F7E06" w:rsidRPr="00374521">
        <w:rPr>
          <w:sz w:val="22"/>
          <w:szCs w:val="22"/>
        </w:rPr>
        <w:t xml:space="preserve">u </w:t>
      </w:r>
      <w:r w:rsidRPr="00374521">
        <w:rPr>
          <w:sz w:val="22"/>
          <w:szCs w:val="22"/>
        </w:rPr>
        <w:t>któr</w:t>
      </w:r>
      <w:r w:rsidR="000F7E06" w:rsidRPr="00374521">
        <w:rPr>
          <w:sz w:val="22"/>
          <w:szCs w:val="22"/>
        </w:rPr>
        <w:t xml:space="preserve">ych nie uzyska się odpowiedniej reakcji na </w:t>
      </w:r>
      <w:r w:rsidR="000F7E06" w:rsidRPr="00374521">
        <w:rPr>
          <w:iCs/>
          <w:sz w:val="22"/>
          <w:szCs w:val="22"/>
        </w:rPr>
        <w:t xml:space="preserve">produkt </w:t>
      </w:r>
      <w:proofErr w:type="spellStart"/>
      <w:r w:rsidR="00EF7DC8" w:rsidRPr="00374521">
        <w:rPr>
          <w:color w:val="000000"/>
          <w:sz w:val="22"/>
          <w:szCs w:val="22"/>
        </w:rPr>
        <w:t>Presartan</w:t>
      </w:r>
      <w:proofErr w:type="spellEnd"/>
      <w:r w:rsidR="00EF7DC8" w:rsidRPr="00374521">
        <w:rPr>
          <w:color w:val="000000"/>
          <w:sz w:val="22"/>
          <w:szCs w:val="22"/>
        </w:rPr>
        <w:t xml:space="preserve"> H</w:t>
      </w:r>
      <w:r w:rsidR="000F7E06" w:rsidRPr="00374521">
        <w:rPr>
          <w:color w:val="000000"/>
          <w:sz w:val="22"/>
          <w:szCs w:val="22"/>
        </w:rPr>
        <w:t xml:space="preserve"> o mocy </w:t>
      </w:r>
      <w:r w:rsidR="000F7E06" w:rsidRPr="00374521">
        <w:rPr>
          <w:sz w:val="22"/>
          <w:szCs w:val="22"/>
        </w:rPr>
        <w:t xml:space="preserve">50 mg + 12,5 mg dawkę można zwiększyć i podawać </w:t>
      </w:r>
      <w:r w:rsidR="000F7E06" w:rsidRPr="00374521">
        <w:rPr>
          <w:iCs/>
          <w:sz w:val="22"/>
          <w:szCs w:val="22"/>
        </w:rPr>
        <w:t xml:space="preserve">jedną tabletkę produktu </w:t>
      </w:r>
      <w:proofErr w:type="spellStart"/>
      <w:r w:rsidR="00EF7DC8" w:rsidRPr="00374521">
        <w:rPr>
          <w:color w:val="000000"/>
          <w:sz w:val="22"/>
          <w:szCs w:val="22"/>
        </w:rPr>
        <w:t>Presartan</w:t>
      </w:r>
      <w:proofErr w:type="spellEnd"/>
      <w:r w:rsidR="00EF7DC8" w:rsidRPr="00374521">
        <w:rPr>
          <w:color w:val="000000"/>
          <w:sz w:val="22"/>
          <w:szCs w:val="22"/>
        </w:rPr>
        <w:t xml:space="preserve"> H</w:t>
      </w:r>
      <w:r w:rsidR="000F7E06" w:rsidRPr="00374521">
        <w:rPr>
          <w:color w:val="000000"/>
          <w:sz w:val="22"/>
          <w:szCs w:val="22"/>
        </w:rPr>
        <w:t xml:space="preserve"> o mocy </w:t>
      </w:r>
      <w:r w:rsidR="000F7E06" w:rsidRPr="00374521">
        <w:rPr>
          <w:sz w:val="22"/>
          <w:szCs w:val="22"/>
        </w:rPr>
        <w:t xml:space="preserve">100 mg + 25 mg raz na dobę. </w:t>
      </w:r>
      <w:r w:rsidRPr="00374521">
        <w:rPr>
          <w:sz w:val="22"/>
          <w:szCs w:val="22"/>
        </w:rPr>
        <w:t>Maksymaln</w:t>
      </w:r>
      <w:r w:rsidR="006015C6" w:rsidRPr="00374521">
        <w:rPr>
          <w:sz w:val="22"/>
          <w:szCs w:val="22"/>
        </w:rPr>
        <w:t>a</w:t>
      </w:r>
      <w:r w:rsidRPr="00374521">
        <w:rPr>
          <w:sz w:val="22"/>
          <w:szCs w:val="22"/>
        </w:rPr>
        <w:t xml:space="preserve"> dawk</w:t>
      </w:r>
      <w:r w:rsidR="006015C6" w:rsidRPr="00374521">
        <w:rPr>
          <w:sz w:val="22"/>
          <w:szCs w:val="22"/>
        </w:rPr>
        <w:t>a wynosi</w:t>
      </w:r>
      <w:r w:rsidR="00B960AD" w:rsidRPr="00374521">
        <w:rPr>
          <w:sz w:val="22"/>
          <w:szCs w:val="22"/>
        </w:rPr>
        <w:t>:</w:t>
      </w:r>
      <w:r w:rsidR="006015C6" w:rsidRPr="00374521">
        <w:rPr>
          <w:sz w:val="22"/>
          <w:szCs w:val="22"/>
        </w:rPr>
        <w:t xml:space="preserve"> </w:t>
      </w:r>
      <w:r w:rsidR="006015C6" w:rsidRPr="00374521">
        <w:rPr>
          <w:iCs/>
          <w:sz w:val="22"/>
          <w:szCs w:val="22"/>
        </w:rPr>
        <w:t>jedn</w:t>
      </w:r>
      <w:r w:rsidR="00B960AD" w:rsidRPr="00374521">
        <w:rPr>
          <w:iCs/>
          <w:sz w:val="22"/>
          <w:szCs w:val="22"/>
        </w:rPr>
        <w:t>a tabletka</w:t>
      </w:r>
      <w:r w:rsidR="006015C6" w:rsidRPr="00374521">
        <w:rPr>
          <w:iCs/>
          <w:sz w:val="22"/>
          <w:szCs w:val="22"/>
        </w:rPr>
        <w:t xml:space="preserve"> produktu </w:t>
      </w:r>
      <w:proofErr w:type="spellStart"/>
      <w:r w:rsidR="00EF7DC8" w:rsidRPr="00374521">
        <w:rPr>
          <w:color w:val="000000"/>
          <w:sz w:val="22"/>
          <w:szCs w:val="22"/>
        </w:rPr>
        <w:t>Presartan</w:t>
      </w:r>
      <w:proofErr w:type="spellEnd"/>
      <w:r w:rsidR="00EF7DC8" w:rsidRPr="00374521">
        <w:rPr>
          <w:color w:val="000000"/>
          <w:sz w:val="22"/>
          <w:szCs w:val="22"/>
        </w:rPr>
        <w:t xml:space="preserve"> H</w:t>
      </w:r>
      <w:r w:rsidR="006015C6" w:rsidRPr="00374521">
        <w:rPr>
          <w:color w:val="000000"/>
          <w:sz w:val="22"/>
          <w:szCs w:val="22"/>
        </w:rPr>
        <w:t xml:space="preserve"> o mocy </w:t>
      </w:r>
      <w:r w:rsidR="006015C6" w:rsidRPr="00374521">
        <w:rPr>
          <w:sz w:val="22"/>
          <w:szCs w:val="22"/>
        </w:rPr>
        <w:t>100 mg + 25 mg raz na dobę</w:t>
      </w:r>
      <w:r w:rsidRPr="00374521">
        <w:rPr>
          <w:sz w:val="22"/>
          <w:szCs w:val="22"/>
        </w:rPr>
        <w:t xml:space="preserve">. Ogólnie, działanie </w:t>
      </w:r>
      <w:proofErr w:type="spellStart"/>
      <w:r w:rsidR="006015C6" w:rsidRPr="00374521">
        <w:rPr>
          <w:sz w:val="22"/>
          <w:szCs w:val="22"/>
        </w:rPr>
        <w:t>przeciwnadciśnieniowe</w:t>
      </w:r>
      <w:proofErr w:type="spellEnd"/>
      <w:r w:rsidRPr="00374521">
        <w:rPr>
          <w:sz w:val="22"/>
          <w:szCs w:val="22"/>
        </w:rPr>
        <w:t xml:space="preserve"> występuje po trzech, czterech tygodniach od rozpoczęcia leczenia. </w:t>
      </w:r>
    </w:p>
    <w:p w14:paraId="50964C23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30F3AD96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  <w:u w:val="single"/>
        </w:rPr>
      </w:pPr>
      <w:r w:rsidRPr="00374521">
        <w:rPr>
          <w:color w:val="000000"/>
          <w:sz w:val="22"/>
          <w:szCs w:val="22"/>
          <w:u w:val="single"/>
        </w:rPr>
        <w:t>Stosowanie u pacjentów z zaburzeniami czynności nerek i hemodializowanych</w:t>
      </w:r>
    </w:p>
    <w:p w14:paraId="0F57294A" w14:textId="77777777" w:rsidR="00556DD0" w:rsidRPr="00374521" w:rsidRDefault="00556DD0" w:rsidP="00374521">
      <w:pPr>
        <w:pStyle w:val="Tytu"/>
        <w:jc w:val="left"/>
        <w:rPr>
          <w:b w:val="0"/>
          <w:bCs/>
          <w:sz w:val="22"/>
          <w:szCs w:val="22"/>
        </w:rPr>
      </w:pPr>
      <w:r w:rsidRPr="00374521">
        <w:rPr>
          <w:b w:val="0"/>
          <w:bCs/>
          <w:sz w:val="22"/>
          <w:szCs w:val="22"/>
        </w:rPr>
        <w:t xml:space="preserve">Nie ma konieczności </w:t>
      </w:r>
      <w:r w:rsidR="00EC2192" w:rsidRPr="00374521">
        <w:rPr>
          <w:b w:val="0"/>
          <w:bCs/>
          <w:sz w:val="22"/>
          <w:szCs w:val="22"/>
        </w:rPr>
        <w:t>dostosowania dawki początkowej</w:t>
      </w:r>
      <w:r w:rsidRPr="00374521">
        <w:rPr>
          <w:b w:val="0"/>
          <w:bCs/>
          <w:sz w:val="22"/>
          <w:szCs w:val="22"/>
        </w:rPr>
        <w:t xml:space="preserve"> u pacjentów z umiarkowanymi zaburzeniami czynności nerek </w:t>
      </w:r>
      <w:r w:rsidRPr="00C006D7">
        <w:rPr>
          <w:b w:val="0"/>
          <w:bCs/>
          <w:sz w:val="22"/>
          <w:szCs w:val="22"/>
        </w:rPr>
        <w:t>(</w:t>
      </w:r>
      <w:r w:rsidR="00EC2192" w:rsidRPr="00C006D7">
        <w:rPr>
          <w:b w:val="0"/>
          <w:bCs/>
          <w:sz w:val="22"/>
          <w:szCs w:val="22"/>
        </w:rPr>
        <w:t xml:space="preserve">tj. </w:t>
      </w:r>
      <w:proofErr w:type="spellStart"/>
      <w:r w:rsidRPr="00C006D7">
        <w:rPr>
          <w:b w:val="0"/>
          <w:bCs/>
          <w:sz w:val="22"/>
          <w:szCs w:val="22"/>
        </w:rPr>
        <w:t>klirens</w:t>
      </w:r>
      <w:proofErr w:type="spellEnd"/>
      <w:r w:rsidRPr="00C006D7">
        <w:rPr>
          <w:b w:val="0"/>
          <w:bCs/>
          <w:sz w:val="22"/>
          <w:szCs w:val="22"/>
        </w:rPr>
        <w:t xml:space="preserve"> kreatyniny 30-50 ml/min). </w:t>
      </w:r>
      <w:r w:rsidR="00EC2192" w:rsidRPr="00374521">
        <w:rPr>
          <w:b w:val="0"/>
          <w:bCs/>
          <w:sz w:val="22"/>
          <w:szCs w:val="22"/>
        </w:rPr>
        <w:t xml:space="preserve">Nie zaleca się stosowania </w:t>
      </w:r>
      <w:r w:rsidR="00EC2192" w:rsidRPr="00374521">
        <w:rPr>
          <w:b w:val="0"/>
          <w:iCs/>
          <w:sz w:val="22"/>
          <w:szCs w:val="22"/>
        </w:rPr>
        <w:t xml:space="preserve">produktu </w:t>
      </w:r>
      <w:proofErr w:type="spellStart"/>
      <w:r w:rsidR="00EF7DC8" w:rsidRPr="00374521">
        <w:rPr>
          <w:b w:val="0"/>
          <w:color w:val="000000"/>
          <w:sz w:val="22"/>
          <w:szCs w:val="22"/>
        </w:rPr>
        <w:t>Presartan</w:t>
      </w:r>
      <w:proofErr w:type="spellEnd"/>
      <w:r w:rsidR="00EF7DC8" w:rsidRPr="00374521">
        <w:rPr>
          <w:b w:val="0"/>
          <w:color w:val="000000"/>
          <w:sz w:val="22"/>
          <w:szCs w:val="22"/>
        </w:rPr>
        <w:t xml:space="preserve"> H</w:t>
      </w:r>
      <w:r w:rsidR="00EC2192" w:rsidRPr="00374521">
        <w:rPr>
          <w:b w:val="0"/>
          <w:color w:val="000000"/>
          <w:sz w:val="22"/>
          <w:szCs w:val="22"/>
        </w:rPr>
        <w:t xml:space="preserve"> </w:t>
      </w:r>
      <w:r w:rsidRPr="00374521">
        <w:rPr>
          <w:b w:val="0"/>
          <w:bCs/>
          <w:sz w:val="22"/>
          <w:szCs w:val="22"/>
        </w:rPr>
        <w:t xml:space="preserve">u pacjentów hemodializowanych. </w:t>
      </w:r>
      <w:r w:rsidR="00EC2192" w:rsidRPr="00374521">
        <w:rPr>
          <w:b w:val="0"/>
          <w:bCs/>
          <w:sz w:val="22"/>
          <w:szCs w:val="22"/>
        </w:rPr>
        <w:t>Nie wolno stosować</w:t>
      </w:r>
      <w:r w:rsidR="00EC2192" w:rsidRPr="00374521">
        <w:rPr>
          <w:iCs/>
          <w:sz w:val="22"/>
          <w:szCs w:val="22"/>
        </w:rPr>
        <w:t xml:space="preserve"> </w:t>
      </w:r>
      <w:r w:rsidR="00EC2192" w:rsidRPr="00374521">
        <w:rPr>
          <w:b w:val="0"/>
          <w:iCs/>
          <w:sz w:val="22"/>
          <w:szCs w:val="22"/>
        </w:rPr>
        <w:t xml:space="preserve">produktu </w:t>
      </w:r>
      <w:proofErr w:type="spellStart"/>
      <w:r w:rsidR="00EF7DC8" w:rsidRPr="00374521">
        <w:rPr>
          <w:b w:val="0"/>
          <w:color w:val="000000"/>
          <w:sz w:val="22"/>
          <w:szCs w:val="22"/>
        </w:rPr>
        <w:t>Presartan</w:t>
      </w:r>
      <w:proofErr w:type="spellEnd"/>
      <w:r w:rsidR="00EF7DC8" w:rsidRPr="00374521">
        <w:rPr>
          <w:b w:val="0"/>
          <w:color w:val="000000"/>
          <w:sz w:val="22"/>
          <w:szCs w:val="22"/>
        </w:rPr>
        <w:t xml:space="preserve"> H</w:t>
      </w:r>
      <w:r w:rsidR="00EC2192" w:rsidRPr="00374521">
        <w:rPr>
          <w:b w:val="0"/>
          <w:bCs/>
          <w:sz w:val="22"/>
          <w:szCs w:val="22"/>
        </w:rPr>
        <w:t xml:space="preserve"> u </w:t>
      </w:r>
      <w:r w:rsidRPr="00374521">
        <w:rPr>
          <w:b w:val="0"/>
          <w:bCs/>
          <w:sz w:val="22"/>
          <w:szCs w:val="22"/>
        </w:rPr>
        <w:t>pacjentów z ciężk</w:t>
      </w:r>
      <w:r w:rsidR="00B960AD" w:rsidRPr="00374521">
        <w:rPr>
          <w:b w:val="0"/>
          <w:bCs/>
          <w:sz w:val="22"/>
          <w:szCs w:val="22"/>
        </w:rPr>
        <w:t>ą</w:t>
      </w:r>
      <w:r w:rsidRPr="00374521">
        <w:rPr>
          <w:b w:val="0"/>
          <w:bCs/>
          <w:sz w:val="22"/>
          <w:szCs w:val="22"/>
        </w:rPr>
        <w:t xml:space="preserve"> </w:t>
      </w:r>
      <w:r w:rsidR="00B960AD" w:rsidRPr="00374521">
        <w:rPr>
          <w:b w:val="0"/>
          <w:bCs/>
          <w:sz w:val="22"/>
          <w:szCs w:val="22"/>
        </w:rPr>
        <w:t>niewydolnością</w:t>
      </w:r>
      <w:r w:rsidRPr="00374521">
        <w:rPr>
          <w:b w:val="0"/>
          <w:bCs/>
          <w:sz w:val="22"/>
          <w:szCs w:val="22"/>
        </w:rPr>
        <w:t xml:space="preserve"> nerek </w:t>
      </w:r>
      <w:r w:rsidRPr="00C006D7">
        <w:rPr>
          <w:b w:val="0"/>
          <w:bCs/>
          <w:sz w:val="22"/>
          <w:szCs w:val="22"/>
        </w:rPr>
        <w:t>(</w:t>
      </w:r>
      <w:r w:rsidR="00EC2192" w:rsidRPr="00C006D7">
        <w:rPr>
          <w:b w:val="0"/>
          <w:bCs/>
          <w:sz w:val="22"/>
          <w:szCs w:val="22"/>
        </w:rPr>
        <w:t xml:space="preserve">tj. </w:t>
      </w:r>
      <w:proofErr w:type="spellStart"/>
      <w:r w:rsidRPr="00C006D7">
        <w:rPr>
          <w:b w:val="0"/>
          <w:bCs/>
          <w:sz w:val="22"/>
          <w:szCs w:val="22"/>
        </w:rPr>
        <w:t>klirens</w:t>
      </w:r>
      <w:proofErr w:type="spellEnd"/>
      <w:r w:rsidRPr="00C006D7">
        <w:rPr>
          <w:b w:val="0"/>
          <w:bCs/>
          <w:sz w:val="22"/>
          <w:szCs w:val="22"/>
        </w:rPr>
        <w:t xml:space="preserve"> kreatyniny &lt;30 ml/min) </w:t>
      </w:r>
      <w:r w:rsidRPr="00374521">
        <w:rPr>
          <w:b w:val="0"/>
          <w:bCs/>
          <w:sz w:val="22"/>
          <w:szCs w:val="22"/>
        </w:rPr>
        <w:t>(patrz punkt 4.3).</w:t>
      </w:r>
    </w:p>
    <w:p w14:paraId="1DD7AE89" w14:textId="77777777" w:rsidR="00556DD0" w:rsidRPr="00374521" w:rsidRDefault="00556DD0" w:rsidP="00374521">
      <w:pPr>
        <w:pStyle w:val="Tytu"/>
        <w:jc w:val="left"/>
        <w:rPr>
          <w:b w:val="0"/>
          <w:bCs/>
          <w:sz w:val="22"/>
          <w:szCs w:val="22"/>
        </w:rPr>
      </w:pPr>
    </w:p>
    <w:p w14:paraId="764F8F83" w14:textId="77777777" w:rsidR="00556DD0" w:rsidRPr="00374521" w:rsidRDefault="00556DD0" w:rsidP="00374521">
      <w:pPr>
        <w:pStyle w:val="Tytu"/>
        <w:jc w:val="left"/>
        <w:rPr>
          <w:b w:val="0"/>
          <w:bCs/>
          <w:sz w:val="22"/>
          <w:szCs w:val="22"/>
          <w:u w:val="single"/>
        </w:rPr>
      </w:pPr>
      <w:r w:rsidRPr="00374521">
        <w:rPr>
          <w:b w:val="0"/>
          <w:color w:val="000000"/>
          <w:sz w:val="22"/>
          <w:szCs w:val="22"/>
          <w:u w:val="single"/>
        </w:rPr>
        <w:t xml:space="preserve">Stosowanie u pacjentów </w:t>
      </w:r>
      <w:r w:rsidRPr="00374521">
        <w:rPr>
          <w:b w:val="0"/>
          <w:bCs/>
          <w:sz w:val="22"/>
          <w:szCs w:val="22"/>
          <w:u w:val="single"/>
        </w:rPr>
        <w:t>z</w:t>
      </w:r>
      <w:r w:rsidR="00EC2192" w:rsidRPr="00374521">
        <w:rPr>
          <w:b w:val="0"/>
          <w:bCs/>
          <w:sz w:val="22"/>
          <w:szCs w:val="22"/>
          <w:u w:val="single"/>
        </w:rPr>
        <w:t>e zmniejszoną</w:t>
      </w:r>
      <w:r w:rsidRPr="00374521">
        <w:rPr>
          <w:b w:val="0"/>
          <w:bCs/>
          <w:sz w:val="22"/>
          <w:szCs w:val="22"/>
          <w:u w:val="single"/>
        </w:rPr>
        <w:t xml:space="preserve"> objętością wewnątrznaczyniową </w:t>
      </w:r>
    </w:p>
    <w:p w14:paraId="65419B4F" w14:textId="77777777" w:rsidR="00556DD0" w:rsidRPr="00374521" w:rsidRDefault="00EC2192" w:rsidP="00374521">
      <w:pPr>
        <w:pStyle w:val="Tytu"/>
        <w:jc w:val="left"/>
        <w:rPr>
          <w:b w:val="0"/>
          <w:bCs/>
          <w:sz w:val="22"/>
          <w:szCs w:val="22"/>
        </w:rPr>
      </w:pPr>
      <w:r w:rsidRPr="00374521">
        <w:rPr>
          <w:b w:val="0"/>
          <w:bCs/>
          <w:sz w:val="22"/>
          <w:szCs w:val="22"/>
        </w:rPr>
        <w:t>Należy wyrównać niedobór płynów i (lub)</w:t>
      </w:r>
      <w:r w:rsidR="00B960AD" w:rsidRPr="00374521">
        <w:rPr>
          <w:b w:val="0"/>
          <w:bCs/>
          <w:sz w:val="22"/>
          <w:szCs w:val="22"/>
        </w:rPr>
        <w:t xml:space="preserve"> sodu przed</w:t>
      </w:r>
      <w:r w:rsidR="00556DD0" w:rsidRPr="00374521">
        <w:rPr>
          <w:b w:val="0"/>
          <w:bCs/>
          <w:sz w:val="22"/>
          <w:szCs w:val="22"/>
        </w:rPr>
        <w:t xml:space="preserve"> rozpoczęciem podawania </w:t>
      </w:r>
      <w:r w:rsidRPr="00374521">
        <w:rPr>
          <w:b w:val="0"/>
          <w:iCs/>
          <w:sz w:val="22"/>
          <w:szCs w:val="22"/>
        </w:rPr>
        <w:t xml:space="preserve">produktu </w:t>
      </w:r>
      <w:proofErr w:type="spellStart"/>
      <w:r w:rsidR="00EF7DC8" w:rsidRPr="00374521">
        <w:rPr>
          <w:b w:val="0"/>
          <w:color w:val="000000"/>
          <w:sz w:val="22"/>
          <w:szCs w:val="22"/>
        </w:rPr>
        <w:t>Presartan</w:t>
      </w:r>
      <w:proofErr w:type="spellEnd"/>
      <w:r w:rsidR="00EF7DC8" w:rsidRPr="00374521">
        <w:rPr>
          <w:b w:val="0"/>
          <w:color w:val="000000"/>
          <w:sz w:val="22"/>
          <w:szCs w:val="22"/>
        </w:rPr>
        <w:t xml:space="preserve"> H</w:t>
      </w:r>
      <w:r w:rsidR="00556DD0" w:rsidRPr="00374521">
        <w:rPr>
          <w:b w:val="0"/>
          <w:bCs/>
          <w:sz w:val="22"/>
          <w:szCs w:val="22"/>
        </w:rPr>
        <w:t xml:space="preserve">. </w:t>
      </w:r>
    </w:p>
    <w:p w14:paraId="20F01652" w14:textId="77777777" w:rsidR="00556DD0" w:rsidRPr="00374521" w:rsidRDefault="00556DD0" w:rsidP="00374521">
      <w:pPr>
        <w:pStyle w:val="Tytu"/>
        <w:jc w:val="left"/>
        <w:rPr>
          <w:b w:val="0"/>
          <w:bCs/>
          <w:sz w:val="22"/>
          <w:szCs w:val="22"/>
        </w:rPr>
      </w:pPr>
    </w:p>
    <w:p w14:paraId="3594FB7E" w14:textId="77777777" w:rsidR="00556DD0" w:rsidRPr="00374521" w:rsidRDefault="00556DD0" w:rsidP="00374521">
      <w:pPr>
        <w:pStyle w:val="Tytu"/>
        <w:jc w:val="left"/>
        <w:rPr>
          <w:b w:val="0"/>
          <w:bCs/>
          <w:sz w:val="22"/>
          <w:szCs w:val="22"/>
          <w:u w:val="single"/>
        </w:rPr>
      </w:pPr>
      <w:r w:rsidRPr="00374521">
        <w:rPr>
          <w:b w:val="0"/>
          <w:color w:val="000000"/>
          <w:sz w:val="22"/>
          <w:szCs w:val="22"/>
          <w:u w:val="single"/>
        </w:rPr>
        <w:t>Stosowanie u pacjentów</w:t>
      </w:r>
      <w:r w:rsidRPr="00374521">
        <w:rPr>
          <w:b w:val="0"/>
          <w:bCs/>
          <w:sz w:val="22"/>
          <w:szCs w:val="22"/>
          <w:u w:val="single"/>
        </w:rPr>
        <w:t xml:space="preserve"> z zaburzeniami czynności wątroby</w:t>
      </w:r>
    </w:p>
    <w:p w14:paraId="2F80D0FD" w14:textId="77777777" w:rsidR="00556DD0" w:rsidRPr="00374521" w:rsidRDefault="00EC2192" w:rsidP="00374521">
      <w:pPr>
        <w:pStyle w:val="Tytu"/>
        <w:jc w:val="left"/>
        <w:rPr>
          <w:b w:val="0"/>
          <w:bCs/>
          <w:sz w:val="22"/>
          <w:szCs w:val="22"/>
        </w:rPr>
      </w:pPr>
      <w:r w:rsidRPr="00374521">
        <w:rPr>
          <w:b w:val="0"/>
          <w:bCs/>
          <w:sz w:val="22"/>
          <w:szCs w:val="22"/>
        </w:rPr>
        <w:t xml:space="preserve">Stosowanie produktu </w:t>
      </w:r>
      <w:proofErr w:type="spellStart"/>
      <w:r w:rsidR="00EF7DC8" w:rsidRPr="00374521">
        <w:rPr>
          <w:b w:val="0"/>
          <w:color w:val="000000"/>
          <w:sz w:val="22"/>
          <w:szCs w:val="22"/>
        </w:rPr>
        <w:t>Presartan</w:t>
      </w:r>
      <w:proofErr w:type="spellEnd"/>
      <w:r w:rsidR="00EF7DC8" w:rsidRPr="00374521">
        <w:rPr>
          <w:b w:val="0"/>
          <w:color w:val="000000"/>
          <w:sz w:val="22"/>
          <w:szCs w:val="22"/>
        </w:rPr>
        <w:t xml:space="preserve"> H</w:t>
      </w:r>
      <w:r w:rsidRPr="00374521">
        <w:rPr>
          <w:color w:val="000000"/>
          <w:sz w:val="22"/>
          <w:szCs w:val="22"/>
        </w:rPr>
        <w:t xml:space="preserve"> </w:t>
      </w:r>
      <w:r w:rsidR="00556DD0" w:rsidRPr="00374521">
        <w:rPr>
          <w:b w:val="0"/>
          <w:bCs/>
          <w:sz w:val="22"/>
          <w:szCs w:val="22"/>
        </w:rPr>
        <w:t>jest przeciwwskazan</w:t>
      </w:r>
      <w:r w:rsidRPr="00374521">
        <w:rPr>
          <w:b w:val="0"/>
          <w:bCs/>
          <w:sz w:val="22"/>
          <w:szCs w:val="22"/>
        </w:rPr>
        <w:t>e</w:t>
      </w:r>
      <w:r w:rsidR="00556DD0" w:rsidRPr="00374521">
        <w:rPr>
          <w:b w:val="0"/>
          <w:bCs/>
          <w:sz w:val="22"/>
          <w:szCs w:val="22"/>
        </w:rPr>
        <w:t xml:space="preserve"> u pacjentów z ciężkimi zaburzeniami czynności wątroby (patrz punkt 4.3).</w:t>
      </w:r>
    </w:p>
    <w:p w14:paraId="7BDE46EF" w14:textId="77777777" w:rsidR="00556DD0" w:rsidRPr="00374521" w:rsidRDefault="00556DD0" w:rsidP="00374521">
      <w:pPr>
        <w:pStyle w:val="Tytu"/>
        <w:jc w:val="left"/>
        <w:rPr>
          <w:b w:val="0"/>
          <w:bCs/>
          <w:i/>
          <w:sz w:val="22"/>
          <w:szCs w:val="22"/>
        </w:rPr>
      </w:pPr>
    </w:p>
    <w:p w14:paraId="1954348A" w14:textId="77777777" w:rsidR="00556DD0" w:rsidRPr="00374521" w:rsidRDefault="00556DD0" w:rsidP="00374521">
      <w:pPr>
        <w:pStyle w:val="Tytu"/>
        <w:jc w:val="left"/>
        <w:rPr>
          <w:b w:val="0"/>
          <w:bCs/>
          <w:sz w:val="22"/>
          <w:szCs w:val="22"/>
          <w:u w:val="single"/>
        </w:rPr>
      </w:pPr>
      <w:r w:rsidRPr="00374521">
        <w:rPr>
          <w:b w:val="0"/>
          <w:bCs/>
          <w:sz w:val="22"/>
          <w:szCs w:val="22"/>
          <w:u w:val="single"/>
        </w:rPr>
        <w:t>Stosowani</w:t>
      </w:r>
      <w:r w:rsidR="008509EA" w:rsidRPr="00374521">
        <w:rPr>
          <w:b w:val="0"/>
          <w:bCs/>
          <w:sz w:val="22"/>
          <w:szCs w:val="22"/>
          <w:u w:val="single"/>
        </w:rPr>
        <w:t>e</w:t>
      </w:r>
      <w:r w:rsidRPr="00374521">
        <w:rPr>
          <w:b w:val="0"/>
          <w:bCs/>
          <w:sz w:val="22"/>
          <w:szCs w:val="22"/>
          <w:u w:val="single"/>
        </w:rPr>
        <w:t xml:space="preserve"> u osób w podeszłym wieku</w:t>
      </w:r>
    </w:p>
    <w:p w14:paraId="4E705365" w14:textId="77777777" w:rsidR="00556DD0" w:rsidRPr="00374521" w:rsidRDefault="00EC2192" w:rsidP="00374521">
      <w:pPr>
        <w:pStyle w:val="Tytu"/>
        <w:jc w:val="left"/>
        <w:rPr>
          <w:b w:val="0"/>
          <w:bCs/>
          <w:sz w:val="22"/>
          <w:szCs w:val="22"/>
        </w:rPr>
      </w:pPr>
      <w:r w:rsidRPr="00374521">
        <w:rPr>
          <w:b w:val="0"/>
          <w:sz w:val="22"/>
          <w:szCs w:val="22"/>
        </w:rPr>
        <w:t>Zazwyczaj n</w:t>
      </w:r>
      <w:r w:rsidR="00556DD0" w:rsidRPr="00374521">
        <w:rPr>
          <w:b w:val="0"/>
          <w:sz w:val="22"/>
          <w:szCs w:val="22"/>
        </w:rPr>
        <w:t>ie ma konieczności dostosowywania dawki u pacjentów w podeszłym wieku.</w:t>
      </w:r>
    </w:p>
    <w:p w14:paraId="463C2B8C" w14:textId="77777777" w:rsidR="00556DD0" w:rsidRPr="00374521" w:rsidRDefault="00556DD0" w:rsidP="00374521">
      <w:pPr>
        <w:pStyle w:val="Tytu"/>
        <w:jc w:val="left"/>
        <w:rPr>
          <w:b w:val="0"/>
          <w:bCs/>
          <w:i/>
          <w:sz w:val="22"/>
          <w:szCs w:val="22"/>
        </w:rPr>
      </w:pPr>
    </w:p>
    <w:p w14:paraId="0D5F7C3E" w14:textId="77777777" w:rsidR="00556DD0" w:rsidRPr="00374521" w:rsidRDefault="00556DD0" w:rsidP="00374521">
      <w:pPr>
        <w:pStyle w:val="Tytu"/>
        <w:jc w:val="left"/>
        <w:rPr>
          <w:b w:val="0"/>
          <w:bCs/>
          <w:sz w:val="22"/>
          <w:szCs w:val="22"/>
          <w:u w:val="single"/>
        </w:rPr>
      </w:pPr>
      <w:r w:rsidRPr="00374521">
        <w:rPr>
          <w:b w:val="0"/>
          <w:bCs/>
          <w:sz w:val="22"/>
          <w:szCs w:val="22"/>
          <w:u w:val="single"/>
        </w:rPr>
        <w:t>Stosowani</w:t>
      </w:r>
      <w:r w:rsidR="008509EA" w:rsidRPr="00374521">
        <w:rPr>
          <w:b w:val="0"/>
          <w:bCs/>
          <w:sz w:val="22"/>
          <w:szCs w:val="22"/>
          <w:u w:val="single"/>
        </w:rPr>
        <w:t>e</w:t>
      </w:r>
      <w:r w:rsidRPr="00374521">
        <w:rPr>
          <w:b w:val="0"/>
          <w:bCs/>
          <w:sz w:val="22"/>
          <w:szCs w:val="22"/>
          <w:u w:val="single"/>
        </w:rPr>
        <w:t xml:space="preserve"> u dzieci i młodzieży (&lt;</w:t>
      </w:r>
      <w:r w:rsidR="00EC2192" w:rsidRPr="00374521">
        <w:rPr>
          <w:b w:val="0"/>
          <w:bCs/>
          <w:sz w:val="22"/>
          <w:szCs w:val="22"/>
          <w:u w:val="single"/>
        </w:rPr>
        <w:t xml:space="preserve"> </w:t>
      </w:r>
      <w:r w:rsidRPr="00374521">
        <w:rPr>
          <w:b w:val="0"/>
          <w:bCs/>
          <w:sz w:val="22"/>
          <w:szCs w:val="22"/>
          <w:u w:val="single"/>
        </w:rPr>
        <w:t xml:space="preserve">18 </w:t>
      </w:r>
      <w:r w:rsidR="00EC2192" w:rsidRPr="00374521">
        <w:rPr>
          <w:b w:val="0"/>
          <w:bCs/>
          <w:sz w:val="22"/>
          <w:szCs w:val="22"/>
          <w:u w:val="single"/>
        </w:rPr>
        <w:t>lat</w:t>
      </w:r>
      <w:r w:rsidRPr="00374521">
        <w:rPr>
          <w:b w:val="0"/>
          <w:bCs/>
          <w:sz w:val="22"/>
          <w:szCs w:val="22"/>
          <w:u w:val="single"/>
        </w:rPr>
        <w:t>)</w:t>
      </w:r>
    </w:p>
    <w:p w14:paraId="232E1CF5" w14:textId="77777777" w:rsidR="00556DD0" w:rsidRPr="00374521" w:rsidRDefault="00556DD0" w:rsidP="00374521">
      <w:pPr>
        <w:pStyle w:val="Tytu"/>
        <w:jc w:val="left"/>
        <w:rPr>
          <w:b w:val="0"/>
          <w:bCs/>
          <w:sz w:val="22"/>
          <w:szCs w:val="22"/>
        </w:rPr>
      </w:pPr>
      <w:r w:rsidRPr="00374521">
        <w:rPr>
          <w:b w:val="0"/>
          <w:bCs/>
          <w:sz w:val="22"/>
          <w:szCs w:val="22"/>
        </w:rPr>
        <w:t xml:space="preserve">Brak doświadczenia w stosowaniu </w:t>
      </w:r>
      <w:r w:rsidR="00EC2192" w:rsidRPr="00374521">
        <w:rPr>
          <w:b w:val="0"/>
          <w:bCs/>
          <w:sz w:val="22"/>
          <w:szCs w:val="22"/>
        </w:rPr>
        <w:t xml:space="preserve">produktu </w:t>
      </w:r>
      <w:r w:rsidRPr="00374521">
        <w:rPr>
          <w:b w:val="0"/>
          <w:bCs/>
          <w:sz w:val="22"/>
          <w:szCs w:val="22"/>
        </w:rPr>
        <w:t xml:space="preserve">u dzieci i młodzieży. Dlatego </w:t>
      </w:r>
      <w:r w:rsidR="00EC2192" w:rsidRPr="00374521">
        <w:rPr>
          <w:b w:val="0"/>
          <w:iCs/>
          <w:sz w:val="22"/>
          <w:szCs w:val="22"/>
        </w:rPr>
        <w:t xml:space="preserve">produktu </w:t>
      </w:r>
      <w:proofErr w:type="spellStart"/>
      <w:r w:rsidR="00EF7DC8" w:rsidRPr="00374521">
        <w:rPr>
          <w:b w:val="0"/>
          <w:color w:val="000000"/>
          <w:sz w:val="22"/>
          <w:szCs w:val="22"/>
        </w:rPr>
        <w:t>Presartan</w:t>
      </w:r>
      <w:proofErr w:type="spellEnd"/>
      <w:r w:rsidR="00EF7DC8" w:rsidRPr="00374521">
        <w:rPr>
          <w:b w:val="0"/>
          <w:color w:val="000000"/>
          <w:sz w:val="22"/>
          <w:szCs w:val="22"/>
        </w:rPr>
        <w:t xml:space="preserve"> H</w:t>
      </w:r>
      <w:r w:rsidR="00EC2192" w:rsidRPr="00374521">
        <w:rPr>
          <w:color w:val="000000"/>
          <w:sz w:val="22"/>
          <w:szCs w:val="22"/>
        </w:rPr>
        <w:t xml:space="preserve"> </w:t>
      </w:r>
      <w:r w:rsidRPr="00374521">
        <w:rPr>
          <w:b w:val="0"/>
          <w:bCs/>
          <w:sz w:val="22"/>
          <w:szCs w:val="22"/>
        </w:rPr>
        <w:t xml:space="preserve">nie </w:t>
      </w:r>
      <w:r w:rsidR="00EC2192" w:rsidRPr="00374521">
        <w:rPr>
          <w:b w:val="0"/>
          <w:bCs/>
          <w:sz w:val="22"/>
          <w:szCs w:val="22"/>
        </w:rPr>
        <w:t>należy</w:t>
      </w:r>
      <w:r w:rsidRPr="00374521">
        <w:rPr>
          <w:b w:val="0"/>
          <w:bCs/>
          <w:sz w:val="22"/>
          <w:szCs w:val="22"/>
        </w:rPr>
        <w:t xml:space="preserve"> podawa</w:t>
      </w:r>
      <w:r w:rsidR="00EC2192" w:rsidRPr="00374521">
        <w:rPr>
          <w:b w:val="0"/>
          <w:bCs/>
          <w:sz w:val="22"/>
          <w:szCs w:val="22"/>
        </w:rPr>
        <w:t>ć</w:t>
      </w:r>
      <w:r w:rsidRPr="00374521">
        <w:rPr>
          <w:b w:val="0"/>
          <w:bCs/>
          <w:sz w:val="22"/>
          <w:szCs w:val="22"/>
        </w:rPr>
        <w:t xml:space="preserve"> dzieciom i młodzieży. </w:t>
      </w:r>
    </w:p>
    <w:p w14:paraId="3B19B2F4" w14:textId="77777777" w:rsidR="0074625D" w:rsidRPr="00374521" w:rsidRDefault="0074625D" w:rsidP="00374521">
      <w:pPr>
        <w:pStyle w:val="Tytu"/>
        <w:jc w:val="left"/>
        <w:rPr>
          <w:b w:val="0"/>
          <w:bCs/>
          <w:sz w:val="22"/>
          <w:szCs w:val="22"/>
        </w:rPr>
      </w:pPr>
    </w:p>
    <w:p w14:paraId="63F30D36" w14:textId="77777777" w:rsidR="00556DD0" w:rsidRPr="00374521" w:rsidRDefault="00E33426" w:rsidP="00374521">
      <w:pPr>
        <w:tabs>
          <w:tab w:val="left" w:pos="540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374521">
        <w:rPr>
          <w:b/>
          <w:sz w:val="22"/>
          <w:szCs w:val="22"/>
        </w:rPr>
        <w:t>4.3</w:t>
      </w:r>
      <w:r w:rsidRPr="00374521">
        <w:rPr>
          <w:b/>
          <w:sz w:val="22"/>
          <w:szCs w:val="22"/>
        </w:rPr>
        <w:tab/>
      </w:r>
      <w:r w:rsidR="00556DD0" w:rsidRPr="00374521">
        <w:rPr>
          <w:b/>
          <w:bCs/>
          <w:sz w:val="22"/>
          <w:szCs w:val="22"/>
        </w:rPr>
        <w:t>Przeciwwskazania</w:t>
      </w:r>
    </w:p>
    <w:p w14:paraId="7E4EB0E6" w14:textId="77777777" w:rsidR="00556DD0" w:rsidRPr="00374521" w:rsidRDefault="00556DD0" w:rsidP="00374521">
      <w:pPr>
        <w:rPr>
          <w:b/>
          <w:bCs/>
          <w:sz w:val="22"/>
          <w:szCs w:val="22"/>
        </w:rPr>
      </w:pPr>
    </w:p>
    <w:p w14:paraId="2BE5510E" w14:textId="77777777" w:rsidR="00556DD0" w:rsidRPr="00374521" w:rsidRDefault="00556DD0" w:rsidP="00374521">
      <w:pPr>
        <w:numPr>
          <w:ilvl w:val="0"/>
          <w:numId w:val="27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rPr>
          <w:sz w:val="22"/>
          <w:szCs w:val="22"/>
        </w:rPr>
      </w:pPr>
      <w:r w:rsidRPr="00374521">
        <w:rPr>
          <w:sz w:val="22"/>
          <w:szCs w:val="22"/>
        </w:rPr>
        <w:t xml:space="preserve">nadwrażliwość na </w:t>
      </w:r>
      <w:proofErr w:type="spellStart"/>
      <w:r w:rsidR="00EC2192" w:rsidRPr="00374521">
        <w:rPr>
          <w:sz w:val="22"/>
          <w:szCs w:val="22"/>
        </w:rPr>
        <w:t>losartan</w:t>
      </w:r>
      <w:proofErr w:type="spellEnd"/>
      <w:r w:rsidRPr="00374521">
        <w:rPr>
          <w:sz w:val="22"/>
          <w:szCs w:val="22"/>
        </w:rPr>
        <w:t xml:space="preserve">, pochodne sulfonamidów (takie jak </w:t>
      </w:r>
      <w:proofErr w:type="spellStart"/>
      <w:r w:rsidRPr="00374521">
        <w:rPr>
          <w:sz w:val="22"/>
          <w:szCs w:val="22"/>
        </w:rPr>
        <w:t>hydrochlorotiazyd</w:t>
      </w:r>
      <w:proofErr w:type="spellEnd"/>
      <w:r w:rsidRPr="00374521">
        <w:rPr>
          <w:sz w:val="22"/>
          <w:szCs w:val="22"/>
        </w:rPr>
        <w:t xml:space="preserve">) </w:t>
      </w:r>
      <w:r w:rsidR="008B651E" w:rsidRPr="00374521">
        <w:rPr>
          <w:sz w:val="22"/>
          <w:szCs w:val="22"/>
        </w:rPr>
        <w:t>lub</w:t>
      </w:r>
      <w:r w:rsidRPr="00374521">
        <w:rPr>
          <w:sz w:val="22"/>
          <w:szCs w:val="22"/>
        </w:rPr>
        <w:t xml:space="preserve"> </w:t>
      </w:r>
      <w:r w:rsidR="008B651E" w:rsidRPr="00374521">
        <w:rPr>
          <w:sz w:val="22"/>
          <w:szCs w:val="22"/>
        </w:rPr>
        <w:t xml:space="preserve">na </w:t>
      </w:r>
      <w:r w:rsidR="00010693" w:rsidRPr="00374521">
        <w:rPr>
          <w:sz w:val="22"/>
          <w:szCs w:val="22"/>
        </w:rPr>
        <w:t>którąkolwiek substancj</w:t>
      </w:r>
      <w:r w:rsidR="008B651E" w:rsidRPr="00374521">
        <w:rPr>
          <w:sz w:val="22"/>
          <w:szCs w:val="22"/>
        </w:rPr>
        <w:t>ę</w:t>
      </w:r>
      <w:r w:rsidR="00010693" w:rsidRPr="00374521">
        <w:rPr>
          <w:sz w:val="22"/>
          <w:szCs w:val="22"/>
        </w:rPr>
        <w:t xml:space="preserve"> pomocnicz</w:t>
      </w:r>
      <w:r w:rsidR="008B651E" w:rsidRPr="00374521">
        <w:rPr>
          <w:sz w:val="22"/>
          <w:szCs w:val="22"/>
        </w:rPr>
        <w:t>ą wymienioną w punkcie 6.1</w:t>
      </w:r>
      <w:r w:rsidR="00010693" w:rsidRPr="00374521">
        <w:rPr>
          <w:sz w:val="22"/>
          <w:szCs w:val="22"/>
        </w:rPr>
        <w:t xml:space="preserve"> </w:t>
      </w:r>
    </w:p>
    <w:p w14:paraId="17635656" w14:textId="77777777" w:rsidR="00556DD0" w:rsidRPr="00374521" w:rsidRDefault="00010693" w:rsidP="00374521">
      <w:pPr>
        <w:numPr>
          <w:ilvl w:val="0"/>
          <w:numId w:val="27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rPr>
          <w:sz w:val="22"/>
          <w:szCs w:val="22"/>
        </w:rPr>
      </w:pPr>
      <w:r w:rsidRPr="00374521">
        <w:rPr>
          <w:sz w:val="22"/>
          <w:szCs w:val="22"/>
        </w:rPr>
        <w:t>hipokaliemia lub hiperkalcemia oporna na leczenie</w:t>
      </w:r>
    </w:p>
    <w:p w14:paraId="58F3E952" w14:textId="77777777" w:rsidR="00556DD0" w:rsidRPr="00374521" w:rsidRDefault="00556DD0" w:rsidP="00374521">
      <w:pPr>
        <w:numPr>
          <w:ilvl w:val="0"/>
          <w:numId w:val="27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rPr>
          <w:sz w:val="22"/>
          <w:szCs w:val="22"/>
        </w:rPr>
      </w:pPr>
      <w:r w:rsidRPr="00374521">
        <w:rPr>
          <w:sz w:val="22"/>
          <w:szCs w:val="22"/>
        </w:rPr>
        <w:t>ciężk</w:t>
      </w:r>
      <w:r w:rsidR="00010693" w:rsidRPr="00374521">
        <w:rPr>
          <w:sz w:val="22"/>
          <w:szCs w:val="22"/>
        </w:rPr>
        <w:t>ie</w:t>
      </w:r>
      <w:r w:rsidRPr="00374521">
        <w:rPr>
          <w:sz w:val="22"/>
          <w:szCs w:val="22"/>
        </w:rPr>
        <w:t xml:space="preserve"> </w:t>
      </w:r>
      <w:r w:rsidR="00010693" w:rsidRPr="00374521">
        <w:rPr>
          <w:sz w:val="22"/>
          <w:szCs w:val="22"/>
        </w:rPr>
        <w:t xml:space="preserve">zaburzenia czynności </w:t>
      </w:r>
      <w:r w:rsidRPr="00374521">
        <w:rPr>
          <w:sz w:val="22"/>
          <w:szCs w:val="22"/>
        </w:rPr>
        <w:t>wątroby</w:t>
      </w:r>
      <w:r w:rsidR="00010693" w:rsidRPr="00374521">
        <w:rPr>
          <w:sz w:val="22"/>
          <w:szCs w:val="22"/>
        </w:rPr>
        <w:t>;</w:t>
      </w:r>
      <w:r w:rsidRPr="00374521">
        <w:rPr>
          <w:sz w:val="22"/>
          <w:szCs w:val="22"/>
        </w:rPr>
        <w:t xml:space="preserve"> </w:t>
      </w:r>
      <w:proofErr w:type="spellStart"/>
      <w:r w:rsidRPr="00374521">
        <w:rPr>
          <w:sz w:val="22"/>
          <w:szCs w:val="22"/>
        </w:rPr>
        <w:t>cholestaza</w:t>
      </w:r>
      <w:proofErr w:type="spellEnd"/>
      <w:r w:rsidRPr="00374521">
        <w:rPr>
          <w:sz w:val="22"/>
          <w:szCs w:val="22"/>
        </w:rPr>
        <w:t xml:space="preserve"> i zastój żółci</w:t>
      </w:r>
    </w:p>
    <w:p w14:paraId="204AE4F4" w14:textId="77777777" w:rsidR="00556DD0" w:rsidRPr="00374521" w:rsidRDefault="00556DD0" w:rsidP="00374521">
      <w:pPr>
        <w:numPr>
          <w:ilvl w:val="0"/>
          <w:numId w:val="27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rPr>
          <w:sz w:val="22"/>
          <w:szCs w:val="22"/>
        </w:rPr>
      </w:pPr>
      <w:r w:rsidRPr="00374521">
        <w:rPr>
          <w:sz w:val="22"/>
          <w:szCs w:val="22"/>
        </w:rPr>
        <w:t>hiponatremia</w:t>
      </w:r>
      <w:r w:rsidR="00010693" w:rsidRPr="00374521">
        <w:rPr>
          <w:sz w:val="22"/>
          <w:szCs w:val="22"/>
        </w:rPr>
        <w:t xml:space="preserve"> oporna na leczenie</w:t>
      </w:r>
    </w:p>
    <w:p w14:paraId="743E2946" w14:textId="77777777" w:rsidR="00556DD0" w:rsidRPr="00374521" w:rsidRDefault="00556DD0" w:rsidP="00374521">
      <w:pPr>
        <w:numPr>
          <w:ilvl w:val="0"/>
          <w:numId w:val="27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rPr>
          <w:sz w:val="22"/>
          <w:szCs w:val="22"/>
        </w:rPr>
      </w:pPr>
      <w:proofErr w:type="spellStart"/>
      <w:r w:rsidRPr="00374521">
        <w:rPr>
          <w:sz w:val="22"/>
          <w:szCs w:val="22"/>
        </w:rPr>
        <w:t>hiperurykemia</w:t>
      </w:r>
      <w:proofErr w:type="spellEnd"/>
      <w:r w:rsidR="00010693" w:rsidRPr="00374521">
        <w:rPr>
          <w:sz w:val="22"/>
          <w:szCs w:val="22"/>
        </w:rPr>
        <w:t xml:space="preserve"> objawowa</w:t>
      </w:r>
      <w:r w:rsidRPr="00374521">
        <w:rPr>
          <w:sz w:val="22"/>
          <w:szCs w:val="22"/>
        </w:rPr>
        <w:t>/</w:t>
      </w:r>
      <w:r w:rsidR="00010693" w:rsidRPr="00374521">
        <w:rPr>
          <w:sz w:val="22"/>
          <w:szCs w:val="22"/>
        </w:rPr>
        <w:t>dna</w:t>
      </w:r>
      <w:r w:rsidRPr="00374521">
        <w:rPr>
          <w:sz w:val="22"/>
          <w:szCs w:val="22"/>
        </w:rPr>
        <w:t xml:space="preserve"> </w:t>
      </w:r>
    </w:p>
    <w:p w14:paraId="0FC24AF5" w14:textId="77777777" w:rsidR="00556DD0" w:rsidRPr="00374521" w:rsidRDefault="00556DD0" w:rsidP="00374521">
      <w:pPr>
        <w:numPr>
          <w:ilvl w:val="0"/>
          <w:numId w:val="27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rPr>
          <w:sz w:val="22"/>
          <w:szCs w:val="22"/>
        </w:rPr>
      </w:pPr>
      <w:r w:rsidRPr="00374521">
        <w:rPr>
          <w:sz w:val="22"/>
          <w:szCs w:val="22"/>
        </w:rPr>
        <w:t>drugi i trzeci trymestr ciąży (patrz punkt 4.4 i 4.6)</w:t>
      </w:r>
    </w:p>
    <w:p w14:paraId="2BC25B78" w14:textId="77777777" w:rsidR="00556DD0" w:rsidRPr="00374521" w:rsidRDefault="00010693" w:rsidP="00374521">
      <w:pPr>
        <w:numPr>
          <w:ilvl w:val="0"/>
          <w:numId w:val="27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rPr>
          <w:sz w:val="22"/>
          <w:szCs w:val="22"/>
        </w:rPr>
      </w:pPr>
      <w:r w:rsidRPr="00374521">
        <w:rPr>
          <w:sz w:val="22"/>
          <w:szCs w:val="22"/>
        </w:rPr>
        <w:t xml:space="preserve">ciężkie zaburzenia czynności </w:t>
      </w:r>
      <w:r w:rsidR="00556DD0" w:rsidRPr="00374521">
        <w:rPr>
          <w:sz w:val="22"/>
          <w:szCs w:val="22"/>
        </w:rPr>
        <w:t>nerek (</w:t>
      </w:r>
      <w:r w:rsidRPr="00374521">
        <w:rPr>
          <w:sz w:val="22"/>
          <w:szCs w:val="22"/>
        </w:rPr>
        <w:t xml:space="preserve">tj. </w:t>
      </w:r>
      <w:proofErr w:type="spellStart"/>
      <w:r w:rsidR="00556DD0" w:rsidRPr="00C006D7">
        <w:rPr>
          <w:sz w:val="22"/>
          <w:szCs w:val="22"/>
        </w:rPr>
        <w:t>klirens</w:t>
      </w:r>
      <w:proofErr w:type="spellEnd"/>
      <w:r w:rsidR="00556DD0" w:rsidRPr="00C006D7">
        <w:rPr>
          <w:sz w:val="22"/>
          <w:szCs w:val="22"/>
        </w:rPr>
        <w:t xml:space="preserve"> kreatyniny &lt;30 ml/min</w:t>
      </w:r>
      <w:r w:rsidR="00556DD0" w:rsidRPr="00374521">
        <w:rPr>
          <w:sz w:val="22"/>
          <w:szCs w:val="22"/>
        </w:rPr>
        <w:t>)</w:t>
      </w:r>
    </w:p>
    <w:p w14:paraId="5A3BC27D" w14:textId="77777777" w:rsidR="00556DD0" w:rsidRPr="00374521" w:rsidRDefault="00556DD0" w:rsidP="00374521">
      <w:pPr>
        <w:numPr>
          <w:ilvl w:val="0"/>
          <w:numId w:val="27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rPr>
          <w:sz w:val="22"/>
          <w:szCs w:val="22"/>
        </w:rPr>
      </w:pPr>
      <w:r w:rsidRPr="00374521">
        <w:rPr>
          <w:sz w:val="22"/>
          <w:szCs w:val="22"/>
        </w:rPr>
        <w:t>bezmocz</w:t>
      </w:r>
    </w:p>
    <w:p w14:paraId="41A12295" w14:textId="77777777" w:rsidR="00601395" w:rsidRPr="00374521" w:rsidRDefault="00601395" w:rsidP="00374521">
      <w:pPr>
        <w:numPr>
          <w:ilvl w:val="0"/>
          <w:numId w:val="27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rPr>
          <w:sz w:val="22"/>
          <w:szCs w:val="22"/>
        </w:rPr>
      </w:pPr>
      <w:r w:rsidRPr="00374521">
        <w:rPr>
          <w:sz w:val="22"/>
          <w:szCs w:val="22"/>
        </w:rPr>
        <w:t>jednoczesne stosowanie produktu</w:t>
      </w:r>
      <w:r w:rsidR="00D3503F" w:rsidRPr="00374521">
        <w:rPr>
          <w:sz w:val="22"/>
          <w:szCs w:val="22"/>
        </w:rPr>
        <w:t xml:space="preserve"> leczniczego</w:t>
      </w:r>
      <w:r w:rsidRPr="00374521">
        <w:rPr>
          <w:sz w:val="22"/>
          <w:szCs w:val="22"/>
        </w:rPr>
        <w:t xml:space="preserve"> </w:t>
      </w:r>
      <w:proofErr w:type="spellStart"/>
      <w:r w:rsidRPr="00374521">
        <w:rPr>
          <w:sz w:val="22"/>
          <w:szCs w:val="22"/>
        </w:rPr>
        <w:t>Presartan</w:t>
      </w:r>
      <w:proofErr w:type="spellEnd"/>
      <w:r w:rsidRPr="00374521">
        <w:rPr>
          <w:sz w:val="22"/>
          <w:szCs w:val="22"/>
        </w:rPr>
        <w:t xml:space="preserve"> H z produktami zawierającymi </w:t>
      </w:r>
      <w:proofErr w:type="spellStart"/>
      <w:r w:rsidRPr="00374521">
        <w:rPr>
          <w:sz w:val="22"/>
          <w:szCs w:val="22"/>
        </w:rPr>
        <w:t>aliskiren</w:t>
      </w:r>
      <w:proofErr w:type="spellEnd"/>
      <w:r w:rsidRPr="00374521">
        <w:rPr>
          <w:sz w:val="22"/>
          <w:szCs w:val="22"/>
        </w:rPr>
        <w:t xml:space="preserve"> u pacjentów z cukrzycą lub zaburzeniem czynności nerek (współczynnik </w:t>
      </w:r>
      <w:r w:rsidR="00015873">
        <w:rPr>
          <w:sz w:val="22"/>
          <w:szCs w:val="22"/>
        </w:rPr>
        <w:t xml:space="preserve">przesączania </w:t>
      </w:r>
      <w:r w:rsidRPr="00374521">
        <w:rPr>
          <w:sz w:val="22"/>
          <w:szCs w:val="22"/>
        </w:rPr>
        <w:t>kłębuszkowe</w:t>
      </w:r>
      <w:r w:rsidR="00015873">
        <w:rPr>
          <w:sz w:val="22"/>
          <w:szCs w:val="22"/>
        </w:rPr>
        <w:t>go</w:t>
      </w:r>
      <w:r w:rsidRPr="00374521">
        <w:rPr>
          <w:sz w:val="22"/>
          <w:szCs w:val="22"/>
        </w:rPr>
        <w:t>, GFR&lt;60 ml/min/1,73 m</w:t>
      </w:r>
      <w:r w:rsidRPr="00374521">
        <w:rPr>
          <w:sz w:val="22"/>
          <w:szCs w:val="22"/>
          <w:vertAlign w:val="superscript"/>
        </w:rPr>
        <w:t>2</w:t>
      </w:r>
      <w:r w:rsidRPr="00374521">
        <w:rPr>
          <w:sz w:val="22"/>
          <w:szCs w:val="22"/>
        </w:rPr>
        <w:t>) (patrz punkty 4.5 i 5.1).</w:t>
      </w:r>
    </w:p>
    <w:p w14:paraId="5DB87A8E" w14:textId="77777777" w:rsidR="0074625D" w:rsidRPr="00374521" w:rsidRDefault="0074625D" w:rsidP="00374521">
      <w:pPr>
        <w:tabs>
          <w:tab w:val="left" w:pos="708"/>
          <w:tab w:val="left" w:pos="3600"/>
        </w:tabs>
        <w:autoSpaceDE w:val="0"/>
        <w:autoSpaceDN w:val="0"/>
        <w:adjustRightInd w:val="0"/>
        <w:rPr>
          <w:sz w:val="22"/>
          <w:szCs w:val="22"/>
        </w:rPr>
      </w:pPr>
    </w:p>
    <w:p w14:paraId="09427DEB" w14:textId="77777777" w:rsidR="00556DD0" w:rsidRPr="00374521" w:rsidRDefault="00E33426" w:rsidP="00374521">
      <w:pPr>
        <w:tabs>
          <w:tab w:val="left" w:pos="540"/>
        </w:tabs>
        <w:autoSpaceDE w:val="0"/>
        <w:autoSpaceDN w:val="0"/>
        <w:adjustRightInd w:val="0"/>
        <w:rPr>
          <w:b/>
          <w:sz w:val="22"/>
          <w:szCs w:val="22"/>
        </w:rPr>
      </w:pPr>
      <w:r w:rsidRPr="00374521">
        <w:rPr>
          <w:b/>
          <w:sz w:val="22"/>
          <w:szCs w:val="22"/>
        </w:rPr>
        <w:t>4.4</w:t>
      </w:r>
      <w:r w:rsidRPr="00374521">
        <w:rPr>
          <w:b/>
          <w:sz w:val="22"/>
          <w:szCs w:val="22"/>
        </w:rPr>
        <w:tab/>
      </w:r>
      <w:r w:rsidR="00556DD0" w:rsidRPr="00374521">
        <w:rPr>
          <w:b/>
          <w:sz w:val="22"/>
          <w:szCs w:val="22"/>
        </w:rPr>
        <w:t>Specjalne ostrzeżenia i środki ostrożności dotyczące stosowania</w:t>
      </w:r>
    </w:p>
    <w:p w14:paraId="56E55C2A" w14:textId="77777777" w:rsidR="00556DD0" w:rsidRPr="00374521" w:rsidRDefault="00556DD0" w:rsidP="00374521">
      <w:pPr>
        <w:pStyle w:val="Tekstpodstawowy3"/>
        <w:rPr>
          <w:sz w:val="22"/>
          <w:szCs w:val="22"/>
        </w:rPr>
      </w:pPr>
    </w:p>
    <w:p w14:paraId="380D8F26" w14:textId="77777777" w:rsidR="00556DD0" w:rsidRPr="00374521" w:rsidRDefault="00556DD0" w:rsidP="00374521">
      <w:pPr>
        <w:autoSpaceDE w:val="0"/>
        <w:autoSpaceDN w:val="0"/>
        <w:adjustRightInd w:val="0"/>
        <w:rPr>
          <w:iCs/>
          <w:sz w:val="22"/>
          <w:szCs w:val="22"/>
          <w:u w:val="single"/>
        </w:rPr>
      </w:pPr>
      <w:proofErr w:type="spellStart"/>
      <w:r w:rsidRPr="00374521">
        <w:rPr>
          <w:iCs/>
          <w:sz w:val="22"/>
          <w:szCs w:val="22"/>
          <w:u w:val="single"/>
        </w:rPr>
        <w:t>Losartan</w:t>
      </w:r>
      <w:proofErr w:type="spellEnd"/>
    </w:p>
    <w:p w14:paraId="7B39811D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681B2D58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Obrzęk naczynioruchowy</w:t>
      </w:r>
    </w:p>
    <w:p w14:paraId="75A773E3" w14:textId="77777777" w:rsidR="00556DD0" w:rsidRPr="00374521" w:rsidRDefault="00B960AD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 xml:space="preserve">Pacjenci z obrzękiem naczynioruchowym w </w:t>
      </w:r>
      <w:r w:rsidR="00556DD0" w:rsidRPr="00374521">
        <w:rPr>
          <w:sz w:val="22"/>
          <w:szCs w:val="22"/>
        </w:rPr>
        <w:t xml:space="preserve">wywiadzie (obrzęk twarzy, </w:t>
      </w:r>
      <w:r w:rsidR="00010693" w:rsidRPr="00374521">
        <w:rPr>
          <w:sz w:val="22"/>
          <w:szCs w:val="22"/>
        </w:rPr>
        <w:t>warg</w:t>
      </w:r>
      <w:r w:rsidR="00556DD0" w:rsidRPr="00374521">
        <w:rPr>
          <w:sz w:val="22"/>
          <w:szCs w:val="22"/>
        </w:rPr>
        <w:t>, gardła i</w:t>
      </w:r>
      <w:r w:rsidR="00010693" w:rsidRPr="00374521">
        <w:rPr>
          <w:sz w:val="22"/>
          <w:szCs w:val="22"/>
        </w:rPr>
        <w:t xml:space="preserve"> (</w:t>
      </w:r>
      <w:r w:rsidR="00556DD0" w:rsidRPr="00374521">
        <w:rPr>
          <w:sz w:val="22"/>
          <w:szCs w:val="22"/>
        </w:rPr>
        <w:t>lub</w:t>
      </w:r>
      <w:r w:rsidR="00010693" w:rsidRPr="00374521">
        <w:rPr>
          <w:sz w:val="22"/>
          <w:szCs w:val="22"/>
        </w:rPr>
        <w:t>)</w:t>
      </w:r>
      <w:r w:rsidR="00556DD0" w:rsidRPr="00374521">
        <w:rPr>
          <w:sz w:val="22"/>
          <w:szCs w:val="22"/>
        </w:rPr>
        <w:t xml:space="preserve"> języka) </w:t>
      </w:r>
      <w:r w:rsidRPr="00374521">
        <w:rPr>
          <w:sz w:val="22"/>
          <w:szCs w:val="22"/>
        </w:rPr>
        <w:t xml:space="preserve">powinni pozostawać pod ścisłą obserwacją </w:t>
      </w:r>
      <w:r w:rsidR="00556DD0" w:rsidRPr="00374521">
        <w:rPr>
          <w:sz w:val="22"/>
          <w:szCs w:val="22"/>
        </w:rPr>
        <w:t xml:space="preserve">(patrz punkt 4.8). </w:t>
      </w:r>
    </w:p>
    <w:p w14:paraId="3415D363" w14:textId="77777777" w:rsidR="00C91EC9" w:rsidRDefault="00C91EC9" w:rsidP="00374521">
      <w:pPr>
        <w:autoSpaceDE w:val="0"/>
        <w:autoSpaceDN w:val="0"/>
        <w:adjustRightInd w:val="0"/>
        <w:rPr>
          <w:i/>
          <w:sz w:val="22"/>
          <w:szCs w:val="22"/>
        </w:rPr>
      </w:pPr>
    </w:p>
    <w:p w14:paraId="445B439F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 xml:space="preserve">Niedociśnienie i zmniejszona objętość </w:t>
      </w:r>
      <w:r w:rsidR="00010693" w:rsidRPr="00374521">
        <w:rPr>
          <w:i/>
          <w:sz w:val="22"/>
          <w:szCs w:val="22"/>
        </w:rPr>
        <w:t>wewnątrznaczyniowa</w:t>
      </w:r>
      <w:r w:rsidRPr="00374521">
        <w:rPr>
          <w:i/>
          <w:sz w:val="22"/>
          <w:szCs w:val="22"/>
        </w:rPr>
        <w:t xml:space="preserve"> </w:t>
      </w:r>
    </w:p>
    <w:p w14:paraId="7C3E0F9D" w14:textId="77777777" w:rsidR="00556DD0" w:rsidRPr="00374521" w:rsidRDefault="007148E2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lastRenderedPageBreak/>
        <w:t>Niedociśnienie objawowe, szczególnie po podaniu pierwszej dawki, może wystąpić u pacjentów ze zmniej</w:t>
      </w:r>
      <w:r w:rsidR="00556DD0" w:rsidRPr="00374521">
        <w:rPr>
          <w:sz w:val="22"/>
          <w:szCs w:val="22"/>
        </w:rPr>
        <w:t xml:space="preserve">szoną objętością </w:t>
      </w:r>
      <w:r w:rsidR="0045467D" w:rsidRPr="00374521">
        <w:rPr>
          <w:sz w:val="22"/>
          <w:szCs w:val="22"/>
        </w:rPr>
        <w:t>wewnątrznaczyniową</w:t>
      </w:r>
      <w:r w:rsidR="00556DD0" w:rsidRPr="00374521">
        <w:rPr>
          <w:sz w:val="22"/>
          <w:szCs w:val="22"/>
        </w:rPr>
        <w:t xml:space="preserve"> i</w:t>
      </w:r>
      <w:r w:rsidR="0045467D" w:rsidRPr="00374521">
        <w:rPr>
          <w:sz w:val="22"/>
          <w:szCs w:val="22"/>
        </w:rPr>
        <w:t xml:space="preserve"> (</w:t>
      </w:r>
      <w:r w:rsidR="00556DD0" w:rsidRPr="00374521">
        <w:rPr>
          <w:sz w:val="22"/>
          <w:szCs w:val="22"/>
        </w:rPr>
        <w:t>lub</w:t>
      </w:r>
      <w:r w:rsidR="0045467D" w:rsidRPr="00374521">
        <w:rPr>
          <w:sz w:val="22"/>
          <w:szCs w:val="22"/>
        </w:rPr>
        <w:t>)</w:t>
      </w:r>
      <w:r w:rsidR="00556DD0" w:rsidRPr="00374521">
        <w:rPr>
          <w:sz w:val="22"/>
          <w:szCs w:val="22"/>
        </w:rPr>
        <w:t xml:space="preserve"> z niedoborem sodu na skutek intensywnego leczenia moczopędnego, </w:t>
      </w:r>
      <w:r w:rsidR="0045467D" w:rsidRPr="00374521">
        <w:rPr>
          <w:sz w:val="22"/>
          <w:szCs w:val="22"/>
        </w:rPr>
        <w:t xml:space="preserve">diety z </w:t>
      </w:r>
      <w:r w:rsidR="00556DD0" w:rsidRPr="00374521">
        <w:rPr>
          <w:sz w:val="22"/>
          <w:szCs w:val="22"/>
        </w:rPr>
        <w:t>ograniczeni</w:t>
      </w:r>
      <w:r w:rsidR="0045467D" w:rsidRPr="00374521">
        <w:rPr>
          <w:sz w:val="22"/>
          <w:szCs w:val="22"/>
        </w:rPr>
        <w:t>em soli</w:t>
      </w:r>
      <w:r w:rsidR="00556DD0" w:rsidRPr="00374521">
        <w:rPr>
          <w:sz w:val="22"/>
          <w:szCs w:val="22"/>
        </w:rPr>
        <w:t xml:space="preserve">, biegunki </w:t>
      </w:r>
      <w:r w:rsidR="0045467D" w:rsidRPr="00374521">
        <w:rPr>
          <w:sz w:val="22"/>
          <w:szCs w:val="22"/>
        </w:rPr>
        <w:t xml:space="preserve">lub </w:t>
      </w:r>
      <w:r w:rsidR="00556DD0" w:rsidRPr="00374521">
        <w:rPr>
          <w:sz w:val="22"/>
          <w:szCs w:val="22"/>
        </w:rPr>
        <w:t xml:space="preserve">wymiotów. Takie niedobory należy wyrównać przed </w:t>
      </w:r>
      <w:r w:rsidR="0045467D" w:rsidRPr="00374521">
        <w:rPr>
          <w:sz w:val="22"/>
          <w:szCs w:val="22"/>
        </w:rPr>
        <w:t xml:space="preserve">rozpoczęciem leczenia </w:t>
      </w:r>
      <w:proofErr w:type="spellStart"/>
      <w:r w:rsidR="008E1BD1">
        <w:rPr>
          <w:sz w:val="22"/>
          <w:szCs w:val="22"/>
        </w:rPr>
        <w:t>losartanem</w:t>
      </w:r>
      <w:proofErr w:type="spellEnd"/>
      <w:r w:rsidR="0045467D" w:rsidRPr="00374521">
        <w:rPr>
          <w:sz w:val="22"/>
          <w:szCs w:val="22"/>
        </w:rPr>
        <w:t xml:space="preserve"> </w:t>
      </w:r>
      <w:r w:rsidR="00556DD0" w:rsidRPr="00374521">
        <w:rPr>
          <w:sz w:val="22"/>
          <w:szCs w:val="22"/>
        </w:rPr>
        <w:t>(patrz punkt</w:t>
      </w:r>
      <w:r w:rsidR="0045467D" w:rsidRPr="00374521">
        <w:rPr>
          <w:sz w:val="22"/>
          <w:szCs w:val="22"/>
        </w:rPr>
        <w:t>y</w:t>
      </w:r>
      <w:r w:rsidR="00556DD0" w:rsidRPr="00374521">
        <w:rPr>
          <w:sz w:val="22"/>
          <w:szCs w:val="22"/>
        </w:rPr>
        <w:t xml:space="preserve"> 4.2 i 4.3). </w:t>
      </w:r>
    </w:p>
    <w:p w14:paraId="73E9E69A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6F40A9CA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Zaburzenia równowagi elektrolitowej</w:t>
      </w:r>
    </w:p>
    <w:p w14:paraId="1EBE905D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 xml:space="preserve">Zaburzenia elektrolitowe </w:t>
      </w:r>
      <w:r w:rsidR="007148E2" w:rsidRPr="00374521">
        <w:rPr>
          <w:sz w:val="22"/>
          <w:szCs w:val="22"/>
        </w:rPr>
        <w:t>występują często</w:t>
      </w:r>
      <w:r w:rsidRPr="00374521">
        <w:rPr>
          <w:sz w:val="22"/>
          <w:szCs w:val="22"/>
        </w:rPr>
        <w:t xml:space="preserve"> u osób z zaburzeniami czynności nerek, z cukrzyc</w:t>
      </w:r>
      <w:r w:rsidR="0045467D" w:rsidRPr="00374521">
        <w:rPr>
          <w:sz w:val="22"/>
          <w:szCs w:val="22"/>
        </w:rPr>
        <w:t>ą</w:t>
      </w:r>
      <w:r w:rsidRPr="00374521">
        <w:rPr>
          <w:sz w:val="22"/>
          <w:szCs w:val="22"/>
        </w:rPr>
        <w:t xml:space="preserve"> lub bez cukrzycy</w:t>
      </w:r>
      <w:r w:rsidR="0045467D" w:rsidRPr="00374521">
        <w:rPr>
          <w:sz w:val="22"/>
          <w:szCs w:val="22"/>
        </w:rPr>
        <w:t xml:space="preserve"> i należy je wyrównać</w:t>
      </w:r>
      <w:r w:rsidRPr="00374521">
        <w:rPr>
          <w:sz w:val="22"/>
          <w:szCs w:val="22"/>
        </w:rPr>
        <w:t xml:space="preserve">. Dlatego </w:t>
      </w:r>
      <w:r w:rsidR="0045467D" w:rsidRPr="00374521">
        <w:rPr>
          <w:sz w:val="22"/>
          <w:szCs w:val="22"/>
        </w:rPr>
        <w:t>należy</w:t>
      </w:r>
      <w:r w:rsidR="007148E2" w:rsidRPr="00374521">
        <w:rPr>
          <w:sz w:val="22"/>
          <w:szCs w:val="22"/>
        </w:rPr>
        <w:t xml:space="preserve"> ściśle</w:t>
      </w:r>
      <w:r w:rsidR="0045467D" w:rsidRPr="00374521">
        <w:rPr>
          <w:sz w:val="22"/>
          <w:szCs w:val="22"/>
        </w:rPr>
        <w:t xml:space="preserve"> monitorować stężenie</w:t>
      </w:r>
      <w:r w:rsidRPr="00374521">
        <w:rPr>
          <w:sz w:val="22"/>
          <w:szCs w:val="22"/>
        </w:rPr>
        <w:t xml:space="preserve"> potasu w osoczu oraz wartości </w:t>
      </w:r>
      <w:proofErr w:type="spellStart"/>
      <w:r w:rsidRPr="00374521">
        <w:rPr>
          <w:sz w:val="22"/>
          <w:szCs w:val="22"/>
        </w:rPr>
        <w:t>klirensu</w:t>
      </w:r>
      <w:proofErr w:type="spellEnd"/>
      <w:r w:rsidRPr="00374521">
        <w:rPr>
          <w:sz w:val="22"/>
          <w:szCs w:val="22"/>
        </w:rPr>
        <w:t xml:space="preserve"> kreatyniny; szczególnie </w:t>
      </w:r>
      <w:r w:rsidR="0045467D" w:rsidRPr="00374521">
        <w:rPr>
          <w:sz w:val="22"/>
          <w:szCs w:val="22"/>
        </w:rPr>
        <w:t>dotyczy to</w:t>
      </w:r>
      <w:r w:rsidRPr="00374521">
        <w:rPr>
          <w:sz w:val="22"/>
          <w:szCs w:val="22"/>
        </w:rPr>
        <w:t xml:space="preserve"> pacjentów z niewydolnością serca i </w:t>
      </w:r>
      <w:proofErr w:type="spellStart"/>
      <w:r w:rsidRPr="00C006D7">
        <w:rPr>
          <w:sz w:val="22"/>
          <w:szCs w:val="22"/>
        </w:rPr>
        <w:t>klirensem</w:t>
      </w:r>
      <w:proofErr w:type="spellEnd"/>
      <w:r w:rsidRPr="00C006D7">
        <w:rPr>
          <w:sz w:val="22"/>
          <w:szCs w:val="22"/>
        </w:rPr>
        <w:t xml:space="preserve"> kreatyniny pomiędzy 30 – 50 ml/min</w:t>
      </w:r>
      <w:r w:rsidRPr="00374521">
        <w:rPr>
          <w:sz w:val="22"/>
          <w:szCs w:val="22"/>
        </w:rPr>
        <w:t xml:space="preserve">. </w:t>
      </w:r>
    </w:p>
    <w:p w14:paraId="0FB4FB82" w14:textId="77777777" w:rsidR="00556DD0" w:rsidRPr="00374521" w:rsidRDefault="0045467D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Nie zaleca się j</w:t>
      </w:r>
      <w:r w:rsidR="00556DD0" w:rsidRPr="00374521">
        <w:rPr>
          <w:sz w:val="22"/>
          <w:szCs w:val="22"/>
        </w:rPr>
        <w:t>ednoczesne</w:t>
      </w:r>
      <w:r w:rsidRPr="00374521">
        <w:rPr>
          <w:sz w:val="22"/>
          <w:szCs w:val="22"/>
        </w:rPr>
        <w:t>go</w:t>
      </w:r>
      <w:r w:rsidR="00556DD0" w:rsidRPr="00374521">
        <w:rPr>
          <w:sz w:val="22"/>
          <w:szCs w:val="22"/>
        </w:rPr>
        <w:t xml:space="preserve"> przyjmowani</w:t>
      </w:r>
      <w:r w:rsidR="0088439E" w:rsidRPr="00374521">
        <w:rPr>
          <w:sz w:val="22"/>
          <w:szCs w:val="22"/>
        </w:rPr>
        <w:t>a</w:t>
      </w:r>
      <w:r w:rsidR="00556DD0" w:rsidRPr="00374521">
        <w:rPr>
          <w:sz w:val="22"/>
          <w:szCs w:val="22"/>
        </w:rPr>
        <w:t xml:space="preserve"> </w:t>
      </w:r>
      <w:r w:rsidR="007148E2" w:rsidRPr="00374521">
        <w:rPr>
          <w:sz w:val="22"/>
          <w:szCs w:val="22"/>
        </w:rPr>
        <w:t xml:space="preserve">produktu </w:t>
      </w:r>
      <w:proofErr w:type="spellStart"/>
      <w:r w:rsidR="007148E2" w:rsidRPr="00374521">
        <w:rPr>
          <w:sz w:val="22"/>
          <w:szCs w:val="22"/>
        </w:rPr>
        <w:t>Presartan</w:t>
      </w:r>
      <w:proofErr w:type="spellEnd"/>
      <w:r w:rsidR="007148E2" w:rsidRPr="00374521">
        <w:rPr>
          <w:sz w:val="22"/>
          <w:szCs w:val="22"/>
        </w:rPr>
        <w:t xml:space="preserve"> H z </w:t>
      </w:r>
      <w:r w:rsidRPr="00374521">
        <w:rPr>
          <w:sz w:val="22"/>
          <w:szCs w:val="22"/>
        </w:rPr>
        <w:t>lek</w:t>
      </w:r>
      <w:r w:rsidR="007148E2" w:rsidRPr="00374521">
        <w:rPr>
          <w:sz w:val="22"/>
          <w:szCs w:val="22"/>
        </w:rPr>
        <w:t>ami</w:t>
      </w:r>
      <w:r w:rsidRPr="00374521">
        <w:rPr>
          <w:sz w:val="22"/>
          <w:szCs w:val="22"/>
        </w:rPr>
        <w:t xml:space="preserve"> moczopędny</w:t>
      </w:r>
      <w:r w:rsidR="007148E2" w:rsidRPr="00374521">
        <w:rPr>
          <w:sz w:val="22"/>
          <w:szCs w:val="22"/>
        </w:rPr>
        <w:t>mi</w:t>
      </w:r>
      <w:r w:rsidRPr="00374521">
        <w:rPr>
          <w:sz w:val="22"/>
          <w:szCs w:val="22"/>
        </w:rPr>
        <w:t xml:space="preserve"> </w:t>
      </w:r>
      <w:r w:rsidR="007148E2" w:rsidRPr="00374521">
        <w:rPr>
          <w:sz w:val="22"/>
          <w:szCs w:val="22"/>
        </w:rPr>
        <w:t>oszczędzającymi</w:t>
      </w:r>
      <w:r w:rsidR="00556DD0" w:rsidRPr="00374521">
        <w:rPr>
          <w:sz w:val="22"/>
          <w:szCs w:val="22"/>
        </w:rPr>
        <w:t xml:space="preserve"> potas, suplement</w:t>
      </w:r>
      <w:r w:rsidR="007148E2" w:rsidRPr="00374521">
        <w:rPr>
          <w:sz w:val="22"/>
          <w:szCs w:val="22"/>
        </w:rPr>
        <w:t>ami</w:t>
      </w:r>
      <w:r w:rsidR="00556DD0" w:rsidRPr="00374521">
        <w:rPr>
          <w:sz w:val="22"/>
          <w:szCs w:val="22"/>
        </w:rPr>
        <w:t xml:space="preserve"> potasu </w:t>
      </w:r>
      <w:r w:rsidRPr="00374521">
        <w:rPr>
          <w:sz w:val="22"/>
          <w:szCs w:val="22"/>
        </w:rPr>
        <w:t xml:space="preserve">i </w:t>
      </w:r>
      <w:r w:rsidR="00556DD0" w:rsidRPr="00374521">
        <w:rPr>
          <w:sz w:val="22"/>
          <w:szCs w:val="22"/>
        </w:rPr>
        <w:t>substytut</w:t>
      </w:r>
      <w:r w:rsidR="007148E2" w:rsidRPr="00374521">
        <w:rPr>
          <w:sz w:val="22"/>
          <w:szCs w:val="22"/>
        </w:rPr>
        <w:t>ami</w:t>
      </w:r>
      <w:r w:rsidR="00556DD0" w:rsidRPr="00374521">
        <w:rPr>
          <w:sz w:val="22"/>
          <w:szCs w:val="22"/>
        </w:rPr>
        <w:t xml:space="preserve"> soli zawierający</w:t>
      </w:r>
      <w:r w:rsidR="007148E2" w:rsidRPr="00374521">
        <w:rPr>
          <w:sz w:val="22"/>
          <w:szCs w:val="22"/>
        </w:rPr>
        <w:t>mi</w:t>
      </w:r>
      <w:r w:rsidR="00556DD0" w:rsidRPr="00374521">
        <w:rPr>
          <w:sz w:val="22"/>
          <w:szCs w:val="22"/>
        </w:rPr>
        <w:t xml:space="preserve"> potas (patrz punkt 4.5). </w:t>
      </w:r>
    </w:p>
    <w:p w14:paraId="2D2154CA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72BE8373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Zaburzenia czynności wątroby</w:t>
      </w:r>
    </w:p>
    <w:p w14:paraId="11C5CA37" w14:textId="77777777" w:rsidR="00556DD0" w:rsidRPr="00374521" w:rsidRDefault="0088439E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U pacjentów z łagodnymi do umiarkowanych zaburzeniami czynności wątroby w wywiadzie</w:t>
      </w:r>
      <w:r w:rsidR="007148E2" w:rsidRPr="00374521">
        <w:rPr>
          <w:sz w:val="22"/>
          <w:szCs w:val="22"/>
        </w:rPr>
        <w:t>,</w:t>
      </w:r>
      <w:r w:rsidRPr="00374521">
        <w:rPr>
          <w:sz w:val="22"/>
          <w:szCs w:val="22"/>
        </w:rPr>
        <w:t xml:space="preserve"> produkt </w:t>
      </w:r>
      <w:proofErr w:type="spellStart"/>
      <w:r w:rsidR="00EF7DC8" w:rsidRPr="00374521">
        <w:rPr>
          <w:color w:val="000000"/>
          <w:sz w:val="22"/>
          <w:szCs w:val="22"/>
        </w:rPr>
        <w:t>Presartan</w:t>
      </w:r>
      <w:proofErr w:type="spellEnd"/>
      <w:r w:rsidR="00EF7DC8" w:rsidRPr="00374521">
        <w:rPr>
          <w:color w:val="000000"/>
          <w:sz w:val="22"/>
          <w:szCs w:val="22"/>
        </w:rPr>
        <w:t xml:space="preserve"> H</w:t>
      </w:r>
      <w:r w:rsidRPr="00374521">
        <w:rPr>
          <w:sz w:val="22"/>
          <w:szCs w:val="22"/>
        </w:rPr>
        <w:t xml:space="preserve"> należy stosować ostrożnie, ponieważ </w:t>
      </w:r>
      <w:r w:rsidR="00556DD0" w:rsidRPr="00374521">
        <w:rPr>
          <w:sz w:val="22"/>
          <w:szCs w:val="22"/>
        </w:rPr>
        <w:t>dane farmako</w:t>
      </w:r>
      <w:r w:rsidR="007148E2" w:rsidRPr="00374521">
        <w:rPr>
          <w:sz w:val="22"/>
          <w:szCs w:val="22"/>
        </w:rPr>
        <w:t>kinetyczne</w:t>
      </w:r>
      <w:r w:rsidR="00556DD0" w:rsidRPr="00374521">
        <w:rPr>
          <w:sz w:val="22"/>
          <w:szCs w:val="22"/>
        </w:rPr>
        <w:t xml:space="preserve"> wykazują znaczne zwiększenie stężenia </w:t>
      </w:r>
      <w:proofErr w:type="spellStart"/>
      <w:r w:rsidR="00556DD0" w:rsidRPr="00374521">
        <w:rPr>
          <w:sz w:val="22"/>
          <w:szCs w:val="22"/>
        </w:rPr>
        <w:t>losartanu</w:t>
      </w:r>
      <w:proofErr w:type="spellEnd"/>
      <w:r w:rsidR="00556DD0" w:rsidRPr="00374521">
        <w:rPr>
          <w:sz w:val="22"/>
          <w:szCs w:val="22"/>
        </w:rPr>
        <w:t xml:space="preserve"> w osoczu u pacjentów z marskością wątroby. Brak doświadcze</w:t>
      </w:r>
      <w:r w:rsidRPr="00374521">
        <w:rPr>
          <w:sz w:val="22"/>
          <w:szCs w:val="22"/>
        </w:rPr>
        <w:t>nia</w:t>
      </w:r>
      <w:r w:rsidR="00556DD0" w:rsidRPr="00374521">
        <w:rPr>
          <w:sz w:val="22"/>
          <w:szCs w:val="22"/>
        </w:rPr>
        <w:t xml:space="preserve"> terapeutyczn</w:t>
      </w:r>
      <w:r w:rsidRPr="00374521">
        <w:rPr>
          <w:sz w:val="22"/>
          <w:szCs w:val="22"/>
        </w:rPr>
        <w:t>ego odnośnie</w:t>
      </w:r>
      <w:r w:rsidR="00556DD0" w:rsidRPr="00374521">
        <w:rPr>
          <w:sz w:val="22"/>
          <w:szCs w:val="22"/>
        </w:rPr>
        <w:t xml:space="preserve"> leczeni</w:t>
      </w:r>
      <w:r w:rsidRPr="00374521">
        <w:rPr>
          <w:sz w:val="22"/>
          <w:szCs w:val="22"/>
        </w:rPr>
        <w:t>a</w:t>
      </w:r>
      <w:r w:rsidR="00556DD0" w:rsidRPr="00374521">
        <w:rPr>
          <w:sz w:val="22"/>
          <w:szCs w:val="22"/>
        </w:rPr>
        <w:t xml:space="preserve"> </w:t>
      </w:r>
      <w:proofErr w:type="spellStart"/>
      <w:r w:rsidR="00556DD0" w:rsidRPr="00374521">
        <w:rPr>
          <w:sz w:val="22"/>
          <w:szCs w:val="22"/>
        </w:rPr>
        <w:t>losartanem</w:t>
      </w:r>
      <w:proofErr w:type="spellEnd"/>
      <w:r w:rsidR="00556DD0" w:rsidRPr="00374521">
        <w:rPr>
          <w:sz w:val="22"/>
          <w:szCs w:val="22"/>
        </w:rPr>
        <w:t xml:space="preserve"> pacjentów z ciężkim</w:t>
      </w:r>
      <w:r w:rsidRPr="00374521">
        <w:rPr>
          <w:sz w:val="22"/>
          <w:szCs w:val="22"/>
        </w:rPr>
        <w:t xml:space="preserve">i zaburzeniami czynności </w:t>
      </w:r>
      <w:r w:rsidR="00556DD0" w:rsidRPr="00374521">
        <w:rPr>
          <w:sz w:val="22"/>
          <w:szCs w:val="22"/>
        </w:rPr>
        <w:t xml:space="preserve">wątroby. Dlatego </w:t>
      </w:r>
      <w:r w:rsidRPr="00374521">
        <w:rPr>
          <w:sz w:val="22"/>
          <w:szCs w:val="22"/>
        </w:rPr>
        <w:t xml:space="preserve">stosowanie produktu </w:t>
      </w:r>
      <w:proofErr w:type="spellStart"/>
      <w:r w:rsidR="00EF7DC8" w:rsidRPr="00374521">
        <w:rPr>
          <w:color w:val="000000"/>
          <w:sz w:val="22"/>
          <w:szCs w:val="22"/>
        </w:rPr>
        <w:t>Presartan</w:t>
      </w:r>
      <w:proofErr w:type="spellEnd"/>
      <w:r w:rsidR="00EF7DC8" w:rsidRPr="00374521">
        <w:rPr>
          <w:color w:val="000000"/>
          <w:sz w:val="22"/>
          <w:szCs w:val="22"/>
        </w:rPr>
        <w:t xml:space="preserve"> H</w:t>
      </w:r>
      <w:r w:rsidRPr="00374521">
        <w:rPr>
          <w:sz w:val="22"/>
          <w:szCs w:val="22"/>
        </w:rPr>
        <w:t xml:space="preserve"> </w:t>
      </w:r>
      <w:r w:rsidR="00556DD0" w:rsidRPr="00374521">
        <w:rPr>
          <w:sz w:val="22"/>
          <w:szCs w:val="22"/>
        </w:rPr>
        <w:t>jest przeciwwskazan</w:t>
      </w:r>
      <w:r w:rsidRPr="00374521">
        <w:rPr>
          <w:sz w:val="22"/>
          <w:szCs w:val="22"/>
        </w:rPr>
        <w:t>e</w:t>
      </w:r>
      <w:r w:rsidR="00556DD0" w:rsidRPr="00374521">
        <w:rPr>
          <w:sz w:val="22"/>
          <w:szCs w:val="22"/>
        </w:rPr>
        <w:t xml:space="preserve"> u pacjentów z ciężkimi zaburzeniami czynności wątroby (patrz punkt</w:t>
      </w:r>
      <w:r w:rsidRPr="00374521">
        <w:rPr>
          <w:sz w:val="22"/>
          <w:szCs w:val="22"/>
        </w:rPr>
        <w:t>y</w:t>
      </w:r>
      <w:r w:rsidR="00556DD0" w:rsidRPr="00374521">
        <w:rPr>
          <w:sz w:val="22"/>
          <w:szCs w:val="22"/>
        </w:rPr>
        <w:t xml:space="preserve"> 4.2, 4.3 oraz 5.2). </w:t>
      </w:r>
    </w:p>
    <w:p w14:paraId="6BEB6822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</w:p>
    <w:p w14:paraId="4106DD7B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Zaburzenia czynności nerek</w:t>
      </w:r>
    </w:p>
    <w:p w14:paraId="3F6B9EB6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W następstwie zahamowania aktywności układu renina-angiotensyna-aldosteron obserwowano zaburzenia czynności nerek</w:t>
      </w:r>
      <w:r w:rsidR="0088439E" w:rsidRPr="00374521">
        <w:rPr>
          <w:sz w:val="22"/>
          <w:szCs w:val="22"/>
        </w:rPr>
        <w:t>, w tym</w:t>
      </w:r>
      <w:r w:rsidRPr="00374521">
        <w:rPr>
          <w:sz w:val="22"/>
          <w:szCs w:val="22"/>
        </w:rPr>
        <w:t xml:space="preserve"> niewydolnoś</w:t>
      </w:r>
      <w:r w:rsidR="0088439E" w:rsidRPr="00374521">
        <w:rPr>
          <w:sz w:val="22"/>
          <w:szCs w:val="22"/>
        </w:rPr>
        <w:t>ć</w:t>
      </w:r>
      <w:r w:rsidRPr="00374521">
        <w:rPr>
          <w:sz w:val="22"/>
          <w:szCs w:val="22"/>
        </w:rPr>
        <w:t xml:space="preserve"> nerek (szczególnie u pacjentów, u których czynnoś</w:t>
      </w:r>
      <w:r w:rsidR="0088439E" w:rsidRPr="00374521">
        <w:rPr>
          <w:sz w:val="22"/>
          <w:szCs w:val="22"/>
        </w:rPr>
        <w:t>ć</w:t>
      </w:r>
      <w:r w:rsidRPr="00374521">
        <w:rPr>
          <w:sz w:val="22"/>
          <w:szCs w:val="22"/>
        </w:rPr>
        <w:t xml:space="preserve"> nerek zależy od aktywności układu renina-angiotensyna-aldosteron, takich jak </w:t>
      </w:r>
      <w:r w:rsidR="0088439E" w:rsidRPr="00374521">
        <w:rPr>
          <w:sz w:val="22"/>
          <w:szCs w:val="22"/>
        </w:rPr>
        <w:t xml:space="preserve">pacjenci </w:t>
      </w:r>
      <w:r w:rsidRPr="00374521">
        <w:rPr>
          <w:sz w:val="22"/>
          <w:szCs w:val="22"/>
        </w:rPr>
        <w:t>z ciężką niewydolnością serca lub wcześniej występującymi zaburzeniami czynności nerek</w:t>
      </w:r>
      <w:r w:rsidR="0088439E" w:rsidRPr="00374521">
        <w:rPr>
          <w:sz w:val="22"/>
          <w:szCs w:val="22"/>
        </w:rPr>
        <w:t>)</w:t>
      </w:r>
      <w:r w:rsidRPr="00374521">
        <w:rPr>
          <w:sz w:val="22"/>
          <w:szCs w:val="22"/>
        </w:rPr>
        <w:t xml:space="preserve">. </w:t>
      </w:r>
    </w:p>
    <w:p w14:paraId="1EB47C98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 xml:space="preserve">Podobnie jak w przypadku innych leków wpływających na układ renina-angiotensyna-aldosteron obserwowano również zwiększenie stężenia mocznika oraz kreatyniny w surowicy krwi u pacjentów z obustronnym zwężeniem tętnic nerkowych lub zwężeniem tętnicy jedynej </w:t>
      </w:r>
      <w:r w:rsidR="0035467A" w:rsidRPr="00374521">
        <w:rPr>
          <w:sz w:val="22"/>
          <w:szCs w:val="22"/>
        </w:rPr>
        <w:t xml:space="preserve">czynnej </w:t>
      </w:r>
      <w:r w:rsidRPr="00374521">
        <w:rPr>
          <w:sz w:val="22"/>
          <w:szCs w:val="22"/>
        </w:rPr>
        <w:t xml:space="preserve">nerki; te zmiany czynności nerek mogą ustępować po odstawieniu leku. </w:t>
      </w:r>
      <w:proofErr w:type="spellStart"/>
      <w:r w:rsidRPr="00374521">
        <w:rPr>
          <w:sz w:val="22"/>
          <w:szCs w:val="22"/>
        </w:rPr>
        <w:t>Losartan</w:t>
      </w:r>
      <w:proofErr w:type="spellEnd"/>
      <w:r w:rsidRPr="00374521">
        <w:rPr>
          <w:sz w:val="22"/>
          <w:szCs w:val="22"/>
        </w:rPr>
        <w:t xml:space="preserve"> należy stosować ostrożnie u pacjentów z obustronnym zwężeniem tętnic nerkowych lub zwężeniem tętnicy jedynej </w:t>
      </w:r>
      <w:r w:rsidR="0035467A" w:rsidRPr="00374521">
        <w:rPr>
          <w:sz w:val="22"/>
          <w:szCs w:val="22"/>
        </w:rPr>
        <w:t xml:space="preserve">czynnej </w:t>
      </w:r>
      <w:r w:rsidRPr="00374521">
        <w:rPr>
          <w:sz w:val="22"/>
          <w:szCs w:val="22"/>
        </w:rPr>
        <w:t xml:space="preserve">nerki. </w:t>
      </w:r>
    </w:p>
    <w:p w14:paraId="0D1C89D8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1AE0E6E8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Przeszczep</w:t>
      </w:r>
      <w:r w:rsidR="0035467A" w:rsidRPr="00374521">
        <w:rPr>
          <w:i/>
          <w:sz w:val="22"/>
          <w:szCs w:val="22"/>
        </w:rPr>
        <w:t>ienie</w:t>
      </w:r>
      <w:r w:rsidRPr="00374521">
        <w:rPr>
          <w:i/>
          <w:sz w:val="22"/>
          <w:szCs w:val="22"/>
        </w:rPr>
        <w:t xml:space="preserve"> nerki</w:t>
      </w:r>
    </w:p>
    <w:p w14:paraId="4107180A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Brak doświadczenia u pacjentów po niedawno przebytym przeszczepie</w:t>
      </w:r>
      <w:r w:rsidR="0035467A" w:rsidRPr="00374521">
        <w:rPr>
          <w:sz w:val="22"/>
          <w:szCs w:val="22"/>
        </w:rPr>
        <w:t>niu</w:t>
      </w:r>
      <w:r w:rsidRPr="00374521">
        <w:rPr>
          <w:sz w:val="22"/>
          <w:szCs w:val="22"/>
        </w:rPr>
        <w:t xml:space="preserve"> nerki. </w:t>
      </w:r>
    </w:p>
    <w:p w14:paraId="48321598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44733984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 xml:space="preserve">Pierwotny </w:t>
      </w:r>
      <w:proofErr w:type="spellStart"/>
      <w:r w:rsidRPr="00374521">
        <w:rPr>
          <w:i/>
          <w:sz w:val="22"/>
          <w:szCs w:val="22"/>
        </w:rPr>
        <w:t>hiperaldosteronizm</w:t>
      </w:r>
      <w:proofErr w:type="spellEnd"/>
    </w:p>
    <w:p w14:paraId="137259DE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 xml:space="preserve">Pacjenci z pierwotnym </w:t>
      </w:r>
      <w:proofErr w:type="spellStart"/>
      <w:r w:rsidRPr="00374521">
        <w:rPr>
          <w:sz w:val="22"/>
          <w:szCs w:val="22"/>
        </w:rPr>
        <w:t>hiperaldosteronizmem</w:t>
      </w:r>
      <w:proofErr w:type="spellEnd"/>
      <w:r w:rsidRPr="00374521">
        <w:rPr>
          <w:sz w:val="22"/>
          <w:szCs w:val="22"/>
        </w:rPr>
        <w:t xml:space="preserve"> przeważnie nie reagują na leki </w:t>
      </w:r>
      <w:proofErr w:type="spellStart"/>
      <w:r w:rsidRPr="00374521">
        <w:rPr>
          <w:sz w:val="22"/>
          <w:szCs w:val="22"/>
        </w:rPr>
        <w:t>przeciwnadciśnieniowe</w:t>
      </w:r>
      <w:proofErr w:type="spellEnd"/>
      <w:r w:rsidRPr="00374521">
        <w:rPr>
          <w:sz w:val="22"/>
          <w:szCs w:val="22"/>
        </w:rPr>
        <w:t xml:space="preserve"> działające poprzez hamow</w:t>
      </w:r>
      <w:r w:rsidR="007148E2" w:rsidRPr="00374521">
        <w:rPr>
          <w:sz w:val="22"/>
          <w:szCs w:val="22"/>
        </w:rPr>
        <w:t>anie układu renina</w:t>
      </w:r>
      <w:r w:rsidRPr="00374521">
        <w:rPr>
          <w:sz w:val="22"/>
          <w:szCs w:val="22"/>
        </w:rPr>
        <w:t>–angiotensyna. Dlatego</w:t>
      </w:r>
      <w:r w:rsidR="007148E2" w:rsidRPr="00374521">
        <w:rPr>
          <w:sz w:val="22"/>
          <w:szCs w:val="22"/>
        </w:rPr>
        <w:t xml:space="preserve"> w tej grupie</w:t>
      </w:r>
      <w:r w:rsidRPr="00374521">
        <w:rPr>
          <w:sz w:val="22"/>
          <w:szCs w:val="22"/>
        </w:rPr>
        <w:t xml:space="preserve"> nie zaleca się stosowania </w:t>
      </w:r>
      <w:r w:rsidR="00511ACB" w:rsidRPr="00374521">
        <w:rPr>
          <w:sz w:val="22"/>
          <w:szCs w:val="22"/>
        </w:rPr>
        <w:t xml:space="preserve">produktu </w:t>
      </w:r>
      <w:proofErr w:type="spellStart"/>
      <w:r w:rsidR="00EF7DC8" w:rsidRPr="00374521">
        <w:rPr>
          <w:color w:val="000000"/>
          <w:sz w:val="22"/>
          <w:szCs w:val="22"/>
        </w:rPr>
        <w:t>Presartan</w:t>
      </w:r>
      <w:proofErr w:type="spellEnd"/>
      <w:r w:rsidR="00EF7DC8" w:rsidRPr="00374521">
        <w:rPr>
          <w:color w:val="000000"/>
          <w:sz w:val="22"/>
          <w:szCs w:val="22"/>
        </w:rPr>
        <w:t xml:space="preserve"> H</w:t>
      </w:r>
      <w:r w:rsidRPr="00374521">
        <w:rPr>
          <w:sz w:val="22"/>
          <w:szCs w:val="22"/>
        </w:rPr>
        <w:t xml:space="preserve">. </w:t>
      </w:r>
    </w:p>
    <w:p w14:paraId="24EE561E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666A86C7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Choroba niedokrwienna serca i choroby naczyniowo-mózgowe</w:t>
      </w:r>
    </w:p>
    <w:p w14:paraId="1FC15DE1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 xml:space="preserve">Podobnie jak w przypadku innych leków </w:t>
      </w:r>
      <w:proofErr w:type="spellStart"/>
      <w:r w:rsidRPr="00374521">
        <w:rPr>
          <w:sz w:val="22"/>
          <w:szCs w:val="22"/>
        </w:rPr>
        <w:t>przeciwnadciśnieniowych</w:t>
      </w:r>
      <w:proofErr w:type="spellEnd"/>
      <w:r w:rsidRPr="00374521">
        <w:rPr>
          <w:sz w:val="22"/>
          <w:szCs w:val="22"/>
        </w:rPr>
        <w:t>, nadmierne obniżenie ciśnienia krwi u pacjentów z chorobą niedokrwienną serca oraz zaburzenia</w:t>
      </w:r>
      <w:r w:rsidR="00511ACB" w:rsidRPr="00374521">
        <w:rPr>
          <w:sz w:val="22"/>
          <w:szCs w:val="22"/>
        </w:rPr>
        <w:t>mi</w:t>
      </w:r>
      <w:r w:rsidRPr="00374521">
        <w:rPr>
          <w:sz w:val="22"/>
          <w:szCs w:val="22"/>
        </w:rPr>
        <w:t xml:space="preserve"> naczyniow</w:t>
      </w:r>
      <w:r w:rsidR="00511ACB" w:rsidRPr="00374521">
        <w:rPr>
          <w:sz w:val="22"/>
          <w:szCs w:val="22"/>
        </w:rPr>
        <w:t>o-mózgowymi</w:t>
      </w:r>
      <w:r w:rsidRPr="00374521">
        <w:rPr>
          <w:sz w:val="22"/>
          <w:szCs w:val="22"/>
        </w:rPr>
        <w:t xml:space="preserve"> może spowodować zaw</w:t>
      </w:r>
      <w:r w:rsidR="002C6DA7" w:rsidRPr="00374521">
        <w:rPr>
          <w:sz w:val="22"/>
          <w:szCs w:val="22"/>
        </w:rPr>
        <w:t>ał mięśnia sercowego lub udar.</w:t>
      </w:r>
    </w:p>
    <w:p w14:paraId="583B558E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774E1A19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Niewydolność serca</w:t>
      </w:r>
    </w:p>
    <w:p w14:paraId="0A4C3868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U pacjentów z niewydolnością serca</w:t>
      </w:r>
      <w:r w:rsidR="00511ACB" w:rsidRPr="00374521">
        <w:rPr>
          <w:sz w:val="22"/>
          <w:szCs w:val="22"/>
        </w:rPr>
        <w:t>,</w:t>
      </w:r>
      <w:r w:rsidRPr="00374521">
        <w:rPr>
          <w:sz w:val="22"/>
          <w:szCs w:val="22"/>
        </w:rPr>
        <w:t xml:space="preserve"> ze współistniejącymi zaburzeniami czynności nerek lub bez</w:t>
      </w:r>
      <w:r w:rsidR="00511ACB" w:rsidRPr="00374521">
        <w:rPr>
          <w:sz w:val="22"/>
          <w:szCs w:val="22"/>
        </w:rPr>
        <w:t>, istnieje</w:t>
      </w:r>
      <w:r w:rsidR="002C6DA7" w:rsidRPr="00374521">
        <w:rPr>
          <w:sz w:val="22"/>
          <w:szCs w:val="22"/>
        </w:rPr>
        <w:t>,</w:t>
      </w:r>
      <w:r w:rsidRPr="00374521">
        <w:rPr>
          <w:sz w:val="22"/>
          <w:szCs w:val="22"/>
        </w:rPr>
        <w:t xml:space="preserve"> tak jak </w:t>
      </w:r>
      <w:r w:rsidR="00511ACB" w:rsidRPr="00374521">
        <w:rPr>
          <w:sz w:val="22"/>
          <w:szCs w:val="22"/>
        </w:rPr>
        <w:t xml:space="preserve">w </w:t>
      </w:r>
      <w:r w:rsidRPr="00374521">
        <w:rPr>
          <w:sz w:val="22"/>
          <w:szCs w:val="22"/>
        </w:rPr>
        <w:t>przy</w:t>
      </w:r>
      <w:r w:rsidR="00511ACB" w:rsidRPr="00374521">
        <w:rPr>
          <w:sz w:val="22"/>
          <w:szCs w:val="22"/>
        </w:rPr>
        <w:t>padku</w:t>
      </w:r>
      <w:r w:rsidRPr="00374521">
        <w:rPr>
          <w:sz w:val="22"/>
          <w:szCs w:val="22"/>
        </w:rPr>
        <w:t xml:space="preserve"> innych lek</w:t>
      </w:r>
      <w:r w:rsidR="00511ACB" w:rsidRPr="00374521">
        <w:rPr>
          <w:sz w:val="22"/>
          <w:szCs w:val="22"/>
        </w:rPr>
        <w:t>ów</w:t>
      </w:r>
      <w:r w:rsidRPr="00374521">
        <w:rPr>
          <w:sz w:val="22"/>
          <w:szCs w:val="22"/>
        </w:rPr>
        <w:t xml:space="preserve"> działających na </w:t>
      </w:r>
      <w:r w:rsidR="002C6DA7" w:rsidRPr="00374521">
        <w:rPr>
          <w:sz w:val="22"/>
          <w:szCs w:val="22"/>
        </w:rPr>
        <w:t xml:space="preserve">układ renina-angiotensyna, </w:t>
      </w:r>
      <w:r w:rsidRPr="00374521">
        <w:rPr>
          <w:sz w:val="22"/>
          <w:szCs w:val="22"/>
        </w:rPr>
        <w:t>ryzyko ciężkiego niedociśnienia i (często ostrej) niewydolności nerek.</w:t>
      </w:r>
    </w:p>
    <w:p w14:paraId="291CA30F" w14:textId="77777777" w:rsidR="00374521" w:rsidRPr="00374521" w:rsidRDefault="00374521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4AA82F8B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Zwężenie zastawki aort</w:t>
      </w:r>
      <w:r w:rsidR="00511ACB" w:rsidRPr="00374521">
        <w:rPr>
          <w:i/>
          <w:sz w:val="22"/>
          <w:szCs w:val="22"/>
        </w:rPr>
        <w:t>y</w:t>
      </w:r>
      <w:r w:rsidRPr="00374521">
        <w:rPr>
          <w:i/>
          <w:sz w:val="22"/>
          <w:szCs w:val="22"/>
        </w:rPr>
        <w:t xml:space="preserve"> i </w:t>
      </w:r>
      <w:r w:rsidR="00511ACB" w:rsidRPr="00374521">
        <w:rPr>
          <w:i/>
          <w:sz w:val="22"/>
          <w:szCs w:val="22"/>
        </w:rPr>
        <w:t>zastawki dwudzielnej</w:t>
      </w:r>
      <w:r w:rsidRPr="00374521">
        <w:rPr>
          <w:i/>
          <w:sz w:val="22"/>
          <w:szCs w:val="22"/>
        </w:rPr>
        <w:t xml:space="preserve">, </w:t>
      </w:r>
      <w:proofErr w:type="spellStart"/>
      <w:r w:rsidRPr="00374521">
        <w:rPr>
          <w:i/>
          <w:sz w:val="22"/>
          <w:szCs w:val="22"/>
        </w:rPr>
        <w:t>kardiomiopatia</w:t>
      </w:r>
      <w:proofErr w:type="spellEnd"/>
      <w:r w:rsidRPr="00374521">
        <w:rPr>
          <w:i/>
          <w:sz w:val="22"/>
          <w:szCs w:val="22"/>
        </w:rPr>
        <w:t xml:space="preserve"> przerostowa ze zwężeniem drogi odpływu</w:t>
      </w:r>
    </w:p>
    <w:p w14:paraId="3134D112" w14:textId="77777777" w:rsidR="00556DD0" w:rsidRPr="00374521" w:rsidRDefault="00511ACB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lastRenderedPageBreak/>
        <w:t xml:space="preserve">Podobnie </w:t>
      </w:r>
      <w:r w:rsidR="00556DD0" w:rsidRPr="00374521">
        <w:rPr>
          <w:sz w:val="22"/>
          <w:szCs w:val="22"/>
        </w:rPr>
        <w:t xml:space="preserve">jak </w:t>
      </w:r>
      <w:r w:rsidRPr="00374521">
        <w:rPr>
          <w:sz w:val="22"/>
          <w:szCs w:val="22"/>
        </w:rPr>
        <w:t xml:space="preserve">w </w:t>
      </w:r>
      <w:r w:rsidR="00556DD0" w:rsidRPr="00374521">
        <w:rPr>
          <w:sz w:val="22"/>
          <w:szCs w:val="22"/>
        </w:rPr>
        <w:t>przy</w:t>
      </w:r>
      <w:r w:rsidRPr="00374521">
        <w:rPr>
          <w:sz w:val="22"/>
          <w:szCs w:val="22"/>
        </w:rPr>
        <w:t>padku</w:t>
      </w:r>
      <w:r w:rsidR="00556DD0" w:rsidRPr="00374521">
        <w:rPr>
          <w:sz w:val="22"/>
          <w:szCs w:val="22"/>
        </w:rPr>
        <w:t xml:space="preserve"> innych lek</w:t>
      </w:r>
      <w:r w:rsidRPr="00374521">
        <w:rPr>
          <w:sz w:val="22"/>
          <w:szCs w:val="22"/>
        </w:rPr>
        <w:t>ów</w:t>
      </w:r>
      <w:r w:rsidR="00556DD0" w:rsidRPr="00374521">
        <w:rPr>
          <w:sz w:val="22"/>
          <w:szCs w:val="22"/>
        </w:rPr>
        <w:t xml:space="preserve"> rozszerzających naczynia</w:t>
      </w:r>
      <w:r w:rsidRPr="00374521">
        <w:rPr>
          <w:sz w:val="22"/>
          <w:szCs w:val="22"/>
        </w:rPr>
        <w:t xml:space="preserve"> krwionośne</w:t>
      </w:r>
      <w:r w:rsidR="00556DD0" w:rsidRPr="00374521">
        <w:rPr>
          <w:sz w:val="22"/>
          <w:szCs w:val="22"/>
        </w:rPr>
        <w:t>, wskazane jest zachowanie szczególnej ostrożności u pacjentów ze zwężeniem zastawki aort</w:t>
      </w:r>
      <w:r w:rsidRPr="00374521">
        <w:rPr>
          <w:sz w:val="22"/>
          <w:szCs w:val="22"/>
        </w:rPr>
        <w:t>y</w:t>
      </w:r>
      <w:r w:rsidR="00556DD0" w:rsidRPr="00374521">
        <w:rPr>
          <w:sz w:val="22"/>
          <w:szCs w:val="22"/>
        </w:rPr>
        <w:t xml:space="preserve"> lub </w:t>
      </w:r>
      <w:r w:rsidRPr="00374521">
        <w:rPr>
          <w:sz w:val="22"/>
          <w:szCs w:val="22"/>
        </w:rPr>
        <w:t>zastawki dwudzielnej,</w:t>
      </w:r>
      <w:r w:rsidR="006127FE" w:rsidRPr="00374521">
        <w:rPr>
          <w:sz w:val="22"/>
          <w:szCs w:val="22"/>
        </w:rPr>
        <w:t xml:space="preserve"> lub</w:t>
      </w:r>
      <w:r w:rsidR="00556DD0" w:rsidRPr="00374521">
        <w:rPr>
          <w:sz w:val="22"/>
          <w:szCs w:val="22"/>
        </w:rPr>
        <w:t xml:space="preserve"> z </w:t>
      </w:r>
      <w:proofErr w:type="spellStart"/>
      <w:r w:rsidR="00556DD0" w:rsidRPr="00374521">
        <w:rPr>
          <w:sz w:val="22"/>
          <w:szCs w:val="22"/>
        </w:rPr>
        <w:t>kardiomiopatią</w:t>
      </w:r>
      <w:proofErr w:type="spellEnd"/>
      <w:r w:rsidR="00556DD0" w:rsidRPr="00374521">
        <w:rPr>
          <w:sz w:val="22"/>
          <w:szCs w:val="22"/>
        </w:rPr>
        <w:t xml:space="preserve"> przerostową ze zwężeniem drogi odpływu</w:t>
      </w:r>
      <w:r w:rsidR="006127FE" w:rsidRPr="00374521">
        <w:rPr>
          <w:sz w:val="22"/>
          <w:szCs w:val="22"/>
        </w:rPr>
        <w:t>.</w:t>
      </w:r>
      <w:r w:rsidR="00556DD0" w:rsidRPr="00374521">
        <w:rPr>
          <w:sz w:val="22"/>
          <w:szCs w:val="22"/>
        </w:rPr>
        <w:t xml:space="preserve"> </w:t>
      </w:r>
    </w:p>
    <w:p w14:paraId="524576C1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4DE9B470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Różnice etniczne</w:t>
      </w:r>
    </w:p>
    <w:p w14:paraId="19BBFCDD" w14:textId="77777777" w:rsidR="00556DD0" w:rsidRPr="00374521" w:rsidRDefault="006127FE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Podobnie j</w:t>
      </w:r>
      <w:r w:rsidR="00556DD0" w:rsidRPr="00374521">
        <w:rPr>
          <w:sz w:val="22"/>
          <w:szCs w:val="22"/>
        </w:rPr>
        <w:t xml:space="preserve">ak zaobserwowano </w:t>
      </w:r>
      <w:r w:rsidRPr="00374521">
        <w:rPr>
          <w:sz w:val="22"/>
          <w:szCs w:val="22"/>
        </w:rPr>
        <w:t xml:space="preserve">w odniesieniu do </w:t>
      </w:r>
      <w:r w:rsidR="00556DD0" w:rsidRPr="00374521">
        <w:rPr>
          <w:sz w:val="22"/>
          <w:szCs w:val="22"/>
        </w:rPr>
        <w:t xml:space="preserve">inhibitorów enzymu konwertującego angiotensynę, </w:t>
      </w:r>
      <w:proofErr w:type="spellStart"/>
      <w:r w:rsidR="00556DD0" w:rsidRPr="00374521">
        <w:rPr>
          <w:sz w:val="22"/>
          <w:szCs w:val="22"/>
        </w:rPr>
        <w:t>losartan</w:t>
      </w:r>
      <w:proofErr w:type="spellEnd"/>
      <w:r w:rsidR="00556DD0" w:rsidRPr="00374521">
        <w:rPr>
          <w:sz w:val="22"/>
          <w:szCs w:val="22"/>
        </w:rPr>
        <w:t xml:space="preserve"> oraz inni antagoniści angiotensyny są mniej skuteczni w obniżaniu ciśnienia u pacjentów rasy czarnej niż u pacjentów innych ras, prawdopodobnie z powodu większej </w:t>
      </w:r>
      <w:r w:rsidRPr="00374521">
        <w:rPr>
          <w:sz w:val="22"/>
          <w:szCs w:val="22"/>
        </w:rPr>
        <w:t xml:space="preserve">częstości występowania małej aktywności </w:t>
      </w:r>
      <w:r w:rsidR="00556DD0" w:rsidRPr="00374521">
        <w:rPr>
          <w:sz w:val="22"/>
          <w:szCs w:val="22"/>
        </w:rPr>
        <w:t xml:space="preserve">reniny w populacji pacjentów rasy </w:t>
      </w:r>
      <w:r w:rsidRPr="00374521">
        <w:rPr>
          <w:sz w:val="22"/>
          <w:szCs w:val="22"/>
        </w:rPr>
        <w:t xml:space="preserve">czarnej </w:t>
      </w:r>
      <w:r w:rsidR="00556DD0" w:rsidRPr="00374521">
        <w:rPr>
          <w:sz w:val="22"/>
          <w:szCs w:val="22"/>
        </w:rPr>
        <w:t xml:space="preserve">z nadciśnieniem. </w:t>
      </w:r>
    </w:p>
    <w:p w14:paraId="5BE06B65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4B84FBF9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Ciąża</w:t>
      </w:r>
    </w:p>
    <w:p w14:paraId="47C36A14" w14:textId="77777777" w:rsidR="006127FE" w:rsidRPr="00374521" w:rsidRDefault="006127FE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N</w:t>
      </w:r>
      <w:r w:rsidR="00556DD0" w:rsidRPr="00374521">
        <w:rPr>
          <w:sz w:val="22"/>
          <w:szCs w:val="22"/>
        </w:rPr>
        <w:t xml:space="preserve">ie należy </w:t>
      </w:r>
      <w:r w:rsidRPr="00374521">
        <w:rPr>
          <w:sz w:val="22"/>
          <w:szCs w:val="22"/>
        </w:rPr>
        <w:t xml:space="preserve">rozpoczynać leczenia produktem </w:t>
      </w:r>
      <w:proofErr w:type="spellStart"/>
      <w:r w:rsidR="00EF7DC8" w:rsidRPr="00374521">
        <w:rPr>
          <w:color w:val="000000"/>
          <w:sz w:val="22"/>
          <w:szCs w:val="22"/>
        </w:rPr>
        <w:t>Presartan</w:t>
      </w:r>
      <w:proofErr w:type="spellEnd"/>
      <w:r w:rsidR="00EF7DC8" w:rsidRPr="00374521">
        <w:rPr>
          <w:color w:val="000000"/>
          <w:sz w:val="22"/>
          <w:szCs w:val="22"/>
        </w:rPr>
        <w:t xml:space="preserve"> H</w:t>
      </w:r>
      <w:r w:rsidR="00556DD0" w:rsidRPr="00374521">
        <w:rPr>
          <w:sz w:val="22"/>
          <w:szCs w:val="22"/>
        </w:rPr>
        <w:t xml:space="preserve"> </w:t>
      </w:r>
      <w:r w:rsidR="002C6DA7" w:rsidRPr="00374521">
        <w:rPr>
          <w:sz w:val="22"/>
          <w:szCs w:val="22"/>
        </w:rPr>
        <w:t>w czasie</w:t>
      </w:r>
      <w:r w:rsidR="00556DD0" w:rsidRPr="00374521">
        <w:rPr>
          <w:sz w:val="22"/>
          <w:szCs w:val="22"/>
        </w:rPr>
        <w:t xml:space="preserve"> ciąży. </w:t>
      </w:r>
      <w:r w:rsidR="002C6DA7" w:rsidRPr="00374521">
        <w:rPr>
          <w:sz w:val="22"/>
          <w:szCs w:val="22"/>
        </w:rPr>
        <w:t>U</w:t>
      </w:r>
      <w:r w:rsidRPr="00374521">
        <w:rPr>
          <w:sz w:val="22"/>
          <w:szCs w:val="22"/>
        </w:rPr>
        <w:t xml:space="preserve"> pacjentek planujących ciążę należy </w:t>
      </w:r>
      <w:r w:rsidR="002C6DA7" w:rsidRPr="00374521">
        <w:rPr>
          <w:sz w:val="22"/>
          <w:szCs w:val="22"/>
        </w:rPr>
        <w:t xml:space="preserve">zmienić terapię na </w:t>
      </w:r>
      <w:r w:rsidRPr="00374521">
        <w:rPr>
          <w:sz w:val="22"/>
          <w:szCs w:val="22"/>
        </w:rPr>
        <w:t xml:space="preserve">alternatywne </w:t>
      </w:r>
      <w:r w:rsidR="002C6DA7" w:rsidRPr="00374521">
        <w:rPr>
          <w:sz w:val="22"/>
          <w:szCs w:val="22"/>
        </w:rPr>
        <w:t xml:space="preserve">metody </w:t>
      </w:r>
      <w:r w:rsidRPr="00374521">
        <w:rPr>
          <w:sz w:val="22"/>
          <w:szCs w:val="22"/>
        </w:rPr>
        <w:t>leczeni</w:t>
      </w:r>
      <w:r w:rsidR="002C6DA7" w:rsidRPr="00374521">
        <w:rPr>
          <w:sz w:val="22"/>
          <w:szCs w:val="22"/>
        </w:rPr>
        <w:t>a</w:t>
      </w:r>
      <w:r w:rsidRPr="00374521">
        <w:rPr>
          <w:sz w:val="22"/>
          <w:szCs w:val="22"/>
        </w:rPr>
        <w:t xml:space="preserve"> </w:t>
      </w:r>
      <w:proofErr w:type="spellStart"/>
      <w:r w:rsidRPr="00374521">
        <w:rPr>
          <w:sz w:val="22"/>
          <w:szCs w:val="22"/>
        </w:rPr>
        <w:t>przeciwnadciśnieniowe</w:t>
      </w:r>
      <w:r w:rsidR="002C6DA7" w:rsidRPr="00374521">
        <w:rPr>
          <w:sz w:val="22"/>
          <w:szCs w:val="22"/>
        </w:rPr>
        <w:t>go</w:t>
      </w:r>
      <w:proofErr w:type="spellEnd"/>
      <w:r w:rsidRPr="00374521">
        <w:rPr>
          <w:sz w:val="22"/>
          <w:szCs w:val="22"/>
        </w:rPr>
        <w:t xml:space="preserve">, </w:t>
      </w:r>
      <w:r w:rsidR="002C6DA7" w:rsidRPr="00374521">
        <w:rPr>
          <w:sz w:val="22"/>
          <w:szCs w:val="22"/>
        </w:rPr>
        <w:t xml:space="preserve">dla których </w:t>
      </w:r>
      <w:r w:rsidRPr="00374521">
        <w:rPr>
          <w:sz w:val="22"/>
          <w:szCs w:val="22"/>
        </w:rPr>
        <w:t>ustalony</w:t>
      </w:r>
      <w:r w:rsidR="002C6DA7" w:rsidRPr="00374521">
        <w:rPr>
          <w:sz w:val="22"/>
          <w:szCs w:val="22"/>
        </w:rPr>
        <w:t xml:space="preserve"> jest</w:t>
      </w:r>
      <w:r w:rsidRPr="00374521">
        <w:rPr>
          <w:sz w:val="22"/>
          <w:szCs w:val="22"/>
        </w:rPr>
        <w:t xml:space="preserve"> profil bezpieczeństwa stosowania w ciąży</w:t>
      </w:r>
      <w:r w:rsidR="002C6DA7" w:rsidRPr="00374521">
        <w:rPr>
          <w:sz w:val="22"/>
          <w:szCs w:val="22"/>
        </w:rPr>
        <w:t xml:space="preserve">, chyba, że dalsze leczenie produktem </w:t>
      </w:r>
      <w:proofErr w:type="spellStart"/>
      <w:r w:rsidR="002C6DA7" w:rsidRPr="00374521">
        <w:rPr>
          <w:sz w:val="22"/>
          <w:szCs w:val="22"/>
        </w:rPr>
        <w:t>Presartan</w:t>
      </w:r>
      <w:proofErr w:type="spellEnd"/>
      <w:r w:rsidR="002C6DA7" w:rsidRPr="00374521">
        <w:rPr>
          <w:sz w:val="22"/>
          <w:szCs w:val="22"/>
        </w:rPr>
        <w:t xml:space="preserve"> H jest niezbędne</w:t>
      </w:r>
      <w:r w:rsidRPr="00374521">
        <w:rPr>
          <w:sz w:val="22"/>
          <w:szCs w:val="22"/>
        </w:rPr>
        <w:t xml:space="preserve">. W przypadku stwierdzenia ciąży należy natychmiast przerwać podawanie produktu </w:t>
      </w:r>
      <w:proofErr w:type="spellStart"/>
      <w:r w:rsidR="00EF7DC8" w:rsidRPr="00374521">
        <w:rPr>
          <w:color w:val="000000"/>
          <w:sz w:val="22"/>
          <w:szCs w:val="22"/>
        </w:rPr>
        <w:t>Presartan</w:t>
      </w:r>
      <w:proofErr w:type="spellEnd"/>
      <w:r w:rsidR="00EF7DC8" w:rsidRPr="00374521">
        <w:rPr>
          <w:color w:val="000000"/>
          <w:sz w:val="22"/>
          <w:szCs w:val="22"/>
        </w:rPr>
        <w:t xml:space="preserve"> H</w:t>
      </w:r>
      <w:r w:rsidRPr="00374521">
        <w:rPr>
          <w:sz w:val="22"/>
          <w:szCs w:val="22"/>
        </w:rPr>
        <w:t xml:space="preserve"> i, jeśli to wskazane, rozpocząć leczenie alternatywne (patrz punkty 4.3 i 4.6). </w:t>
      </w:r>
    </w:p>
    <w:p w14:paraId="2EC96D50" w14:textId="77777777" w:rsidR="00204FA0" w:rsidRDefault="00204FA0" w:rsidP="00204FA0">
      <w:pPr>
        <w:autoSpaceDE w:val="0"/>
        <w:autoSpaceDN w:val="0"/>
        <w:adjustRightInd w:val="0"/>
        <w:rPr>
          <w:i/>
          <w:sz w:val="22"/>
          <w:szCs w:val="22"/>
        </w:rPr>
      </w:pPr>
    </w:p>
    <w:p w14:paraId="00736D0F" w14:textId="77777777" w:rsidR="00015873" w:rsidRDefault="00204FA0" w:rsidP="00204FA0">
      <w:pPr>
        <w:autoSpaceDE w:val="0"/>
        <w:autoSpaceDN w:val="0"/>
        <w:adjustRightInd w:val="0"/>
        <w:rPr>
          <w:sz w:val="22"/>
          <w:szCs w:val="22"/>
        </w:rPr>
      </w:pPr>
      <w:r w:rsidRPr="002707FE">
        <w:rPr>
          <w:i/>
          <w:sz w:val="22"/>
          <w:szCs w:val="22"/>
        </w:rPr>
        <w:t>Podwójna blokada układu renina-angiotensyna-aldosteron (RAA</w:t>
      </w:r>
      <w:r w:rsidR="00015873">
        <w:rPr>
          <w:i/>
          <w:sz w:val="22"/>
          <w:szCs w:val="22"/>
        </w:rPr>
        <w:t>S</w:t>
      </w:r>
      <w:r w:rsidRPr="002707FE">
        <w:rPr>
          <w:i/>
          <w:sz w:val="22"/>
          <w:szCs w:val="22"/>
        </w:rPr>
        <w:t xml:space="preserve">) </w:t>
      </w:r>
    </w:p>
    <w:p w14:paraId="672B8781" w14:textId="77777777" w:rsidR="00204FA0" w:rsidRPr="00204FA0" w:rsidRDefault="00204FA0" w:rsidP="00204FA0">
      <w:pPr>
        <w:autoSpaceDE w:val="0"/>
        <w:autoSpaceDN w:val="0"/>
        <w:adjustRightInd w:val="0"/>
        <w:rPr>
          <w:sz w:val="22"/>
          <w:szCs w:val="22"/>
        </w:rPr>
      </w:pPr>
      <w:r w:rsidRPr="00204FA0">
        <w:rPr>
          <w:sz w:val="22"/>
          <w:szCs w:val="22"/>
        </w:rPr>
        <w:t xml:space="preserve">Istnieją dowody, iż jednoczesne stosowanie inhibitorów </w:t>
      </w:r>
      <w:proofErr w:type="spellStart"/>
      <w:r w:rsidRPr="00204FA0">
        <w:rPr>
          <w:sz w:val="22"/>
          <w:szCs w:val="22"/>
        </w:rPr>
        <w:t>konwertazy</w:t>
      </w:r>
      <w:proofErr w:type="spellEnd"/>
      <w:r w:rsidRPr="00204FA0">
        <w:rPr>
          <w:sz w:val="22"/>
          <w:szCs w:val="22"/>
        </w:rPr>
        <w:t xml:space="preserve"> angiotensyny (ACE), antagonistów receptora </w:t>
      </w:r>
      <w:r w:rsidR="0071168D" w:rsidRPr="00C006D7">
        <w:rPr>
          <w:sz w:val="22"/>
          <w:szCs w:val="22"/>
        </w:rPr>
        <w:t>AT1 dla</w:t>
      </w:r>
      <w:r w:rsidR="0071168D">
        <w:rPr>
          <w:sz w:val="22"/>
          <w:szCs w:val="22"/>
        </w:rPr>
        <w:t xml:space="preserve"> </w:t>
      </w:r>
      <w:r w:rsidRPr="00204FA0">
        <w:rPr>
          <w:sz w:val="22"/>
          <w:szCs w:val="22"/>
        </w:rPr>
        <w:t>angiotensyny II (</w:t>
      </w:r>
      <w:r w:rsidR="00015873">
        <w:rPr>
          <w:sz w:val="22"/>
          <w:szCs w:val="22"/>
        </w:rPr>
        <w:t>AIIRA)</w:t>
      </w:r>
      <w:r w:rsidRPr="00204FA0">
        <w:rPr>
          <w:sz w:val="22"/>
          <w:szCs w:val="22"/>
        </w:rPr>
        <w:t xml:space="preserve"> lub </w:t>
      </w:r>
      <w:proofErr w:type="spellStart"/>
      <w:r w:rsidRPr="00204FA0">
        <w:rPr>
          <w:sz w:val="22"/>
          <w:szCs w:val="22"/>
        </w:rPr>
        <w:t>aliskirenu</w:t>
      </w:r>
      <w:proofErr w:type="spellEnd"/>
      <w:r w:rsidRPr="00204FA0">
        <w:rPr>
          <w:sz w:val="22"/>
          <w:szCs w:val="22"/>
        </w:rPr>
        <w:t xml:space="preserve"> zwiększa ryzyko niedociśnienia, hiperkaliemii oraz zaburzenia czynności nerek (w tym ostrej niewydolności nerek). W związku z tym nie zaleca się podwójne</w:t>
      </w:r>
      <w:r w:rsidR="00015873">
        <w:rPr>
          <w:sz w:val="22"/>
          <w:szCs w:val="22"/>
        </w:rPr>
        <w:t>j</w:t>
      </w:r>
      <w:r w:rsidRPr="00204FA0">
        <w:rPr>
          <w:sz w:val="22"/>
          <w:szCs w:val="22"/>
        </w:rPr>
        <w:t xml:space="preserve"> blok</w:t>
      </w:r>
      <w:r w:rsidR="00015873">
        <w:rPr>
          <w:sz w:val="22"/>
          <w:szCs w:val="22"/>
        </w:rPr>
        <w:t xml:space="preserve">ady </w:t>
      </w:r>
      <w:r w:rsidRPr="00204FA0">
        <w:rPr>
          <w:sz w:val="22"/>
          <w:szCs w:val="22"/>
        </w:rPr>
        <w:t xml:space="preserve">układu RAA poprzez jednoczesne zastosowanie inhibitorów ACE, antagonistów receptora </w:t>
      </w:r>
      <w:r w:rsidR="0071168D" w:rsidRPr="00C006D7">
        <w:rPr>
          <w:sz w:val="22"/>
          <w:szCs w:val="22"/>
        </w:rPr>
        <w:t>AT1 dla</w:t>
      </w:r>
      <w:r w:rsidR="0071168D">
        <w:rPr>
          <w:sz w:val="22"/>
          <w:szCs w:val="22"/>
        </w:rPr>
        <w:t xml:space="preserve"> </w:t>
      </w:r>
      <w:r w:rsidRPr="00204FA0">
        <w:rPr>
          <w:sz w:val="22"/>
          <w:szCs w:val="22"/>
        </w:rPr>
        <w:t xml:space="preserve">angiotensyny II lub </w:t>
      </w:r>
      <w:proofErr w:type="spellStart"/>
      <w:r w:rsidRPr="00204FA0">
        <w:rPr>
          <w:sz w:val="22"/>
          <w:szCs w:val="22"/>
        </w:rPr>
        <w:t>aliskirenu</w:t>
      </w:r>
      <w:proofErr w:type="spellEnd"/>
      <w:r w:rsidRPr="00204FA0">
        <w:rPr>
          <w:sz w:val="22"/>
          <w:szCs w:val="22"/>
        </w:rPr>
        <w:t xml:space="preserve"> (patrz punkty 4.5 i 5.1).</w:t>
      </w:r>
    </w:p>
    <w:p w14:paraId="0BFA3C68" w14:textId="77777777" w:rsidR="00204FA0" w:rsidRPr="00204FA0" w:rsidRDefault="00204FA0" w:rsidP="00204FA0">
      <w:pPr>
        <w:autoSpaceDE w:val="0"/>
        <w:autoSpaceDN w:val="0"/>
        <w:adjustRightInd w:val="0"/>
        <w:rPr>
          <w:sz w:val="22"/>
          <w:szCs w:val="22"/>
        </w:rPr>
      </w:pPr>
      <w:r w:rsidRPr="00204FA0">
        <w:rPr>
          <w:sz w:val="22"/>
          <w:szCs w:val="22"/>
        </w:rPr>
        <w:t>Jeśli podwójn</w:t>
      </w:r>
      <w:r w:rsidR="00015873">
        <w:rPr>
          <w:sz w:val="22"/>
          <w:szCs w:val="22"/>
        </w:rPr>
        <w:t>a</w:t>
      </w:r>
      <w:r w:rsidRPr="00204FA0">
        <w:rPr>
          <w:sz w:val="22"/>
          <w:szCs w:val="22"/>
        </w:rPr>
        <w:t xml:space="preserve"> blokad</w:t>
      </w:r>
      <w:r w:rsidR="00015873">
        <w:rPr>
          <w:sz w:val="22"/>
          <w:szCs w:val="22"/>
        </w:rPr>
        <w:t>a</w:t>
      </w:r>
      <w:r w:rsidRPr="00204FA0">
        <w:rPr>
          <w:sz w:val="22"/>
          <w:szCs w:val="22"/>
        </w:rPr>
        <w:t xml:space="preserve"> układu RAA jest absolutnie konieczn</w:t>
      </w:r>
      <w:r w:rsidR="00015873">
        <w:rPr>
          <w:sz w:val="22"/>
          <w:szCs w:val="22"/>
        </w:rPr>
        <w:t>a</w:t>
      </w:r>
      <w:r w:rsidRPr="00204FA0">
        <w:rPr>
          <w:sz w:val="22"/>
          <w:szCs w:val="22"/>
        </w:rPr>
        <w:t xml:space="preserve">, </w:t>
      </w:r>
      <w:r w:rsidR="00015873">
        <w:rPr>
          <w:sz w:val="22"/>
          <w:szCs w:val="22"/>
        </w:rPr>
        <w:t xml:space="preserve">należy ją stosować </w:t>
      </w:r>
      <w:r w:rsidRPr="00204FA0">
        <w:rPr>
          <w:sz w:val="22"/>
          <w:szCs w:val="22"/>
        </w:rPr>
        <w:t>wyłącznie pod nadzorem specjalisty</w:t>
      </w:r>
      <w:r w:rsidR="00015873">
        <w:rPr>
          <w:sz w:val="22"/>
          <w:szCs w:val="22"/>
        </w:rPr>
        <w:t xml:space="preserve"> i często kontrolować </w:t>
      </w:r>
      <w:r w:rsidRPr="00204FA0">
        <w:rPr>
          <w:sz w:val="22"/>
          <w:szCs w:val="22"/>
        </w:rPr>
        <w:t xml:space="preserve">czynność nerek, stężenie elektrolitów oraz ciśnienie </w:t>
      </w:r>
      <w:r w:rsidR="00015873">
        <w:rPr>
          <w:sz w:val="22"/>
          <w:szCs w:val="22"/>
        </w:rPr>
        <w:t>tętnicze</w:t>
      </w:r>
      <w:r w:rsidRPr="00204FA0">
        <w:rPr>
          <w:sz w:val="22"/>
          <w:szCs w:val="22"/>
        </w:rPr>
        <w:t>.</w:t>
      </w:r>
    </w:p>
    <w:p w14:paraId="19EC06E0" w14:textId="77777777" w:rsidR="00601395" w:rsidRPr="00374521" w:rsidRDefault="00204FA0" w:rsidP="00374521">
      <w:pPr>
        <w:autoSpaceDE w:val="0"/>
        <w:autoSpaceDN w:val="0"/>
        <w:adjustRightInd w:val="0"/>
        <w:rPr>
          <w:sz w:val="22"/>
          <w:szCs w:val="22"/>
        </w:rPr>
      </w:pPr>
      <w:r w:rsidRPr="00204FA0">
        <w:rPr>
          <w:sz w:val="22"/>
          <w:szCs w:val="22"/>
        </w:rPr>
        <w:t>U pacjentów z nefropatią cukrzycową nie należy stosować jednocześnie inhibitorów ACE oraz antagonistów receptora</w:t>
      </w:r>
      <w:r w:rsidR="0071168D">
        <w:rPr>
          <w:sz w:val="22"/>
          <w:szCs w:val="22"/>
        </w:rPr>
        <w:t xml:space="preserve"> </w:t>
      </w:r>
      <w:r w:rsidR="0071168D" w:rsidRPr="00C006D7">
        <w:rPr>
          <w:sz w:val="22"/>
          <w:szCs w:val="22"/>
        </w:rPr>
        <w:t>AT1 dla</w:t>
      </w:r>
      <w:r w:rsidRPr="00204FA0">
        <w:rPr>
          <w:sz w:val="22"/>
          <w:szCs w:val="22"/>
        </w:rPr>
        <w:t xml:space="preserve"> angiotensyny II.</w:t>
      </w:r>
    </w:p>
    <w:p w14:paraId="0ED06F7B" w14:textId="77777777" w:rsidR="006127FE" w:rsidRPr="00374521" w:rsidRDefault="006127FE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6D518CAF" w14:textId="77777777" w:rsidR="00556DD0" w:rsidRDefault="00556DD0" w:rsidP="00374521">
      <w:pPr>
        <w:autoSpaceDE w:val="0"/>
        <w:autoSpaceDN w:val="0"/>
        <w:adjustRightInd w:val="0"/>
        <w:rPr>
          <w:sz w:val="22"/>
          <w:szCs w:val="22"/>
          <w:u w:val="single"/>
        </w:rPr>
      </w:pPr>
      <w:proofErr w:type="spellStart"/>
      <w:r w:rsidRPr="00374521">
        <w:rPr>
          <w:sz w:val="22"/>
          <w:szCs w:val="22"/>
          <w:u w:val="single"/>
        </w:rPr>
        <w:t>Hydrochlorotiazyd</w:t>
      </w:r>
      <w:proofErr w:type="spellEnd"/>
    </w:p>
    <w:p w14:paraId="6C8F0EF5" w14:textId="5DF7FA5B" w:rsidR="00DA01E8" w:rsidRDefault="00DA01E8" w:rsidP="00374521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5DCF3D89" w14:textId="77777777" w:rsidR="00851F57" w:rsidRDefault="00851F57" w:rsidP="00851F57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Ostra toksyczność na układ oddechowy </w:t>
      </w:r>
    </w:p>
    <w:p w14:paraId="7278A608" w14:textId="73638513" w:rsidR="00851F57" w:rsidRDefault="00851F57" w:rsidP="00851F57">
      <w:pPr>
        <w:autoSpaceDE w:val="0"/>
        <w:autoSpaceDN w:val="0"/>
        <w:adjustRightInd w:val="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Po przyjęciu </w:t>
      </w:r>
      <w:proofErr w:type="spellStart"/>
      <w:r>
        <w:rPr>
          <w:sz w:val="22"/>
          <w:szCs w:val="22"/>
        </w:rPr>
        <w:t>hydrochlorotiazydu</w:t>
      </w:r>
      <w:proofErr w:type="spellEnd"/>
      <w:r>
        <w:rPr>
          <w:sz w:val="22"/>
          <w:szCs w:val="22"/>
        </w:rPr>
        <w:t xml:space="preserve"> notowano bardzo rzadko poważne przypadki ostrej toksyczności na układ oddechowy, w tym zespół ostrej niewydolności oddechowej (ARDS, ang. </w:t>
      </w:r>
      <w:proofErr w:type="spellStart"/>
      <w:r>
        <w:rPr>
          <w:sz w:val="22"/>
          <w:szCs w:val="22"/>
        </w:rPr>
        <w:t>acute</w:t>
      </w:r>
      <w:proofErr w:type="spellEnd"/>
      <w:r>
        <w:rPr>
          <w:sz w:val="22"/>
          <w:szCs w:val="22"/>
        </w:rPr>
        <w:t xml:space="preserve"> respiratory </w:t>
      </w:r>
      <w:proofErr w:type="spellStart"/>
      <w:r>
        <w:rPr>
          <w:sz w:val="22"/>
          <w:szCs w:val="22"/>
        </w:rPr>
        <w:t>distress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syndrome</w:t>
      </w:r>
      <w:proofErr w:type="spellEnd"/>
      <w:r>
        <w:rPr>
          <w:sz w:val="22"/>
          <w:szCs w:val="22"/>
        </w:rPr>
        <w:t xml:space="preserve">). Obrzęk płuc zwykle rozwija się w ciągu kilku minut do kilku godzin po przyjęciu </w:t>
      </w:r>
      <w:proofErr w:type="spellStart"/>
      <w:r>
        <w:rPr>
          <w:sz w:val="22"/>
          <w:szCs w:val="22"/>
        </w:rPr>
        <w:t>hydrochlorotiazydu</w:t>
      </w:r>
      <w:proofErr w:type="spellEnd"/>
      <w:r>
        <w:rPr>
          <w:sz w:val="22"/>
          <w:szCs w:val="22"/>
        </w:rPr>
        <w:t xml:space="preserve">. Początkowo objawy obejmują duszność, gorączkę, osłabioną czynność płuc i niedociśnienie tętnicze. Jeśli podejrzewa się rozpoznanie ARDS, należy odstawić </w:t>
      </w:r>
      <w:proofErr w:type="spellStart"/>
      <w:r w:rsidR="00DC057F">
        <w:rPr>
          <w:color w:val="000000"/>
          <w:sz w:val="22"/>
          <w:szCs w:val="22"/>
        </w:rPr>
        <w:t>Presartan</w:t>
      </w:r>
      <w:proofErr w:type="spellEnd"/>
      <w:r w:rsidR="00DC057F">
        <w:rPr>
          <w:color w:val="000000"/>
          <w:sz w:val="22"/>
          <w:szCs w:val="22"/>
        </w:rPr>
        <w:t xml:space="preserve"> H</w:t>
      </w:r>
      <w:r>
        <w:rPr>
          <w:sz w:val="22"/>
          <w:szCs w:val="22"/>
        </w:rPr>
        <w:t xml:space="preserve"> i zastosować odpowiednie leczenie. </w:t>
      </w:r>
      <w:proofErr w:type="spellStart"/>
      <w:r>
        <w:rPr>
          <w:sz w:val="22"/>
          <w:szCs w:val="22"/>
        </w:rPr>
        <w:t>Hydrochlorotiazydu</w:t>
      </w:r>
      <w:proofErr w:type="spellEnd"/>
      <w:r>
        <w:rPr>
          <w:sz w:val="22"/>
          <w:szCs w:val="22"/>
        </w:rPr>
        <w:t xml:space="preserve"> nie należy podawać pacjentom, u których wcześniej po przyjęciu </w:t>
      </w:r>
      <w:proofErr w:type="spellStart"/>
      <w:r>
        <w:rPr>
          <w:sz w:val="22"/>
          <w:szCs w:val="22"/>
        </w:rPr>
        <w:t>hydrochlorotiazydu</w:t>
      </w:r>
      <w:proofErr w:type="spellEnd"/>
      <w:r>
        <w:rPr>
          <w:sz w:val="22"/>
          <w:szCs w:val="22"/>
        </w:rPr>
        <w:t xml:space="preserve"> wystąpił ARDS.</w:t>
      </w:r>
    </w:p>
    <w:p w14:paraId="0D4C5964" w14:textId="77777777" w:rsidR="00851F57" w:rsidRDefault="00851F57" w:rsidP="00374521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473DB0BC" w14:textId="77777777" w:rsidR="00DA01E8" w:rsidRPr="0030379E" w:rsidRDefault="00DA01E8" w:rsidP="00DA01E8">
      <w:pPr>
        <w:autoSpaceDE w:val="0"/>
        <w:autoSpaceDN w:val="0"/>
        <w:adjustRightInd w:val="0"/>
        <w:rPr>
          <w:i/>
          <w:sz w:val="22"/>
          <w:szCs w:val="22"/>
        </w:rPr>
      </w:pPr>
      <w:proofErr w:type="spellStart"/>
      <w:r w:rsidRPr="0030379E">
        <w:rPr>
          <w:i/>
          <w:sz w:val="22"/>
          <w:szCs w:val="22"/>
        </w:rPr>
        <w:t>Nieczerniakowe</w:t>
      </w:r>
      <w:proofErr w:type="spellEnd"/>
      <w:r w:rsidRPr="0030379E">
        <w:rPr>
          <w:i/>
          <w:sz w:val="22"/>
          <w:szCs w:val="22"/>
        </w:rPr>
        <w:t xml:space="preserve"> nowotwory złośliwe skóry </w:t>
      </w:r>
    </w:p>
    <w:p w14:paraId="24B1ED26" w14:textId="77777777" w:rsidR="00DA01E8" w:rsidRPr="00374521" w:rsidRDefault="00DA01E8" w:rsidP="00374521">
      <w:pPr>
        <w:autoSpaceDE w:val="0"/>
        <w:autoSpaceDN w:val="0"/>
        <w:adjustRightInd w:val="0"/>
        <w:rPr>
          <w:sz w:val="22"/>
          <w:szCs w:val="22"/>
          <w:u w:val="single"/>
        </w:rPr>
      </w:pPr>
      <w:r w:rsidRPr="0030379E">
        <w:rPr>
          <w:sz w:val="22"/>
          <w:szCs w:val="22"/>
        </w:rPr>
        <w:t xml:space="preserve">W dwóch badaniach epidemiologicznych z wykorzystaniem danych z duńskiego krajowego rejestru nowotworów złośliwych stwierdzono zwiększenie ryzyka </w:t>
      </w:r>
      <w:proofErr w:type="spellStart"/>
      <w:r w:rsidRPr="0030379E">
        <w:rPr>
          <w:sz w:val="22"/>
          <w:szCs w:val="22"/>
        </w:rPr>
        <w:t>nieczerniakowych</w:t>
      </w:r>
      <w:proofErr w:type="spellEnd"/>
      <w:r w:rsidRPr="0030379E">
        <w:rPr>
          <w:sz w:val="22"/>
          <w:szCs w:val="22"/>
        </w:rPr>
        <w:t xml:space="preserve"> nowotworów złośliwych skóry (NMSC, ang. non-melanoma skin </w:t>
      </w:r>
      <w:proofErr w:type="spellStart"/>
      <w:r w:rsidRPr="0030379E">
        <w:rPr>
          <w:sz w:val="22"/>
          <w:szCs w:val="22"/>
        </w:rPr>
        <w:t>cancer</w:t>
      </w:r>
      <w:proofErr w:type="spellEnd"/>
      <w:r w:rsidRPr="0030379E">
        <w:rPr>
          <w:sz w:val="22"/>
          <w:szCs w:val="22"/>
        </w:rPr>
        <w:t xml:space="preserve">) [raka </w:t>
      </w:r>
      <w:proofErr w:type="spellStart"/>
      <w:r w:rsidRPr="0030379E">
        <w:rPr>
          <w:sz w:val="22"/>
          <w:szCs w:val="22"/>
        </w:rPr>
        <w:t>podstawnokomórkowego</w:t>
      </w:r>
      <w:proofErr w:type="spellEnd"/>
      <w:r w:rsidRPr="0030379E">
        <w:rPr>
          <w:sz w:val="22"/>
          <w:szCs w:val="22"/>
        </w:rPr>
        <w:t xml:space="preserve"> (BCC, ang. </w:t>
      </w:r>
      <w:proofErr w:type="spellStart"/>
      <w:r w:rsidRPr="0030379E">
        <w:rPr>
          <w:sz w:val="22"/>
          <w:szCs w:val="22"/>
        </w:rPr>
        <w:t>basal</w:t>
      </w:r>
      <w:proofErr w:type="spellEnd"/>
      <w:r w:rsidRPr="0030379E">
        <w:rPr>
          <w:sz w:val="22"/>
          <w:szCs w:val="22"/>
        </w:rPr>
        <w:t xml:space="preserve"> </w:t>
      </w:r>
      <w:proofErr w:type="spellStart"/>
      <w:r w:rsidRPr="0030379E">
        <w:rPr>
          <w:sz w:val="22"/>
          <w:szCs w:val="22"/>
        </w:rPr>
        <w:t>cell</w:t>
      </w:r>
      <w:proofErr w:type="spellEnd"/>
      <w:r w:rsidRPr="0030379E">
        <w:rPr>
          <w:sz w:val="22"/>
          <w:szCs w:val="22"/>
        </w:rPr>
        <w:t xml:space="preserve"> carcinoma) i raka </w:t>
      </w:r>
      <w:proofErr w:type="spellStart"/>
      <w:r w:rsidRPr="0030379E">
        <w:rPr>
          <w:sz w:val="22"/>
          <w:szCs w:val="22"/>
        </w:rPr>
        <w:t>kolczystokomórkowego</w:t>
      </w:r>
      <w:proofErr w:type="spellEnd"/>
      <w:r w:rsidRPr="0030379E">
        <w:rPr>
          <w:sz w:val="22"/>
          <w:szCs w:val="22"/>
        </w:rPr>
        <w:t xml:space="preserve"> (SCC, ang. </w:t>
      </w:r>
      <w:proofErr w:type="spellStart"/>
      <w:r w:rsidRPr="0030379E">
        <w:rPr>
          <w:sz w:val="22"/>
          <w:szCs w:val="22"/>
        </w:rPr>
        <w:t>squamous</w:t>
      </w:r>
      <w:proofErr w:type="spellEnd"/>
      <w:r w:rsidRPr="0030379E">
        <w:rPr>
          <w:sz w:val="22"/>
          <w:szCs w:val="22"/>
        </w:rPr>
        <w:t xml:space="preserve"> </w:t>
      </w:r>
      <w:proofErr w:type="spellStart"/>
      <w:r w:rsidRPr="0030379E">
        <w:rPr>
          <w:sz w:val="22"/>
          <w:szCs w:val="22"/>
        </w:rPr>
        <w:t>cell</w:t>
      </w:r>
      <w:proofErr w:type="spellEnd"/>
      <w:r w:rsidRPr="0030379E">
        <w:rPr>
          <w:sz w:val="22"/>
          <w:szCs w:val="22"/>
        </w:rPr>
        <w:t xml:space="preserve"> carcinoma)] w warunkach zwiększającego się łącznego narażenia organizmu na </w:t>
      </w:r>
      <w:proofErr w:type="spellStart"/>
      <w:r w:rsidRPr="0030379E">
        <w:rPr>
          <w:sz w:val="22"/>
          <w:szCs w:val="22"/>
        </w:rPr>
        <w:t>hydrochlorotiazyd</w:t>
      </w:r>
      <w:proofErr w:type="spellEnd"/>
      <w:r w:rsidRPr="0030379E">
        <w:rPr>
          <w:sz w:val="22"/>
          <w:szCs w:val="22"/>
        </w:rPr>
        <w:t xml:space="preserve"> (HCTZ). W mechanizmie rozwoju NMCS mogą odgrywać rolę właściwości fotouczulające HCTZ. Pacjentów przyjmujących HCTZ należy poinformować o ryzyku NMSC i zalecić regularne sprawdzanie, czy na skórze nie pojawiły się nowe zmiany, i szybki kontakt z lekarzem w przypadku stwierdzenia jakichkolwiek podejrzanych zmian skórnych. Pacjentom należy zalecić podejmowanie możliwych działań zapobiegawczych w celu minimalizacji ryzyka rozwoju nowotworów złośliwych skóry, jak ograniczanie narażania się na działanie światła słonecznego i promieniowania UV, a jeśli to niemożliwe - odpowiednią ochronę. Niepokojące zmiany skórne należy niezwłocznie badać z </w:t>
      </w:r>
      <w:r w:rsidRPr="0030379E">
        <w:rPr>
          <w:sz w:val="22"/>
          <w:szCs w:val="22"/>
        </w:rPr>
        <w:lastRenderedPageBreak/>
        <w:t>możliwością wykonania biopsji z oceną histologiczną. U osób, u których w przeszłości występowały NMSC, może być konieczne ponowne rozważenie stosowania HCTZ (patrz również punkt 4.8).</w:t>
      </w:r>
    </w:p>
    <w:p w14:paraId="58E37DE8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</w:p>
    <w:p w14:paraId="2A62027A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Niedociśnienie i zaburzenia gospodarki wodno-elektrolitowej</w:t>
      </w:r>
    </w:p>
    <w:p w14:paraId="0D05C9F5" w14:textId="77777777" w:rsidR="00556DD0" w:rsidRPr="00374521" w:rsidRDefault="00322C29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Podobnie j</w:t>
      </w:r>
      <w:r w:rsidR="00556DD0" w:rsidRPr="00374521">
        <w:rPr>
          <w:sz w:val="22"/>
          <w:szCs w:val="22"/>
        </w:rPr>
        <w:t xml:space="preserve">ak w przypadku </w:t>
      </w:r>
      <w:r w:rsidRPr="00374521">
        <w:rPr>
          <w:sz w:val="22"/>
          <w:szCs w:val="22"/>
        </w:rPr>
        <w:t xml:space="preserve">stosowania </w:t>
      </w:r>
      <w:r w:rsidR="00556DD0" w:rsidRPr="00374521">
        <w:rPr>
          <w:sz w:val="22"/>
          <w:szCs w:val="22"/>
        </w:rPr>
        <w:t xml:space="preserve">wszystkich </w:t>
      </w:r>
      <w:r w:rsidRPr="00374521">
        <w:rPr>
          <w:sz w:val="22"/>
          <w:szCs w:val="22"/>
        </w:rPr>
        <w:t xml:space="preserve">produktów </w:t>
      </w:r>
      <w:proofErr w:type="spellStart"/>
      <w:r w:rsidRPr="00374521">
        <w:rPr>
          <w:sz w:val="22"/>
          <w:szCs w:val="22"/>
        </w:rPr>
        <w:t>przeciwnadciśnieniowych</w:t>
      </w:r>
      <w:proofErr w:type="spellEnd"/>
      <w:r w:rsidRPr="00374521">
        <w:rPr>
          <w:sz w:val="22"/>
          <w:szCs w:val="22"/>
        </w:rPr>
        <w:t>,</w:t>
      </w:r>
      <w:r w:rsidR="00556DD0" w:rsidRPr="00374521">
        <w:rPr>
          <w:sz w:val="22"/>
          <w:szCs w:val="22"/>
        </w:rPr>
        <w:t xml:space="preserve"> u niektórych pacjentów może </w:t>
      </w:r>
      <w:r w:rsidRPr="00374521">
        <w:rPr>
          <w:sz w:val="22"/>
          <w:szCs w:val="22"/>
        </w:rPr>
        <w:t>wystąpić</w:t>
      </w:r>
      <w:r w:rsidR="00556DD0" w:rsidRPr="00374521">
        <w:rPr>
          <w:sz w:val="22"/>
          <w:szCs w:val="22"/>
        </w:rPr>
        <w:t xml:space="preserve"> niedociśnienie</w:t>
      </w:r>
      <w:r w:rsidRPr="00374521">
        <w:rPr>
          <w:sz w:val="22"/>
          <w:szCs w:val="22"/>
        </w:rPr>
        <w:t xml:space="preserve"> objawowe</w:t>
      </w:r>
      <w:r w:rsidR="00556DD0" w:rsidRPr="00374521">
        <w:rPr>
          <w:sz w:val="22"/>
          <w:szCs w:val="22"/>
        </w:rPr>
        <w:t xml:space="preserve">. </w:t>
      </w:r>
      <w:r w:rsidRPr="00374521">
        <w:rPr>
          <w:sz w:val="22"/>
          <w:szCs w:val="22"/>
        </w:rPr>
        <w:t>Pacjentów n</w:t>
      </w:r>
      <w:r w:rsidR="00556DD0" w:rsidRPr="00374521">
        <w:rPr>
          <w:sz w:val="22"/>
          <w:szCs w:val="22"/>
        </w:rPr>
        <w:t xml:space="preserve">ależy obserwować </w:t>
      </w:r>
      <w:r w:rsidR="002C6DA7" w:rsidRPr="00374521">
        <w:rPr>
          <w:sz w:val="22"/>
          <w:szCs w:val="22"/>
        </w:rPr>
        <w:t xml:space="preserve">w kierunku </w:t>
      </w:r>
      <w:r w:rsidR="00556DD0" w:rsidRPr="00374521">
        <w:rPr>
          <w:sz w:val="22"/>
          <w:szCs w:val="22"/>
        </w:rPr>
        <w:t xml:space="preserve">objawów </w:t>
      </w:r>
      <w:r w:rsidR="00CE20CD" w:rsidRPr="00374521">
        <w:rPr>
          <w:sz w:val="22"/>
          <w:szCs w:val="22"/>
        </w:rPr>
        <w:t xml:space="preserve">klinicznych </w:t>
      </w:r>
      <w:r w:rsidR="00556DD0" w:rsidRPr="00374521">
        <w:rPr>
          <w:sz w:val="22"/>
          <w:szCs w:val="22"/>
        </w:rPr>
        <w:t>zaburzeń gospodarki wodno-elektrolitowej</w:t>
      </w:r>
      <w:r w:rsidRPr="00374521">
        <w:rPr>
          <w:sz w:val="22"/>
          <w:szCs w:val="22"/>
        </w:rPr>
        <w:t>,</w:t>
      </w:r>
      <w:r w:rsidR="00556DD0" w:rsidRPr="00374521">
        <w:rPr>
          <w:sz w:val="22"/>
          <w:szCs w:val="22"/>
        </w:rPr>
        <w:t xml:space="preserve"> takich jak: zmniejszenie objętości </w:t>
      </w:r>
      <w:r w:rsidRPr="00374521">
        <w:rPr>
          <w:sz w:val="22"/>
          <w:szCs w:val="22"/>
        </w:rPr>
        <w:t>wewnątrznaczyniowej</w:t>
      </w:r>
      <w:r w:rsidR="00556DD0" w:rsidRPr="00374521">
        <w:rPr>
          <w:sz w:val="22"/>
          <w:szCs w:val="22"/>
        </w:rPr>
        <w:t>, h</w:t>
      </w:r>
      <w:r w:rsidRPr="00374521">
        <w:rPr>
          <w:sz w:val="22"/>
          <w:szCs w:val="22"/>
        </w:rPr>
        <w:t>i</w:t>
      </w:r>
      <w:r w:rsidR="00556DD0" w:rsidRPr="00374521">
        <w:rPr>
          <w:sz w:val="22"/>
          <w:szCs w:val="22"/>
        </w:rPr>
        <w:t>ponatremi</w:t>
      </w:r>
      <w:r w:rsidRPr="00374521">
        <w:rPr>
          <w:sz w:val="22"/>
          <w:szCs w:val="22"/>
        </w:rPr>
        <w:t>a</w:t>
      </w:r>
      <w:r w:rsidR="00556DD0" w:rsidRPr="00374521">
        <w:rPr>
          <w:sz w:val="22"/>
          <w:szCs w:val="22"/>
        </w:rPr>
        <w:t xml:space="preserve">, </w:t>
      </w:r>
      <w:proofErr w:type="spellStart"/>
      <w:r w:rsidRPr="00374521">
        <w:rPr>
          <w:sz w:val="22"/>
          <w:szCs w:val="22"/>
        </w:rPr>
        <w:t>zasadowica</w:t>
      </w:r>
      <w:proofErr w:type="spellEnd"/>
      <w:r w:rsidRPr="00374521">
        <w:rPr>
          <w:sz w:val="22"/>
          <w:szCs w:val="22"/>
        </w:rPr>
        <w:t xml:space="preserve"> </w:t>
      </w:r>
      <w:proofErr w:type="spellStart"/>
      <w:r w:rsidRPr="00374521">
        <w:rPr>
          <w:sz w:val="22"/>
          <w:szCs w:val="22"/>
        </w:rPr>
        <w:t>hipochloremiczna</w:t>
      </w:r>
      <w:proofErr w:type="spellEnd"/>
      <w:r w:rsidR="00556DD0" w:rsidRPr="00374521">
        <w:rPr>
          <w:sz w:val="22"/>
          <w:szCs w:val="22"/>
        </w:rPr>
        <w:t xml:space="preserve">, </w:t>
      </w:r>
      <w:proofErr w:type="spellStart"/>
      <w:r w:rsidR="00CE20CD" w:rsidRPr="00374521">
        <w:rPr>
          <w:sz w:val="22"/>
          <w:szCs w:val="22"/>
        </w:rPr>
        <w:t>hipomagnezemia</w:t>
      </w:r>
      <w:proofErr w:type="spellEnd"/>
      <w:r w:rsidR="00556DD0" w:rsidRPr="00374521">
        <w:rPr>
          <w:sz w:val="22"/>
          <w:szCs w:val="22"/>
        </w:rPr>
        <w:t xml:space="preserve"> lub </w:t>
      </w:r>
      <w:r w:rsidR="00CE20CD" w:rsidRPr="00374521">
        <w:rPr>
          <w:sz w:val="22"/>
          <w:szCs w:val="22"/>
        </w:rPr>
        <w:t xml:space="preserve">hipokaliemia, </w:t>
      </w:r>
      <w:r w:rsidR="00556DD0" w:rsidRPr="00374521">
        <w:rPr>
          <w:sz w:val="22"/>
          <w:szCs w:val="22"/>
        </w:rPr>
        <w:t>któr</w:t>
      </w:r>
      <w:r w:rsidR="00CE20CD" w:rsidRPr="00374521">
        <w:rPr>
          <w:sz w:val="22"/>
          <w:szCs w:val="22"/>
        </w:rPr>
        <w:t>e</w:t>
      </w:r>
      <w:r w:rsidR="00556DD0" w:rsidRPr="00374521">
        <w:rPr>
          <w:sz w:val="22"/>
          <w:szCs w:val="22"/>
        </w:rPr>
        <w:t xml:space="preserve"> mo</w:t>
      </w:r>
      <w:r w:rsidR="00CE20CD" w:rsidRPr="00374521">
        <w:rPr>
          <w:sz w:val="22"/>
          <w:szCs w:val="22"/>
        </w:rPr>
        <w:t>gą</w:t>
      </w:r>
      <w:r w:rsidR="00556DD0" w:rsidRPr="00374521">
        <w:rPr>
          <w:sz w:val="22"/>
          <w:szCs w:val="22"/>
        </w:rPr>
        <w:t xml:space="preserve"> wystąpić w wyniku biegunki lub wymiotów. </w:t>
      </w:r>
    </w:p>
    <w:p w14:paraId="322161FE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 xml:space="preserve">U takich pacjentów należy regularnie </w:t>
      </w:r>
      <w:r w:rsidR="00CE20CD" w:rsidRPr="00374521">
        <w:rPr>
          <w:sz w:val="22"/>
          <w:szCs w:val="22"/>
        </w:rPr>
        <w:t>oznaczać stężenie</w:t>
      </w:r>
      <w:r w:rsidRPr="00374521">
        <w:rPr>
          <w:sz w:val="22"/>
          <w:szCs w:val="22"/>
        </w:rPr>
        <w:t xml:space="preserve"> elektrolitów w osoczu. Hiponatremia z rozcieńczenia może wystąpić u pacjentów z obrzękami</w:t>
      </w:r>
      <w:r w:rsidR="009F1FB8" w:rsidRPr="00374521">
        <w:rPr>
          <w:sz w:val="22"/>
          <w:szCs w:val="22"/>
        </w:rPr>
        <w:t>,</w:t>
      </w:r>
      <w:r w:rsidRPr="00374521">
        <w:rPr>
          <w:sz w:val="22"/>
          <w:szCs w:val="22"/>
        </w:rPr>
        <w:t xml:space="preserve"> </w:t>
      </w:r>
      <w:r w:rsidR="00CE20CD" w:rsidRPr="00374521">
        <w:rPr>
          <w:sz w:val="22"/>
          <w:szCs w:val="22"/>
        </w:rPr>
        <w:t>podczas</w:t>
      </w:r>
      <w:r w:rsidR="009F1FB8" w:rsidRPr="00374521">
        <w:rPr>
          <w:sz w:val="22"/>
          <w:szCs w:val="22"/>
        </w:rPr>
        <w:t xml:space="preserve"> występowani</w:t>
      </w:r>
      <w:r w:rsidR="009A1352" w:rsidRPr="00374521">
        <w:rPr>
          <w:sz w:val="22"/>
          <w:szCs w:val="22"/>
        </w:rPr>
        <w:t>a</w:t>
      </w:r>
      <w:r w:rsidR="00CE20CD" w:rsidRPr="00374521">
        <w:rPr>
          <w:sz w:val="22"/>
          <w:szCs w:val="22"/>
        </w:rPr>
        <w:t xml:space="preserve"> </w:t>
      </w:r>
      <w:r w:rsidR="00921A1D" w:rsidRPr="00374521">
        <w:rPr>
          <w:sz w:val="22"/>
          <w:szCs w:val="22"/>
        </w:rPr>
        <w:t>upałów</w:t>
      </w:r>
      <w:r w:rsidRPr="00374521">
        <w:rPr>
          <w:sz w:val="22"/>
          <w:szCs w:val="22"/>
        </w:rPr>
        <w:t>.</w:t>
      </w:r>
    </w:p>
    <w:p w14:paraId="45B92AA2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6BA56F20" w14:textId="77777777" w:rsidR="00556DD0" w:rsidRPr="00374521" w:rsidRDefault="00921A1D" w:rsidP="00374521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Wpływ na m</w:t>
      </w:r>
      <w:r w:rsidR="00556DD0" w:rsidRPr="00374521">
        <w:rPr>
          <w:i/>
          <w:sz w:val="22"/>
          <w:szCs w:val="22"/>
        </w:rPr>
        <w:t>etabolizm i układ wewnątrzwydzielniczy</w:t>
      </w:r>
    </w:p>
    <w:p w14:paraId="44A51C81" w14:textId="77777777" w:rsidR="00556DD0" w:rsidRPr="00374521" w:rsidRDefault="00921A1D" w:rsidP="00374521">
      <w:pPr>
        <w:keepNext/>
        <w:rPr>
          <w:bCs/>
          <w:sz w:val="22"/>
          <w:szCs w:val="22"/>
        </w:rPr>
      </w:pPr>
      <w:r w:rsidRPr="00374521">
        <w:rPr>
          <w:sz w:val="22"/>
          <w:szCs w:val="22"/>
        </w:rPr>
        <w:t xml:space="preserve">Podawanie </w:t>
      </w:r>
      <w:proofErr w:type="spellStart"/>
      <w:r w:rsidR="00556DD0" w:rsidRPr="00374521">
        <w:rPr>
          <w:sz w:val="22"/>
          <w:szCs w:val="22"/>
        </w:rPr>
        <w:t>tiazyd</w:t>
      </w:r>
      <w:r w:rsidR="0044223E" w:rsidRPr="00374521">
        <w:rPr>
          <w:sz w:val="22"/>
          <w:szCs w:val="22"/>
        </w:rPr>
        <w:t>ów</w:t>
      </w:r>
      <w:proofErr w:type="spellEnd"/>
      <w:r w:rsidR="00556DD0" w:rsidRPr="00374521">
        <w:rPr>
          <w:sz w:val="22"/>
          <w:szCs w:val="22"/>
        </w:rPr>
        <w:t xml:space="preserve"> może </w:t>
      </w:r>
      <w:r w:rsidRPr="00374521">
        <w:rPr>
          <w:sz w:val="22"/>
          <w:szCs w:val="22"/>
        </w:rPr>
        <w:t xml:space="preserve">zaburzać </w:t>
      </w:r>
      <w:r w:rsidR="00556DD0" w:rsidRPr="00374521">
        <w:rPr>
          <w:sz w:val="22"/>
          <w:szCs w:val="22"/>
        </w:rPr>
        <w:t xml:space="preserve">tolerancję glukozy. Może być konieczne </w:t>
      </w:r>
      <w:r w:rsidR="00291EFC" w:rsidRPr="00374521">
        <w:rPr>
          <w:sz w:val="22"/>
          <w:szCs w:val="22"/>
        </w:rPr>
        <w:t xml:space="preserve">dostosowanie </w:t>
      </w:r>
      <w:r w:rsidR="00556DD0" w:rsidRPr="00374521">
        <w:rPr>
          <w:sz w:val="22"/>
          <w:szCs w:val="22"/>
        </w:rPr>
        <w:t>dawki leków przeciwcukrzycowych, w tym insuliny (patrz punkt 4.5</w:t>
      </w:r>
      <w:r w:rsidR="00556DD0" w:rsidRPr="00374521">
        <w:rPr>
          <w:bCs/>
          <w:sz w:val="22"/>
          <w:szCs w:val="22"/>
        </w:rPr>
        <w:t xml:space="preserve">). </w:t>
      </w:r>
      <w:r w:rsidR="006501AE" w:rsidRPr="00374521">
        <w:rPr>
          <w:bCs/>
          <w:sz w:val="22"/>
          <w:szCs w:val="22"/>
        </w:rPr>
        <w:t>C</w:t>
      </w:r>
      <w:r w:rsidR="00556DD0" w:rsidRPr="00374521">
        <w:rPr>
          <w:bCs/>
          <w:sz w:val="22"/>
          <w:szCs w:val="22"/>
        </w:rPr>
        <w:t xml:space="preserve">ukrzyca </w:t>
      </w:r>
      <w:r w:rsidR="006501AE" w:rsidRPr="00374521">
        <w:rPr>
          <w:bCs/>
          <w:sz w:val="22"/>
          <w:szCs w:val="22"/>
        </w:rPr>
        <w:t xml:space="preserve">utajona </w:t>
      </w:r>
      <w:r w:rsidR="00556DD0" w:rsidRPr="00374521">
        <w:rPr>
          <w:bCs/>
          <w:sz w:val="22"/>
          <w:szCs w:val="22"/>
        </w:rPr>
        <w:t xml:space="preserve">może </w:t>
      </w:r>
      <w:r w:rsidR="006501AE" w:rsidRPr="00374521">
        <w:rPr>
          <w:bCs/>
          <w:sz w:val="22"/>
          <w:szCs w:val="22"/>
        </w:rPr>
        <w:t xml:space="preserve">ujawnić się </w:t>
      </w:r>
      <w:r w:rsidR="00556DD0" w:rsidRPr="00374521">
        <w:rPr>
          <w:bCs/>
          <w:sz w:val="22"/>
          <w:szCs w:val="22"/>
        </w:rPr>
        <w:t xml:space="preserve">w trakcie leczenia </w:t>
      </w:r>
      <w:proofErr w:type="spellStart"/>
      <w:r w:rsidR="00556DD0" w:rsidRPr="00374521">
        <w:rPr>
          <w:bCs/>
          <w:sz w:val="22"/>
          <w:szCs w:val="22"/>
        </w:rPr>
        <w:t>diuretykami</w:t>
      </w:r>
      <w:proofErr w:type="spellEnd"/>
      <w:r w:rsidR="00556DD0" w:rsidRPr="00374521">
        <w:rPr>
          <w:bCs/>
          <w:sz w:val="22"/>
          <w:szCs w:val="22"/>
        </w:rPr>
        <w:t xml:space="preserve"> </w:t>
      </w:r>
      <w:proofErr w:type="spellStart"/>
      <w:r w:rsidR="00556DD0" w:rsidRPr="00374521">
        <w:rPr>
          <w:bCs/>
          <w:sz w:val="22"/>
          <w:szCs w:val="22"/>
        </w:rPr>
        <w:t>tiazydowymi</w:t>
      </w:r>
      <w:proofErr w:type="spellEnd"/>
      <w:r w:rsidR="00556DD0" w:rsidRPr="00374521">
        <w:rPr>
          <w:bCs/>
          <w:sz w:val="22"/>
          <w:szCs w:val="22"/>
        </w:rPr>
        <w:t xml:space="preserve">. </w:t>
      </w:r>
    </w:p>
    <w:p w14:paraId="0D4360B3" w14:textId="77777777" w:rsidR="00556DD0" w:rsidRPr="00374521" w:rsidRDefault="00556DD0" w:rsidP="00374521">
      <w:pPr>
        <w:keepNext/>
        <w:rPr>
          <w:bCs/>
          <w:sz w:val="22"/>
          <w:szCs w:val="22"/>
        </w:rPr>
      </w:pPr>
    </w:p>
    <w:p w14:paraId="6CE172B7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374521">
        <w:rPr>
          <w:sz w:val="22"/>
          <w:szCs w:val="22"/>
        </w:rPr>
        <w:t>Tiazydy</w:t>
      </w:r>
      <w:proofErr w:type="spellEnd"/>
      <w:r w:rsidRPr="00374521">
        <w:rPr>
          <w:sz w:val="22"/>
          <w:szCs w:val="22"/>
        </w:rPr>
        <w:t xml:space="preserve"> mogą zmniejszać wydalanie wapnia z moczem, co może skutkować </w:t>
      </w:r>
      <w:r w:rsidR="001D7520" w:rsidRPr="00374521">
        <w:rPr>
          <w:sz w:val="22"/>
          <w:szCs w:val="22"/>
        </w:rPr>
        <w:t>przemijającym i niewielkim zwiększeniem</w:t>
      </w:r>
      <w:r w:rsidRPr="00374521">
        <w:rPr>
          <w:sz w:val="22"/>
          <w:szCs w:val="22"/>
        </w:rPr>
        <w:t xml:space="preserve"> jego </w:t>
      </w:r>
      <w:r w:rsidR="009F1FB8" w:rsidRPr="00374521">
        <w:rPr>
          <w:sz w:val="22"/>
          <w:szCs w:val="22"/>
        </w:rPr>
        <w:t>stężenia</w:t>
      </w:r>
      <w:r w:rsidRPr="00374521">
        <w:rPr>
          <w:sz w:val="22"/>
          <w:szCs w:val="22"/>
        </w:rPr>
        <w:t xml:space="preserve"> w osoczu. Znacząca hiperkalcemia może być objawem ukrytej nadczynności przytarczyc. </w:t>
      </w:r>
      <w:r w:rsidR="003D440C" w:rsidRPr="00374521">
        <w:rPr>
          <w:sz w:val="22"/>
          <w:szCs w:val="22"/>
        </w:rPr>
        <w:t xml:space="preserve">Przed wykonaniem testów czynnościowych przytarczyc </w:t>
      </w:r>
      <w:r w:rsidR="001D7520" w:rsidRPr="00374521">
        <w:rPr>
          <w:sz w:val="22"/>
          <w:szCs w:val="22"/>
        </w:rPr>
        <w:t>należy</w:t>
      </w:r>
      <w:r w:rsidR="003D440C" w:rsidRPr="00374521">
        <w:rPr>
          <w:sz w:val="22"/>
          <w:szCs w:val="22"/>
        </w:rPr>
        <w:t xml:space="preserve"> zaprzestać stosowania leków z grupy </w:t>
      </w:r>
      <w:proofErr w:type="spellStart"/>
      <w:r w:rsidR="003D440C" w:rsidRPr="00374521">
        <w:rPr>
          <w:sz w:val="22"/>
          <w:szCs w:val="22"/>
        </w:rPr>
        <w:t>tiazydów</w:t>
      </w:r>
      <w:proofErr w:type="spellEnd"/>
      <w:r w:rsidRPr="00374521">
        <w:rPr>
          <w:sz w:val="22"/>
          <w:szCs w:val="22"/>
        </w:rPr>
        <w:t xml:space="preserve">. </w:t>
      </w:r>
    </w:p>
    <w:p w14:paraId="1FFABF75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718FB169" w14:textId="77777777" w:rsidR="00556DD0" w:rsidRPr="00374521" w:rsidRDefault="003D440C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 xml:space="preserve">Zwiększenie stężenia cholesterolu i trójglicerydów może być związane ze stosowaniem leków moczopędnych z grupy </w:t>
      </w:r>
      <w:proofErr w:type="spellStart"/>
      <w:r w:rsidRPr="00374521">
        <w:rPr>
          <w:sz w:val="22"/>
          <w:szCs w:val="22"/>
        </w:rPr>
        <w:t>tiazydów</w:t>
      </w:r>
      <w:proofErr w:type="spellEnd"/>
      <w:r w:rsidRPr="00374521">
        <w:rPr>
          <w:sz w:val="22"/>
          <w:szCs w:val="22"/>
        </w:rPr>
        <w:t>.</w:t>
      </w:r>
      <w:r w:rsidR="00556DD0" w:rsidRPr="00374521">
        <w:rPr>
          <w:sz w:val="22"/>
          <w:szCs w:val="22"/>
        </w:rPr>
        <w:t xml:space="preserve"> </w:t>
      </w:r>
    </w:p>
    <w:p w14:paraId="3095F50B" w14:textId="77777777" w:rsidR="001D7520" w:rsidRPr="00374521" w:rsidRDefault="001D752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03E6700E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 xml:space="preserve">U niektórych pacjentów stosowanie </w:t>
      </w:r>
      <w:proofErr w:type="spellStart"/>
      <w:r w:rsidRPr="00374521">
        <w:rPr>
          <w:sz w:val="22"/>
          <w:szCs w:val="22"/>
        </w:rPr>
        <w:t>tiazydów</w:t>
      </w:r>
      <w:proofErr w:type="spellEnd"/>
      <w:r w:rsidRPr="00374521">
        <w:rPr>
          <w:sz w:val="22"/>
          <w:szCs w:val="22"/>
        </w:rPr>
        <w:t xml:space="preserve"> może spowodować </w:t>
      </w:r>
      <w:proofErr w:type="spellStart"/>
      <w:r w:rsidR="005F29F2" w:rsidRPr="00374521">
        <w:rPr>
          <w:sz w:val="22"/>
          <w:szCs w:val="22"/>
        </w:rPr>
        <w:t>hiperurykemię</w:t>
      </w:r>
      <w:proofErr w:type="spellEnd"/>
      <w:r w:rsidR="005F29F2" w:rsidRPr="00374521">
        <w:rPr>
          <w:sz w:val="22"/>
          <w:szCs w:val="22"/>
        </w:rPr>
        <w:t xml:space="preserve"> </w:t>
      </w:r>
      <w:r w:rsidRPr="00374521">
        <w:rPr>
          <w:sz w:val="22"/>
          <w:szCs w:val="22"/>
        </w:rPr>
        <w:t>i (lub) dn</w:t>
      </w:r>
      <w:r w:rsidR="005F29F2" w:rsidRPr="00374521">
        <w:rPr>
          <w:sz w:val="22"/>
          <w:szCs w:val="22"/>
        </w:rPr>
        <w:t>ę</w:t>
      </w:r>
      <w:r w:rsidRPr="00374521">
        <w:rPr>
          <w:sz w:val="22"/>
          <w:szCs w:val="22"/>
        </w:rPr>
        <w:t xml:space="preserve">. Ponieważ </w:t>
      </w:r>
      <w:proofErr w:type="spellStart"/>
      <w:r w:rsidRPr="00374521">
        <w:rPr>
          <w:sz w:val="22"/>
          <w:szCs w:val="22"/>
        </w:rPr>
        <w:t>losartan</w:t>
      </w:r>
      <w:proofErr w:type="spellEnd"/>
      <w:r w:rsidRPr="00374521">
        <w:rPr>
          <w:sz w:val="22"/>
          <w:szCs w:val="22"/>
        </w:rPr>
        <w:t xml:space="preserve"> zmniejsza stężenie kwasu moczowego we krwi, stosowanie </w:t>
      </w:r>
      <w:proofErr w:type="spellStart"/>
      <w:r w:rsidRPr="00374521">
        <w:rPr>
          <w:sz w:val="22"/>
          <w:szCs w:val="22"/>
        </w:rPr>
        <w:t>losartanu</w:t>
      </w:r>
      <w:proofErr w:type="spellEnd"/>
      <w:r w:rsidRPr="00374521">
        <w:rPr>
          <w:sz w:val="22"/>
          <w:szCs w:val="22"/>
        </w:rPr>
        <w:t xml:space="preserve"> w </w:t>
      </w:r>
      <w:r w:rsidR="005F29F2" w:rsidRPr="00374521">
        <w:rPr>
          <w:sz w:val="22"/>
          <w:szCs w:val="22"/>
        </w:rPr>
        <w:t xml:space="preserve">skojarzeniu </w:t>
      </w:r>
      <w:r w:rsidRPr="00374521">
        <w:rPr>
          <w:sz w:val="22"/>
          <w:szCs w:val="22"/>
        </w:rPr>
        <w:t xml:space="preserve">z </w:t>
      </w:r>
      <w:proofErr w:type="spellStart"/>
      <w:r w:rsidRPr="00374521">
        <w:rPr>
          <w:sz w:val="22"/>
          <w:szCs w:val="22"/>
        </w:rPr>
        <w:t>hydrochlorotiazydem</w:t>
      </w:r>
      <w:proofErr w:type="spellEnd"/>
      <w:r w:rsidRPr="00374521">
        <w:rPr>
          <w:sz w:val="22"/>
          <w:szCs w:val="22"/>
        </w:rPr>
        <w:t xml:space="preserve"> </w:t>
      </w:r>
      <w:r w:rsidR="005F29F2" w:rsidRPr="00374521">
        <w:rPr>
          <w:sz w:val="22"/>
          <w:szCs w:val="22"/>
        </w:rPr>
        <w:t>łagodzi</w:t>
      </w:r>
      <w:r w:rsidRPr="00374521">
        <w:rPr>
          <w:sz w:val="22"/>
          <w:szCs w:val="22"/>
        </w:rPr>
        <w:t xml:space="preserve"> </w:t>
      </w:r>
      <w:proofErr w:type="spellStart"/>
      <w:r w:rsidRPr="00374521">
        <w:rPr>
          <w:sz w:val="22"/>
          <w:szCs w:val="22"/>
        </w:rPr>
        <w:t>hiperurykemi</w:t>
      </w:r>
      <w:r w:rsidR="005F29F2" w:rsidRPr="00374521">
        <w:rPr>
          <w:sz w:val="22"/>
          <w:szCs w:val="22"/>
        </w:rPr>
        <w:t>ę</w:t>
      </w:r>
      <w:proofErr w:type="spellEnd"/>
      <w:r w:rsidR="005F29F2" w:rsidRPr="00374521">
        <w:rPr>
          <w:sz w:val="22"/>
          <w:szCs w:val="22"/>
        </w:rPr>
        <w:t xml:space="preserve"> spowodowaną</w:t>
      </w:r>
      <w:r w:rsidRPr="00374521">
        <w:rPr>
          <w:sz w:val="22"/>
          <w:szCs w:val="22"/>
        </w:rPr>
        <w:t xml:space="preserve"> przez leki moczopędne. </w:t>
      </w:r>
    </w:p>
    <w:p w14:paraId="3A658062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62FB0B63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Zaburzenia czynności wątroby</w:t>
      </w:r>
    </w:p>
    <w:p w14:paraId="53F0C25C" w14:textId="77777777" w:rsidR="003D440C" w:rsidRPr="00374521" w:rsidRDefault="005F29F2" w:rsidP="00374521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374521">
        <w:rPr>
          <w:sz w:val="22"/>
          <w:szCs w:val="22"/>
        </w:rPr>
        <w:t>Tiazydy</w:t>
      </w:r>
      <w:proofErr w:type="spellEnd"/>
      <w:r w:rsidRPr="00374521">
        <w:rPr>
          <w:sz w:val="22"/>
          <w:szCs w:val="22"/>
        </w:rPr>
        <w:t xml:space="preserve"> należy podawać ostrożnie pacjentom z zaburzeniami czynności wątroby lub postępującą chorobą wątroby, p</w:t>
      </w:r>
      <w:r w:rsidR="00556DD0" w:rsidRPr="00374521">
        <w:rPr>
          <w:sz w:val="22"/>
          <w:szCs w:val="22"/>
        </w:rPr>
        <w:t xml:space="preserve">onieważ mogą </w:t>
      </w:r>
      <w:r w:rsidRPr="00374521">
        <w:rPr>
          <w:sz w:val="22"/>
          <w:szCs w:val="22"/>
        </w:rPr>
        <w:t xml:space="preserve">powodować </w:t>
      </w:r>
      <w:proofErr w:type="spellStart"/>
      <w:r w:rsidRPr="00374521">
        <w:rPr>
          <w:sz w:val="22"/>
          <w:szCs w:val="22"/>
        </w:rPr>
        <w:t>cholestazę</w:t>
      </w:r>
      <w:proofErr w:type="spellEnd"/>
      <w:r w:rsidRPr="00374521">
        <w:rPr>
          <w:sz w:val="22"/>
          <w:szCs w:val="22"/>
        </w:rPr>
        <w:t xml:space="preserve"> wewnątrzwątrobową, a nawet</w:t>
      </w:r>
      <w:r w:rsidR="00556DD0" w:rsidRPr="00374521">
        <w:rPr>
          <w:sz w:val="22"/>
          <w:szCs w:val="22"/>
        </w:rPr>
        <w:t xml:space="preserve"> niewielkie </w:t>
      </w:r>
      <w:r w:rsidRPr="00374521">
        <w:rPr>
          <w:sz w:val="22"/>
          <w:szCs w:val="22"/>
        </w:rPr>
        <w:t>zaburzenia</w:t>
      </w:r>
      <w:r w:rsidR="00556DD0" w:rsidRPr="00374521">
        <w:rPr>
          <w:sz w:val="22"/>
          <w:szCs w:val="22"/>
        </w:rPr>
        <w:t xml:space="preserve"> </w:t>
      </w:r>
      <w:r w:rsidRPr="00374521">
        <w:rPr>
          <w:sz w:val="22"/>
          <w:szCs w:val="22"/>
        </w:rPr>
        <w:t>równowagi</w:t>
      </w:r>
      <w:r w:rsidR="00556DD0" w:rsidRPr="00374521">
        <w:rPr>
          <w:sz w:val="22"/>
          <w:szCs w:val="22"/>
        </w:rPr>
        <w:t xml:space="preserve"> wodno-elektrolitowej mo</w:t>
      </w:r>
      <w:r w:rsidRPr="00374521">
        <w:rPr>
          <w:sz w:val="22"/>
          <w:szCs w:val="22"/>
        </w:rPr>
        <w:t>gą</w:t>
      </w:r>
      <w:r w:rsidR="00556DD0" w:rsidRPr="00374521">
        <w:rPr>
          <w:sz w:val="22"/>
          <w:szCs w:val="22"/>
        </w:rPr>
        <w:t xml:space="preserve"> doprowadzić do śpiączki wątrobowej. </w:t>
      </w:r>
    </w:p>
    <w:p w14:paraId="565D24C1" w14:textId="77777777" w:rsidR="00556DD0" w:rsidRPr="00374521" w:rsidRDefault="005F29F2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bCs/>
          <w:sz w:val="22"/>
          <w:szCs w:val="22"/>
        </w:rPr>
        <w:t xml:space="preserve">Stosowanie produktu </w:t>
      </w:r>
      <w:proofErr w:type="spellStart"/>
      <w:r w:rsidR="00EF7DC8" w:rsidRPr="00374521">
        <w:rPr>
          <w:color w:val="000000"/>
          <w:sz w:val="22"/>
          <w:szCs w:val="22"/>
        </w:rPr>
        <w:t>Presartan</w:t>
      </w:r>
      <w:proofErr w:type="spellEnd"/>
      <w:r w:rsidR="00EF7DC8" w:rsidRPr="00374521">
        <w:rPr>
          <w:color w:val="000000"/>
          <w:sz w:val="22"/>
          <w:szCs w:val="22"/>
        </w:rPr>
        <w:t xml:space="preserve"> H</w:t>
      </w:r>
      <w:r w:rsidRPr="00374521">
        <w:rPr>
          <w:color w:val="000000"/>
          <w:sz w:val="22"/>
          <w:szCs w:val="22"/>
        </w:rPr>
        <w:t xml:space="preserve"> </w:t>
      </w:r>
      <w:r w:rsidRPr="00374521">
        <w:rPr>
          <w:bCs/>
          <w:sz w:val="22"/>
          <w:szCs w:val="22"/>
        </w:rPr>
        <w:t>jest przeciwwskazan</w:t>
      </w:r>
      <w:r w:rsidRPr="00171B67">
        <w:rPr>
          <w:bCs/>
          <w:sz w:val="22"/>
          <w:szCs w:val="22"/>
        </w:rPr>
        <w:t>e</w:t>
      </w:r>
      <w:r w:rsidRPr="00374521">
        <w:rPr>
          <w:bCs/>
          <w:sz w:val="22"/>
          <w:szCs w:val="22"/>
        </w:rPr>
        <w:t xml:space="preserve"> u pacjentów z ciężkimi zaburzeniami czynności wątroby </w:t>
      </w:r>
      <w:r w:rsidR="00556DD0" w:rsidRPr="00374521">
        <w:rPr>
          <w:sz w:val="22"/>
          <w:szCs w:val="22"/>
        </w:rPr>
        <w:t xml:space="preserve">(patrz punkt 4.3 </w:t>
      </w:r>
      <w:r w:rsidRPr="00374521">
        <w:rPr>
          <w:sz w:val="22"/>
          <w:szCs w:val="22"/>
        </w:rPr>
        <w:t xml:space="preserve">i </w:t>
      </w:r>
      <w:r w:rsidR="00556DD0" w:rsidRPr="00374521">
        <w:rPr>
          <w:sz w:val="22"/>
          <w:szCs w:val="22"/>
        </w:rPr>
        <w:t xml:space="preserve">5.2). </w:t>
      </w:r>
    </w:p>
    <w:p w14:paraId="4E57D814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1B095A8C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Inne</w:t>
      </w:r>
    </w:p>
    <w:p w14:paraId="50E37A2F" w14:textId="77777777" w:rsidR="00826FB8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 xml:space="preserve">U pacjentów przyjmujących </w:t>
      </w:r>
      <w:r w:rsidR="003D440C" w:rsidRPr="00374521">
        <w:rPr>
          <w:sz w:val="22"/>
          <w:szCs w:val="22"/>
        </w:rPr>
        <w:t xml:space="preserve">leki z grupy </w:t>
      </w:r>
      <w:proofErr w:type="spellStart"/>
      <w:r w:rsidRPr="00374521">
        <w:rPr>
          <w:sz w:val="22"/>
          <w:szCs w:val="22"/>
        </w:rPr>
        <w:t>tiazyd</w:t>
      </w:r>
      <w:r w:rsidR="003D440C" w:rsidRPr="00374521">
        <w:rPr>
          <w:sz w:val="22"/>
          <w:szCs w:val="22"/>
        </w:rPr>
        <w:t>ów</w:t>
      </w:r>
      <w:proofErr w:type="spellEnd"/>
      <w:r w:rsidRPr="00374521">
        <w:rPr>
          <w:sz w:val="22"/>
          <w:szCs w:val="22"/>
        </w:rPr>
        <w:t xml:space="preserve"> mogą wystąpić reakcje nadwrażliwości </w:t>
      </w:r>
      <w:r w:rsidR="003D440C" w:rsidRPr="00374521">
        <w:rPr>
          <w:sz w:val="22"/>
          <w:szCs w:val="22"/>
        </w:rPr>
        <w:t xml:space="preserve">niezależnie od występowania w przeszłości alergii lub astmy oskrzelowej. Podczas stosowania </w:t>
      </w:r>
      <w:proofErr w:type="spellStart"/>
      <w:r w:rsidR="003D440C" w:rsidRPr="00374521">
        <w:rPr>
          <w:sz w:val="22"/>
          <w:szCs w:val="22"/>
        </w:rPr>
        <w:t>tiazydów</w:t>
      </w:r>
      <w:proofErr w:type="spellEnd"/>
      <w:r w:rsidR="003D440C" w:rsidRPr="00374521">
        <w:rPr>
          <w:sz w:val="22"/>
          <w:szCs w:val="22"/>
        </w:rPr>
        <w:t xml:space="preserve"> opisywano przypadki zaostrzenia lub ujawnienia się tocznia rumieniowatego układowego. </w:t>
      </w:r>
    </w:p>
    <w:p w14:paraId="41D3484C" w14:textId="77777777" w:rsidR="00826FB8" w:rsidRDefault="00826FB8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618962AD" w14:textId="68EAD5A0" w:rsidR="00475BFB" w:rsidRPr="00741547" w:rsidRDefault="00826FB8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741547">
        <w:rPr>
          <w:i/>
          <w:sz w:val="22"/>
          <w:szCs w:val="22"/>
        </w:rPr>
        <w:t>Nadmierne nagromadzenie płynu między naczyniówką a twardówką, ostra krótkowzroczność i jaskra wtórna zamkniętego kąta</w:t>
      </w:r>
    </w:p>
    <w:p w14:paraId="6E9B633B" w14:textId="59661E58" w:rsidR="00826FB8" w:rsidRPr="00374521" w:rsidRDefault="00826FB8" w:rsidP="00374521">
      <w:pPr>
        <w:autoSpaceDE w:val="0"/>
        <w:autoSpaceDN w:val="0"/>
        <w:adjustRightInd w:val="0"/>
        <w:rPr>
          <w:sz w:val="22"/>
          <w:szCs w:val="22"/>
        </w:rPr>
      </w:pPr>
      <w:r w:rsidRPr="005329E5">
        <w:rPr>
          <w:sz w:val="22"/>
          <w:szCs w:val="22"/>
        </w:rPr>
        <w:t>Sulfonamidy i leki będące pochodnymi sulfonamidów mogą powodować reakcję idiosynkratyczną wywołującą nadmierne nagromadzenie płynu między naczyniówką a twardówką z ograniczeniem pola widzenia, przejściową krótkowzroczność i ostrą jaskrę zamkniętego kąta.</w:t>
      </w:r>
      <w:r w:rsidR="00475BFB">
        <w:rPr>
          <w:sz w:val="22"/>
          <w:szCs w:val="22"/>
        </w:rPr>
        <w:t xml:space="preserve"> </w:t>
      </w:r>
      <w:r w:rsidR="00475BFB" w:rsidRPr="00475BFB">
        <w:rPr>
          <w:sz w:val="22"/>
          <w:szCs w:val="22"/>
        </w:rPr>
        <w:t xml:space="preserve">Objawy obejmują </w:t>
      </w:r>
      <w:r w:rsidR="00CB0223">
        <w:rPr>
          <w:sz w:val="22"/>
          <w:szCs w:val="22"/>
        </w:rPr>
        <w:t xml:space="preserve">nagłe zmniejszenie </w:t>
      </w:r>
      <w:r w:rsidR="00475BFB" w:rsidRPr="00475BFB">
        <w:rPr>
          <w:sz w:val="22"/>
          <w:szCs w:val="22"/>
        </w:rPr>
        <w:t xml:space="preserve">ostrości </w:t>
      </w:r>
      <w:r w:rsidR="00CB0223">
        <w:rPr>
          <w:sz w:val="22"/>
          <w:szCs w:val="22"/>
        </w:rPr>
        <w:t>widzenia</w:t>
      </w:r>
      <w:r w:rsidR="00475BFB" w:rsidRPr="00475BFB">
        <w:rPr>
          <w:sz w:val="22"/>
          <w:szCs w:val="22"/>
        </w:rPr>
        <w:t xml:space="preserve"> lub ból oka i zwykle pojawiają się w ciągu kilku godzin </w:t>
      </w:r>
      <w:r w:rsidR="00CB0223">
        <w:rPr>
          <w:sz w:val="22"/>
          <w:szCs w:val="22"/>
        </w:rPr>
        <w:t>do</w:t>
      </w:r>
      <w:r w:rsidR="00475BFB" w:rsidRPr="00475BFB">
        <w:rPr>
          <w:sz w:val="22"/>
          <w:szCs w:val="22"/>
        </w:rPr>
        <w:t xml:space="preserve"> tygodni od rozpoczęcia leczenia. Nieleczona ostra jaskra zamkniętego kąta może prowadzić do trwałej utraty wzroku. Podstawowym leczeniem jest jak najszybsze odstawienie stosowanego</w:t>
      </w:r>
      <w:r w:rsidR="00CB0223">
        <w:rPr>
          <w:sz w:val="22"/>
          <w:szCs w:val="22"/>
        </w:rPr>
        <w:t xml:space="preserve"> produktu leczniczego</w:t>
      </w:r>
      <w:r w:rsidR="00475BFB" w:rsidRPr="00475BFB">
        <w:rPr>
          <w:sz w:val="22"/>
          <w:szCs w:val="22"/>
        </w:rPr>
        <w:t xml:space="preserve">. Jeżeli ciśnienie </w:t>
      </w:r>
      <w:r w:rsidR="00CB0223">
        <w:rPr>
          <w:sz w:val="22"/>
          <w:szCs w:val="22"/>
        </w:rPr>
        <w:t>wewnątrz</w:t>
      </w:r>
      <w:r w:rsidR="00475BFB" w:rsidRPr="00475BFB">
        <w:rPr>
          <w:sz w:val="22"/>
          <w:szCs w:val="22"/>
        </w:rPr>
        <w:t xml:space="preserve">gałkowe </w:t>
      </w:r>
      <w:r w:rsidR="00CB0223">
        <w:rPr>
          <w:sz w:val="22"/>
          <w:szCs w:val="22"/>
        </w:rPr>
        <w:t>pozostaje niekontrolowane</w:t>
      </w:r>
      <w:r w:rsidR="00475BFB" w:rsidRPr="00475BFB">
        <w:rPr>
          <w:sz w:val="22"/>
          <w:szCs w:val="22"/>
        </w:rPr>
        <w:t xml:space="preserve">, </w:t>
      </w:r>
      <w:r w:rsidR="007103EE" w:rsidRPr="007103EE">
        <w:rPr>
          <w:sz w:val="22"/>
          <w:szCs w:val="22"/>
        </w:rPr>
        <w:t>należy rozważyć natychmiastowe podjęcie leczenia zachowawczego lub</w:t>
      </w:r>
      <w:r w:rsidR="00475BFB" w:rsidRPr="00475BFB">
        <w:rPr>
          <w:sz w:val="22"/>
          <w:szCs w:val="22"/>
        </w:rPr>
        <w:t xml:space="preserve"> chirurgicznego. Do czynników ryzyka</w:t>
      </w:r>
      <w:r w:rsidR="007103EE">
        <w:rPr>
          <w:sz w:val="22"/>
          <w:szCs w:val="22"/>
        </w:rPr>
        <w:t xml:space="preserve"> rozwoju</w:t>
      </w:r>
      <w:r w:rsidR="00475BFB" w:rsidRPr="00475BFB">
        <w:rPr>
          <w:sz w:val="22"/>
          <w:szCs w:val="22"/>
        </w:rPr>
        <w:t xml:space="preserve"> ostrej jaskry zamkniętego kąta może należeć </w:t>
      </w:r>
      <w:r w:rsidR="007103EE">
        <w:rPr>
          <w:sz w:val="22"/>
          <w:szCs w:val="22"/>
        </w:rPr>
        <w:t>uczulenie</w:t>
      </w:r>
      <w:r w:rsidR="00475BFB" w:rsidRPr="00475BFB">
        <w:rPr>
          <w:sz w:val="22"/>
          <w:szCs w:val="22"/>
        </w:rPr>
        <w:t xml:space="preserve"> na sulfonamidy lub penicylin</w:t>
      </w:r>
      <w:r w:rsidR="007103EE">
        <w:rPr>
          <w:sz w:val="22"/>
          <w:szCs w:val="22"/>
        </w:rPr>
        <w:t>ę</w:t>
      </w:r>
      <w:r w:rsidR="00475BFB" w:rsidRPr="00475BFB">
        <w:rPr>
          <w:sz w:val="22"/>
          <w:szCs w:val="22"/>
        </w:rPr>
        <w:t xml:space="preserve"> w wywiadzie.</w:t>
      </w:r>
    </w:p>
    <w:p w14:paraId="5A3ACD36" w14:textId="77777777" w:rsidR="009C0D77" w:rsidRPr="00374521" w:rsidRDefault="009C0D77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1CDF7759" w14:textId="046290E0" w:rsidR="00556DD0" w:rsidRPr="00374521" w:rsidRDefault="00166C16" w:rsidP="00374521">
      <w:pPr>
        <w:autoSpaceDE w:val="0"/>
        <w:autoSpaceDN w:val="0"/>
        <w:adjustRightInd w:val="0"/>
        <w:rPr>
          <w:i/>
          <w:sz w:val="22"/>
          <w:szCs w:val="22"/>
        </w:rPr>
      </w:pPr>
      <w:r>
        <w:rPr>
          <w:i/>
          <w:sz w:val="22"/>
          <w:szCs w:val="22"/>
        </w:rPr>
        <w:t>Informacje o s</w:t>
      </w:r>
      <w:r w:rsidR="00556DD0" w:rsidRPr="00374521">
        <w:rPr>
          <w:i/>
          <w:sz w:val="22"/>
          <w:szCs w:val="22"/>
        </w:rPr>
        <w:t>ubstancj</w:t>
      </w:r>
      <w:r>
        <w:rPr>
          <w:i/>
          <w:sz w:val="22"/>
          <w:szCs w:val="22"/>
        </w:rPr>
        <w:t>ach</w:t>
      </w:r>
      <w:r w:rsidR="00556DD0" w:rsidRPr="00374521">
        <w:rPr>
          <w:i/>
          <w:sz w:val="22"/>
          <w:szCs w:val="22"/>
        </w:rPr>
        <w:t xml:space="preserve"> pomocnicz</w:t>
      </w:r>
      <w:r>
        <w:rPr>
          <w:i/>
          <w:sz w:val="22"/>
          <w:szCs w:val="22"/>
        </w:rPr>
        <w:t>ych</w:t>
      </w:r>
    </w:p>
    <w:p w14:paraId="43F245EF" w14:textId="7A6CFC97" w:rsidR="00771C6C" w:rsidRDefault="009C0D77" w:rsidP="00374521">
      <w:pPr>
        <w:rPr>
          <w:color w:val="000000"/>
          <w:sz w:val="22"/>
          <w:szCs w:val="22"/>
        </w:rPr>
      </w:pPr>
      <w:r w:rsidRPr="00374521">
        <w:rPr>
          <w:color w:val="000000"/>
          <w:sz w:val="22"/>
          <w:szCs w:val="22"/>
        </w:rPr>
        <w:lastRenderedPageBreak/>
        <w:t xml:space="preserve">Produkt leczniczy </w:t>
      </w:r>
      <w:proofErr w:type="spellStart"/>
      <w:r w:rsidR="00EF7DC8" w:rsidRPr="00374521">
        <w:rPr>
          <w:color w:val="000000"/>
          <w:sz w:val="22"/>
          <w:szCs w:val="22"/>
        </w:rPr>
        <w:t>Presartan</w:t>
      </w:r>
      <w:proofErr w:type="spellEnd"/>
      <w:r w:rsidR="00EF7DC8" w:rsidRPr="00374521">
        <w:rPr>
          <w:color w:val="000000"/>
          <w:sz w:val="22"/>
          <w:szCs w:val="22"/>
        </w:rPr>
        <w:t xml:space="preserve"> H</w:t>
      </w:r>
      <w:r w:rsidR="00556DD0" w:rsidRPr="00374521">
        <w:rPr>
          <w:color w:val="000000"/>
          <w:sz w:val="22"/>
          <w:szCs w:val="22"/>
        </w:rPr>
        <w:t xml:space="preserve"> zawiera laktozę</w:t>
      </w:r>
      <w:r w:rsidRPr="00374521">
        <w:rPr>
          <w:color w:val="000000"/>
          <w:sz w:val="22"/>
          <w:szCs w:val="22"/>
        </w:rPr>
        <w:t xml:space="preserve"> jednowodną</w:t>
      </w:r>
      <w:r w:rsidR="003D440C" w:rsidRPr="00374521">
        <w:rPr>
          <w:color w:val="000000"/>
          <w:sz w:val="22"/>
          <w:szCs w:val="22"/>
        </w:rPr>
        <w:t>, dlatego nie powinien być stosowan</w:t>
      </w:r>
      <w:r w:rsidR="00E33426" w:rsidRPr="00374521">
        <w:rPr>
          <w:color w:val="000000"/>
          <w:sz w:val="22"/>
          <w:szCs w:val="22"/>
        </w:rPr>
        <w:t>y</w:t>
      </w:r>
      <w:r w:rsidR="003D440C" w:rsidRPr="00374521">
        <w:rPr>
          <w:color w:val="000000"/>
          <w:sz w:val="22"/>
          <w:szCs w:val="22"/>
        </w:rPr>
        <w:t xml:space="preserve"> u pacjentów z rzadk</w:t>
      </w:r>
      <w:r w:rsidR="00D97C11">
        <w:rPr>
          <w:color w:val="000000"/>
          <w:sz w:val="22"/>
          <w:szCs w:val="22"/>
        </w:rPr>
        <w:t>o występującą</w:t>
      </w:r>
      <w:r w:rsidR="003D440C" w:rsidRPr="00374521">
        <w:rPr>
          <w:color w:val="000000"/>
          <w:sz w:val="22"/>
          <w:szCs w:val="22"/>
        </w:rPr>
        <w:t xml:space="preserve"> dziedziczną nietolerancją </w:t>
      </w:r>
      <w:r w:rsidRPr="00374521">
        <w:rPr>
          <w:sz w:val="22"/>
          <w:szCs w:val="22"/>
        </w:rPr>
        <w:t xml:space="preserve">galaktozy, </w:t>
      </w:r>
      <w:r w:rsidR="00D97C11">
        <w:rPr>
          <w:sz w:val="22"/>
          <w:szCs w:val="22"/>
        </w:rPr>
        <w:t>brakiem</w:t>
      </w:r>
      <w:r w:rsidR="00D97C11" w:rsidRPr="00374521">
        <w:rPr>
          <w:sz w:val="22"/>
          <w:szCs w:val="22"/>
        </w:rPr>
        <w:t xml:space="preserve"> </w:t>
      </w:r>
      <w:r w:rsidRPr="00374521">
        <w:rPr>
          <w:sz w:val="22"/>
          <w:szCs w:val="22"/>
        </w:rPr>
        <w:t xml:space="preserve">laktazy lub </w:t>
      </w:r>
      <w:r w:rsidR="00D97C11">
        <w:rPr>
          <w:sz w:val="22"/>
          <w:szCs w:val="22"/>
        </w:rPr>
        <w:t>zespołem złego</w:t>
      </w:r>
      <w:r w:rsidR="00D97C11" w:rsidRPr="00374521">
        <w:rPr>
          <w:sz w:val="22"/>
          <w:szCs w:val="22"/>
        </w:rPr>
        <w:t xml:space="preserve"> </w:t>
      </w:r>
      <w:r w:rsidRPr="00374521">
        <w:rPr>
          <w:sz w:val="22"/>
          <w:szCs w:val="22"/>
        </w:rPr>
        <w:t>wchłaniania glukozy-galaktozy</w:t>
      </w:r>
      <w:r w:rsidR="007879E6">
        <w:rPr>
          <w:sz w:val="22"/>
          <w:szCs w:val="22"/>
        </w:rPr>
        <w:t>.</w:t>
      </w:r>
    </w:p>
    <w:p w14:paraId="4071A8EE" w14:textId="77777777" w:rsidR="00771C6C" w:rsidRDefault="00771C6C" w:rsidP="00374521">
      <w:pPr>
        <w:rPr>
          <w:color w:val="000000"/>
          <w:sz w:val="22"/>
          <w:szCs w:val="22"/>
        </w:rPr>
      </w:pPr>
    </w:p>
    <w:p w14:paraId="636A9AC2" w14:textId="58A73FAA" w:rsidR="00771C6C" w:rsidRPr="00EC5238" w:rsidRDefault="00166C16" w:rsidP="00771C6C">
      <w:pPr>
        <w:rPr>
          <w:sz w:val="22"/>
          <w:szCs w:val="22"/>
        </w:rPr>
      </w:pPr>
      <w:r w:rsidRPr="00166C16">
        <w:rPr>
          <w:bCs/>
          <w:sz w:val="22"/>
          <w:szCs w:val="22"/>
        </w:rPr>
        <w:t xml:space="preserve">Produkt leczniczy </w:t>
      </w:r>
      <w:proofErr w:type="spellStart"/>
      <w:r w:rsidRPr="00166C16">
        <w:rPr>
          <w:bCs/>
          <w:sz w:val="22"/>
          <w:szCs w:val="22"/>
        </w:rPr>
        <w:t>Presartan</w:t>
      </w:r>
      <w:proofErr w:type="spellEnd"/>
      <w:r w:rsidRPr="00166C16">
        <w:rPr>
          <w:bCs/>
          <w:sz w:val="22"/>
          <w:szCs w:val="22"/>
        </w:rPr>
        <w:t xml:space="preserve"> H</w:t>
      </w:r>
      <w:r w:rsidRPr="00166C16" w:rsidDel="00166C16">
        <w:rPr>
          <w:bCs/>
          <w:sz w:val="22"/>
          <w:szCs w:val="22"/>
        </w:rPr>
        <w:t xml:space="preserve"> </w:t>
      </w:r>
      <w:r w:rsidR="00771C6C" w:rsidRPr="00EC5238">
        <w:rPr>
          <w:bCs/>
          <w:sz w:val="22"/>
          <w:szCs w:val="22"/>
        </w:rPr>
        <w:t xml:space="preserve"> zawiera mniej niż 1 </w:t>
      </w:r>
      <w:proofErr w:type="spellStart"/>
      <w:r w:rsidR="00771C6C" w:rsidRPr="00EC5238">
        <w:rPr>
          <w:bCs/>
          <w:sz w:val="22"/>
          <w:szCs w:val="22"/>
        </w:rPr>
        <w:t>mmol</w:t>
      </w:r>
      <w:proofErr w:type="spellEnd"/>
      <w:r w:rsidR="00771C6C" w:rsidRPr="00EC5238">
        <w:rPr>
          <w:bCs/>
          <w:sz w:val="22"/>
          <w:szCs w:val="22"/>
        </w:rPr>
        <w:t xml:space="preserve"> (23 mg) sodu na jedną tabletkę powlekaną, to znaczy </w:t>
      </w:r>
      <w:r>
        <w:rPr>
          <w:bCs/>
          <w:sz w:val="22"/>
          <w:szCs w:val="22"/>
        </w:rPr>
        <w:t>produkt</w:t>
      </w:r>
      <w:r w:rsidR="00771C6C" w:rsidRPr="00EC5238">
        <w:rPr>
          <w:bCs/>
          <w:sz w:val="22"/>
          <w:szCs w:val="22"/>
        </w:rPr>
        <w:t xml:space="preserve"> uznaje się za „wolny od sodu”.</w:t>
      </w:r>
    </w:p>
    <w:p w14:paraId="0BBFFEB0" w14:textId="77777777" w:rsidR="00556DD0" w:rsidRPr="00374521" w:rsidRDefault="00556DD0" w:rsidP="00374521">
      <w:pPr>
        <w:rPr>
          <w:color w:val="000000"/>
          <w:sz w:val="22"/>
          <w:szCs w:val="22"/>
        </w:rPr>
      </w:pPr>
      <w:r w:rsidRPr="00374521">
        <w:rPr>
          <w:color w:val="000000"/>
          <w:sz w:val="22"/>
          <w:szCs w:val="22"/>
        </w:rPr>
        <w:t xml:space="preserve"> </w:t>
      </w:r>
    </w:p>
    <w:p w14:paraId="5F9A633A" w14:textId="77777777" w:rsidR="0074625D" w:rsidRPr="00374521" w:rsidRDefault="0074625D" w:rsidP="00374521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0DD983D" w14:textId="77777777" w:rsidR="00556DD0" w:rsidRPr="00374521" w:rsidRDefault="00E33426" w:rsidP="00374521">
      <w:pPr>
        <w:tabs>
          <w:tab w:val="left" w:pos="540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374521">
        <w:rPr>
          <w:b/>
          <w:sz w:val="22"/>
          <w:szCs w:val="22"/>
        </w:rPr>
        <w:t>4.5</w:t>
      </w:r>
      <w:r w:rsidRPr="00374521">
        <w:rPr>
          <w:b/>
          <w:sz w:val="22"/>
          <w:szCs w:val="22"/>
        </w:rPr>
        <w:tab/>
      </w:r>
      <w:r w:rsidR="00556DD0" w:rsidRPr="00374521">
        <w:rPr>
          <w:b/>
          <w:bCs/>
          <w:sz w:val="22"/>
          <w:szCs w:val="22"/>
        </w:rPr>
        <w:t xml:space="preserve">Interakcje z innymi </w:t>
      </w:r>
      <w:r w:rsidR="00D234F1" w:rsidRPr="00374521">
        <w:rPr>
          <w:b/>
          <w:bCs/>
          <w:sz w:val="22"/>
          <w:szCs w:val="22"/>
        </w:rPr>
        <w:t xml:space="preserve">produktami leczniczymi </w:t>
      </w:r>
      <w:r w:rsidR="00556DD0" w:rsidRPr="00374521">
        <w:rPr>
          <w:b/>
          <w:bCs/>
          <w:sz w:val="22"/>
          <w:szCs w:val="22"/>
        </w:rPr>
        <w:t>i inne rodzaje interakcji</w:t>
      </w:r>
    </w:p>
    <w:p w14:paraId="102632C8" w14:textId="77777777" w:rsidR="00556DD0" w:rsidRPr="00374521" w:rsidRDefault="00556DD0" w:rsidP="00374521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2476D53C" w14:textId="77777777" w:rsidR="00556DD0" w:rsidRPr="00374521" w:rsidRDefault="00556DD0" w:rsidP="00374521">
      <w:pPr>
        <w:autoSpaceDE w:val="0"/>
        <w:autoSpaceDN w:val="0"/>
        <w:adjustRightInd w:val="0"/>
        <w:rPr>
          <w:iCs/>
          <w:sz w:val="22"/>
          <w:szCs w:val="22"/>
          <w:u w:val="single"/>
        </w:rPr>
      </w:pPr>
      <w:proofErr w:type="spellStart"/>
      <w:r w:rsidRPr="00374521">
        <w:rPr>
          <w:iCs/>
          <w:sz w:val="22"/>
          <w:szCs w:val="22"/>
          <w:u w:val="single"/>
        </w:rPr>
        <w:t>Losartan</w:t>
      </w:r>
      <w:proofErr w:type="spellEnd"/>
      <w:r w:rsidRPr="00374521">
        <w:rPr>
          <w:iCs/>
          <w:sz w:val="22"/>
          <w:szCs w:val="22"/>
          <w:u w:val="single"/>
        </w:rPr>
        <w:t xml:space="preserve"> </w:t>
      </w:r>
    </w:p>
    <w:p w14:paraId="7DDF2992" w14:textId="77777777" w:rsidR="00556DD0" w:rsidRPr="00374521" w:rsidRDefault="00556DD0" w:rsidP="00374521">
      <w:pPr>
        <w:autoSpaceDE w:val="0"/>
        <w:autoSpaceDN w:val="0"/>
        <w:adjustRightInd w:val="0"/>
        <w:rPr>
          <w:iCs/>
          <w:sz w:val="22"/>
          <w:szCs w:val="22"/>
        </w:rPr>
      </w:pPr>
    </w:p>
    <w:p w14:paraId="754AD0E1" w14:textId="77777777" w:rsidR="00556DD0" w:rsidRPr="00374521" w:rsidRDefault="00575E5E" w:rsidP="00374521">
      <w:pPr>
        <w:autoSpaceDE w:val="0"/>
        <w:autoSpaceDN w:val="0"/>
        <w:adjustRightInd w:val="0"/>
        <w:rPr>
          <w:iCs/>
          <w:sz w:val="22"/>
          <w:szCs w:val="22"/>
        </w:rPr>
      </w:pPr>
      <w:r w:rsidRPr="00374521">
        <w:rPr>
          <w:iCs/>
          <w:sz w:val="22"/>
          <w:szCs w:val="22"/>
        </w:rPr>
        <w:t xml:space="preserve">Stwierdzono, że </w:t>
      </w:r>
      <w:proofErr w:type="spellStart"/>
      <w:r w:rsidRPr="00374521">
        <w:rPr>
          <w:iCs/>
          <w:sz w:val="22"/>
          <w:szCs w:val="22"/>
        </w:rPr>
        <w:t>r</w:t>
      </w:r>
      <w:r w:rsidR="00556DD0" w:rsidRPr="00374521">
        <w:rPr>
          <w:iCs/>
          <w:sz w:val="22"/>
          <w:szCs w:val="22"/>
        </w:rPr>
        <w:t>yfampicyna</w:t>
      </w:r>
      <w:proofErr w:type="spellEnd"/>
      <w:r w:rsidR="00556DD0" w:rsidRPr="00374521">
        <w:rPr>
          <w:iCs/>
          <w:sz w:val="22"/>
          <w:szCs w:val="22"/>
        </w:rPr>
        <w:t xml:space="preserve"> i </w:t>
      </w:r>
      <w:proofErr w:type="spellStart"/>
      <w:r w:rsidR="00556DD0" w:rsidRPr="00374521">
        <w:rPr>
          <w:iCs/>
          <w:sz w:val="22"/>
          <w:szCs w:val="22"/>
        </w:rPr>
        <w:t>flukonazol</w:t>
      </w:r>
      <w:proofErr w:type="spellEnd"/>
      <w:r w:rsidR="00556DD0" w:rsidRPr="00374521">
        <w:rPr>
          <w:iCs/>
          <w:sz w:val="22"/>
          <w:szCs w:val="22"/>
        </w:rPr>
        <w:t xml:space="preserve"> </w:t>
      </w:r>
      <w:r w:rsidRPr="00374521">
        <w:rPr>
          <w:iCs/>
          <w:sz w:val="22"/>
          <w:szCs w:val="22"/>
        </w:rPr>
        <w:t>zmniejszają stężenie</w:t>
      </w:r>
      <w:r w:rsidR="008C5BE7" w:rsidRPr="00374521">
        <w:rPr>
          <w:iCs/>
          <w:sz w:val="22"/>
          <w:szCs w:val="22"/>
        </w:rPr>
        <w:t xml:space="preserve"> jego</w:t>
      </w:r>
      <w:r w:rsidRPr="00374521">
        <w:rPr>
          <w:iCs/>
          <w:sz w:val="22"/>
          <w:szCs w:val="22"/>
        </w:rPr>
        <w:t xml:space="preserve"> czynnych</w:t>
      </w:r>
      <w:r w:rsidR="00556DD0" w:rsidRPr="00374521">
        <w:rPr>
          <w:iCs/>
          <w:sz w:val="22"/>
          <w:szCs w:val="22"/>
        </w:rPr>
        <w:t xml:space="preserve"> metabolitów</w:t>
      </w:r>
      <w:r w:rsidR="008C5BE7" w:rsidRPr="00374521">
        <w:rPr>
          <w:iCs/>
          <w:sz w:val="22"/>
          <w:szCs w:val="22"/>
        </w:rPr>
        <w:t xml:space="preserve"> we krwi</w:t>
      </w:r>
      <w:r w:rsidR="00556DD0" w:rsidRPr="00374521">
        <w:rPr>
          <w:iCs/>
          <w:sz w:val="22"/>
          <w:szCs w:val="22"/>
        </w:rPr>
        <w:t xml:space="preserve">. </w:t>
      </w:r>
      <w:r w:rsidRPr="00374521">
        <w:rPr>
          <w:iCs/>
          <w:sz w:val="22"/>
          <w:szCs w:val="22"/>
        </w:rPr>
        <w:t>Nie ustalono k</w:t>
      </w:r>
      <w:r w:rsidR="00556DD0" w:rsidRPr="00374521">
        <w:rPr>
          <w:iCs/>
          <w:sz w:val="22"/>
          <w:szCs w:val="22"/>
        </w:rPr>
        <w:t>liniczne</w:t>
      </w:r>
      <w:r w:rsidRPr="00374521">
        <w:rPr>
          <w:iCs/>
          <w:sz w:val="22"/>
          <w:szCs w:val="22"/>
        </w:rPr>
        <w:t>go znaczenia tych interakcji</w:t>
      </w:r>
      <w:r w:rsidR="00556DD0" w:rsidRPr="00374521">
        <w:rPr>
          <w:iCs/>
          <w:sz w:val="22"/>
          <w:szCs w:val="22"/>
        </w:rPr>
        <w:t xml:space="preserve">. </w:t>
      </w:r>
    </w:p>
    <w:p w14:paraId="523C37E8" w14:textId="77777777" w:rsidR="00556DD0" w:rsidRPr="00374521" w:rsidRDefault="00556DD0" w:rsidP="00374521">
      <w:pPr>
        <w:autoSpaceDE w:val="0"/>
        <w:autoSpaceDN w:val="0"/>
        <w:adjustRightInd w:val="0"/>
        <w:rPr>
          <w:iCs/>
          <w:sz w:val="22"/>
          <w:szCs w:val="22"/>
        </w:rPr>
      </w:pPr>
    </w:p>
    <w:p w14:paraId="6B3995F9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Podobnie jak</w:t>
      </w:r>
      <w:r w:rsidR="008C5BE7" w:rsidRPr="00374521">
        <w:rPr>
          <w:sz w:val="22"/>
          <w:szCs w:val="22"/>
        </w:rPr>
        <w:t xml:space="preserve"> w</w:t>
      </w:r>
      <w:r w:rsidRPr="00374521">
        <w:rPr>
          <w:sz w:val="22"/>
          <w:szCs w:val="22"/>
        </w:rPr>
        <w:t xml:space="preserve"> przypadku innych </w:t>
      </w:r>
      <w:r w:rsidR="00575E5E" w:rsidRPr="00374521">
        <w:rPr>
          <w:sz w:val="22"/>
          <w:szCs w:val="22"/>
        </w:rPr>
        <w:t>preparatów</w:t>
      </w:r>
      <w:r w:rsidRPr="00374521">
        <w:rPr>
          <w:sz w:val="22"/>
          <w:szCs w:val="22"/>
        </w:rPr>
        <w:t xml:space="preserve">, które blokują angiotensynę II lub jej działanie, podczas jednoczesnego przyjmowania </w:t>
      </w:r>
      <w:r w:rsidR="00575E5E" w:rsidRPr="00374521">
        <w:rPr>
          <w:sz w:val="22"/>
          <w:szCs w:val="22"/>
        </w:rPr>
        <w:t>leków moczopędnych</w:t>
      </w:r>
      <w:r w:rsidRPr="00374521">
        <w:rPr>
          <w:sz w:val="22"/>
          <w:szCs w:val="22"/>
        </w:rPr>
        <w:t xml:space="preserve"> oszczędzający</w:t>
      </w:r>
      <w:r w:rsidR="00575E5E" w:rsidRPr="00374521">
        <w:rPr>
          <w:sz w:val="22"/>
          <w:szCs w:val="22"/>
        </w:rPr>
        <w:t>ch</w:t>
      </w:r>
      <w:r w:rsidRPr="00374521">
        <w:rPr>
          <w:sz w:val="22"/>
          <w:szCs w:val="22"/>
        </w:rPr>
        <w:t xml:space="preserve"> potas (np. </w:t>
      </w:r>
      <w:proofErr w:type="spellStart"/>
      <w:r w:rsidRPr="00374521">
        <w:rPr>
          <w:sz w:val="22"/>
          <w:szCs w:val="22"/>
        </w:rPr>
        <w:t>spironolakton</w:t>
      </w:r>
      <w:proofErr w:type="spellEnd"/>
      <w:r w:rsidRPr="00374521">
        <w:rPr>
          <w:sz w:val="22"/>
          <w:szCs w:val="22"/>
        </w:rPr>
        <w:t xml:space="preserve">, </w:t>
      </w:r>
      <w:proofErr w:type="spellStart"/>
      <w:r w:rsidRPr="00374521">
        <w:rPr>
          <w:sz w:val="22"/>
          <w:szCs w:val="22"/>
        </w:rPr>
        <w:t>triamteren</w:t>
      </w:r>
      <w:proofErr w:type="spellEnd"/>
      <w:r w:rsidRPr="00374521">
        <w:rPr>
          <w:sz w:val="22"/>
          <w:szCs w:val="22"/>
        </w:rPr>
        <w:t xml:space="preserve">, </w:t>
      </w:r>
      <w:proofErr w:type="spellStart"/>
      <w:r w:rsidRPr="00374521">
        <w:rPr>
          <w:sz w:val="22"/>
          <w:szCs w:val="22"/>
        </w:rPr>
        <w:t>am</w:t>
      </w:r>
      <w:r w:rsidR="00575E5E" w:rsidRPr="00374521">
        <w:rPr>
          <w:sz w:val="22"/>
          <w:szCs w:val="22"/>
        </w:rPr>
        <w:t>i</w:t>
      </w:r>
      <w:r w:rsidRPr="00374521">
        <w:rPr>
          <w:sz w:val="22"/>
          <w:szCs w:val="22"/>
        </w:rPr>
        <w:t>loryd</w:t>
      </w:r>
      <w:proofErr w:type="spellEnd"/>
      <w:r w:rsidR="00B27155">
        <w:rPr>
          <w:sz w:val="22"/>
          <w:szCs w:val="22"/>
        </w:rPr>
        <w:t xml:space="preserve">, </w:t>
      </w:r>
      <w:proofErr w:type="spellStart"/>
      <w:r w:rsidR="00B27155" w:rsidRPr="00C006D7">
        <w:rPr>
          <w:sz w:val="22"/>
          <w:szCs w:val="22"/>
        </w:rPr>
        <w:t>eplerenon</w:t>
      </w:r>
      <w:proofErr w:type="spellEnd"/>
      <w:r w:rsidRPr="00374521">
        <w:rPr>
          <w:sz w:val="22"/>
          <w:szCs w:val="22"/>
        </w:rPr>
        <w:t>), suplement</w:t>
      </w:r>
      <w:r w:rsidR="00575E5E" w:rsidRPr="00374521">
        <w:rPr>
          <w:sz w:val="22"/>
          <w:szCs w:val="22"/>
        </w:rPr>
        <w:t>ów</w:t>
      </w:r>
      <w:r w:rsidRPr="00374521">
        <w:rPr>
          <w:sz w:val="22"/>
          <w:szCs w:val="22"/>
        </w:rPr>
        <w:t xml:space="preserve"> potasu lub substytut</w:t>
      </w:r>
      <w:r w:rsidR="00575E5E" w:rsidRPr="00374521">
        <w:rPr>
          <w:sz w:val="22"/>
          <w:szCs w:val="22"/>
        </w:rPr>
        <w:t>ów</w:t>
      </w:r>
      <w:r w:rsidRPr="00374521">
        <w:rPr>
          <w:sz w:val="22"/>
          <w:szCs w:val="22"/>
        </w:rPr>
        <w:t xml:space="preserve"> soli </w:t>
      </w:r>
      <w:r w:rsidR="00D02213">
        <w:rPr>
          <w:sz w:val="22"/>
          <w:szCs w:val="22"/>
        </w:rPr>
        <w:t xml:space="preserve">kuchennej </w:t>
      </w:r>
      <w:r w:rsidRPr="00374521">
        <w:rPr>
          <w:sz w:val="22"/>
          <w:szCs w:val="22"/>
        </w:rPr>
        <w:t xml:space="preserve">zawierających potas może </w:t>
      </w:r>
      <w:r w:rsidR="008C5BE7" w:rsidRPr="00374521">
        <w:rPr>
          <w:sz w:val="22"/>
          <w:szCs w:val="22"/>
        </w:rPr>
        <w:t xml:space="preserve">wystąpić </w:t>
      </w:r>
      <w:r w:rsidRPr="00374521">
        <w:rPr>
          <w:sz w:val="22"/>
          <w:szCs w:val="22"/>
        </w:rPr>
        <w:t>zwiększ</w:t>
      </w:r>
      <w:r w:rsidR="00575E5E" w:rsidRPr="00374521">
        <w:rPr>
          <w:sz w:val="22"/>
          <w:szCs w:val="22"/>
        </w:rPr>
        <w:t>enie</w:t>
      </w:r>
      <w:r w:rsidRPr="00374521">
        <w:rPr>
          <w:sz w:val="22"/>
          <w:szCs w:val="22"/>
        </w:rPr>
        <w:t xml:space="preserve"> stężeni</w:t>
      </w:r>
      <w:r w:rsidR="00575E5E" w:rsidRPr="00374521">
        <w:rPr>
          <w:sz w:val="22"/>
          <w:szCs w:val="22"/>
        </w:rPr>
        <w:t>a</w:t>
      </w:r>
      <w:r w:rsidRPr="00374521">
        <w:rPr>
          <w:sz w:val="22"/>
          <w:szCs w:val="22"/>
        </w:rPr>
        <w:t xml:space="preserve"> potasu w surowicy. Nie zaleca się </w:t>
      </w:r>
      <w:r w:rsidR="008C5BE7" w:rsidRPr="00374521">
        <w:rPr>
          <w:sz w:val="22"/>
          <w:szCs w:val="22"/>
        </w:rPr>
        <w:t>te</w:t>
      </w:r>
      <w:r w:rsidR="00575E5E" w:rsidRPr="00374521">
        <w:rPr>
          <w:sz w:val="22"/>
          <w:szCs w:val="22"/>
        </w:rPr>
        <w:t>go</w:t>
      </w:r>
      <w:r w:rsidR="008C5BE7" w:rsidRPr="00374521">
        <w:rPr>
          <w:sz w:val="22"/>
          <w:szCs w:val="22"/>
        </w:rPr>
        <w:t xml:space="preserve"> typu leczenia skojarzonego.</w:t>
      </w:r>
    </w:p>
    <w:p w14:paraId="1B3B515E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  <w:highlight w:val="yellow"/>
        </w:rPr>
      </w:pPr>
    </w:p>
    <w:p w14:paraId="4DAD49CE" w14:textId="77777777" w:rsidR="00556DD0" w:rsidRPr="00374521" w:rsidRDefault="00575E5E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Podobnie j</w:t>
      </w:r>
      <w:r w:rsidR="00556DD0" w:rsidRPr="00374521">
        <w:rPr>
          <w:sz w:val="22"/>
          <w:szCs w:val="22"/>
        </w:rPr>
        <w:t>ak w przypadku innych leków wpływających na wydalanie sodu, wydalenie litu może być zmniejszone.</w:t>
      </w:r>
    </w:p>
    <w:p w14:paraId="0BF548B1" w14:textId="77777777" w:rsidR="00556DD0" w:rsidRPr="00374521" w:rsidRDefault="00575E5E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Z tego powodu należy monitorować stężenie</w:t>
      </w:r>
      <w:r w:rsidR="00556DD0" w:rsidRPr="00374521">
        <w:rPr>
          <w:sz w:val="22"/>
          <w:szCs w:val="22"/>
        </w:rPr>
        <w:t xml:space="preserve"> litu w osoczu</w:t>
      </w:r>
      <w:r w:rsidRPr="00374521">
        <w:rPr>
          <w:sz w:val="22"/>
          <w:szCs w:val="22"/>
        </w:rPr>
        <w:t>,</w:t>
      </w:r>
      <w:r w:rsidR="00556DD0" w:rsidRPr="00374521">
        <w:rPr>
          <w:sz w:val="22"/>
          <w:szCs w:val="22"/>
        </w:rPr>
        <w:t xml:space="preserve"> jeśli </w:t>
      </w:r>
      <w:r w:rsidRPr="00374521">
        <w:rPr>
          <w:sz w:val="22"/>
          <w:szCs w:val="22"/>
        </w:rPr>
        <w:t xml:space="preserve">sole litu są </w:t>
      </w:r>
      <w:r w:rsidR="00556DD0" w:rsidRPr="00374521">
        <w:rPr>
          <w:sz w:val="22"/>
          <w:szCs w:val="22"/>
        </w:rPr>
        <w:t>podawan</w:t>
      </w:r>
      <w:r w:rsidRPr="00374521">
        <w:rPr>
          <w:sz w:val="22"/>
          <w:szCs w:val="22"/>
        </w:rPr>
        <w:t>e</w:t>
      </w:r>
      <w:r w:rsidR="00556DD0" w:rsidRPr="00374521">
        <w:rPr>
          <w:sz w:val="22"/>
          <w:szCs w:val="22"/>
        </w:rPr>
        <w:t xml:space="preserve"> jednocześnie z antagonistami receptora </w:t>
      </w:r>
      <w:r w:rsidR="00B27155" w:rsidRPr="00C006D7">
        <w:rPr>
          <w:sz w:val="22"/>
          <w:szCs w:val="22"/>
        </w:rPr>
        <w:t>AT1 dla</w:t>
      </w:r>
      <w:r w:rsidR="00B27155">
        <w:rPr>
          <w:sz w:val="22"/>
          <w:szCs w:val="22"/>
        </w:rPr>
        <w:t xml:space="preserve"> </w:t>
      </w:r>
      <w:r w:rsidR="00556DD0" w:rsidRPr="00374521">
        <w:rPr>
          <w:sz w:val="22"/>
          <w:szCs w:val="22"/>
        </w:rPr>
        <w:t>angiotensyny</w:t>
      </w:r>
      <w:r w:rsidRPr="00374521">
        <w:rPr>
          <w:sz w:val="22"/>
          <w:szCs w:val="22"/>
        </w:rPr>
        <w:t xml:space="preserve"> II</w:t>
      </w:r>
      <w:r w:rsidR="00556DD0" w:rsidRPr="00374521">
        <w:rPr>
          <w:sz w:val="22"/>
          <w:szCs w:val="22"/>
        </w:rPr>
        <w:t xml:space="preserve">. </w:t>
      </w:r>
    </w:p>
    <w:p w14:paraId="5BF27482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  <w:highlight w:val="yellow"/>
        </w:rPr>
      </w:pPr>
    </w:p>
    <w:p w14:paraId="7F6C80A1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Podczas jednoczesnego stosowania antagonistów angiotensyny II i niesteroidowych leków</w:t>
      </w:r>
    </w:p>
    <w:p w14:paraId="008FA5CA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 xml:space="preserve">przeciwzapalnych </w:t>
      </w:r>
      <w:r w:rsidR="00575E5E" w:rsidRPr="00374521">
        <w:rPr>
          <w:sz w:val="22"/>
          <w:szCs w:val="22"/>
        </w:rPr>
        <w:t xml:space="preserve">(NLPZ) </w:t>
      </w:r>
      <w:r w:rsidRPr="00374521">
        <w:rPr>
          <w:sz w:val="22"/>
          <w:szCs w:val="22"/>
        </w:rPr>
        <w:t xml:space="preserve">(tj. </w:t>
      </w:r>
      <w:r w:rsidR="00527A2B" w:rsidRPr="00374521">
        <w:rPr>
          <w:sz w:val="22"/>
          <w:szCs w:val="22"/>
        </w:rPr>
        <w:t xml:space="preserve">wybiórczych </w:t>
      </w:r>
      <w:r w:rsidRPr="00374521">
        <w:rPr>
          <w:sz w:val="22"/>
          <w:szCs w:val="22"/>
        </w:rPr>
        <w:t xml:space="preserve">inhibitorów COX-2, kwasu acetylosalicylowego w dawkach przeciwzapalnych oraz </w:t>
      </w:r>
      <w:proofErr w:type="spellStart"/>
      <w:r w:rsidRPr="00374521">
        <w:rPr>
          <w:sz w:val="22"/>
          <w:szCs w:val="22"/>
        </w:rPr>
        <w:t>nie</w:t>
      </w:r>
      <w:r w:rsidR="00527A2B" w:rsidRPr="00374521">
        <w:rPr>
          <w:sz w:val="22"/>
          <w:szCs w:val="22"/>
        </w:rPr>
        <w:t>wybiórczych</w:t>
      </w:r>
      <w:proofErr w:type="spellEnd"/>
      <w:r w:rsidR="00527A2B" w:rsidRPr="00374521">
        <w:rPr>
          <w:sz w:val="22"/>
          <w:szCs w:val="22"/>
        </w:rPr>
        <w:t xml:space="preserve"> NLPZ</w:t>
      </w:r>
      <w:r w:rsidRPr="00374521">
        <w:rPr>
          <w:sz w:val="22"/>
          <w:szCs w:val="22"/>
        </w:rPr>
        <w:t xml:space="preserve">), może wystąpić osłabienie działania </w:t>
      </w:r>
      <w:proofErr w:type="spellStart"/>
      <w:r w:rsidRPr="00374521">
        <w:rPr>
          <w:sz w:val="22"/>
          <w:szCs w:val="22"/>
        </w:rPr>
        <w:t>przeciwnadciśnieniowego</w:t>
      </w:r>
      <w:proofErr w:type="spellEnd"/>
      <w:r w:rsidRPr="00374521">
        <w:rPr>
          <w:sz w:val="22"/>
          <w:szCs w:val="22"/>
        </w:rPr>
        <w:t xml:space="preserve">. Jednoczesne stosowanie antagonistów angiotensyny II lub leków moczopędnych i </w:t>
      </w:r>
      <w:r w:rsidR="00527A2B" w:rsidRPr="00374521">
        <w:rPr>
          <w:sz w:val="22"/>
          <w:szCs w:val="22"/>
        </w:rPr>
        <w:t>NLPZ</w:t>
      </w:r>
      <w:r w:rsidRPr="00374521">
        <w:rPr>
          <w:sz w:val="22"/>
          <w:szCs w:val="22"/>
        </w:rPr>
        <w:t xml:space="preserve"> może prowadzić do zwiększonego ryzyka pogorszenia czynności nerek, w tym możliwej ostrej niewydolności nerek oraz zwiększenia stężenia potasu w surowicy krwi, zwłaszcza u pacjentów z istniejącymi wcześniej zaburzeniami czynności nerek. </w:t>
      </w:r>
      <w:r w:rsidR="00527A2B" w:rsidRPr="00374521">
        <w:rPr>
          <w:sz w:val="22"/>
          <w:szCs w:val="22"/>
        </w:rPr>
        <w:t>Podczas t</w:t>
      </w:r>
      <w:r w:rsidRPr="00374521">
        <w:rPr>
          <w:sz w:val="22"/>
          <w:szCs w:val="22"/>
        </w:rPr>
        <w:t>akie</w:t>
      </w:r>
      <w:r w:rsidR="00527A2B" w:rsidRPr="00374521">
        <w:rPr>
          <w:sz w:val="22"/>
          <w:szCs w:val="22"/>
        </w:rPr>
        <w:t>go leczenia skojarzonego</w:t>
      </w:r>
      <w:r w:rsidRPr="00374521">
        <w:rPr>
          <w:sz w:val="22"/>
          <w:szCs w:val="22"/>
        </w:rPr>
        <w:t xml:space="preserve"> należy </w:t>
      </w:r>
      <w:r w:rsidR="00527A2B" w:rsidRPr="00374521">
        <w:rPr>
          <w:sz w:val="22"/>
          <w:szCs w:val="22"/>
        </w:rPr>
        <w:t>zachować</w:t>
      </w:r>
      <w:r w:rsidRPr="00374521">
        <w:rPr>
          <w:sz w:val="22"/>
          <w:szCs w:val="22"/>
        </w:rPr>
        <w:t xml:space="preserve"> ostrożn</w:t>
      </w:r>
      <w:r w:rsidR="00527A2B" w:rsidRPr="00374521">
        <w:rPr>
          <w:sz w:val="22"/>
          <w:szCs w:val="22"/>
        </w:rPr>
        <w:t>ość</w:t>
      </w:r>
      <w:r w:rsidRPr="00374521">
        <w:rPr>
          <w:sz w:val="22"/>
          <w:szCs w:val="22"/>
        </w:rPr>
        <w:t xml:space="preserve">, zwłaszcza </w:t>
      </w:r>
      <w:r w:rsidR="00D44187" w:rsidRPr="00374521">
        <w:rPr>
          <w:sz w:val="22"/>
          <w:szCs w:val="22"/>
        </w:rPr>
        <w:t>u</w:t>
      </w:r>
      <w:r w:rsidRPr="00374521">
        <w:rPr>
          <w:sz w:val="22"/>
          <w:szCs w:val="22"/>
        </w:rPr>
        <w:t xml:space="preserve"> osób w podeszłym</w:t>
      </w:r>
      <w:r w:rsidR="00527A2B" w:rsidRPr="00374521">
        <w:rPr>
          <w:sz w:val="22"/>
          <w:szCs w:val="22"/>
        </w:rPr>
        <w:t xml:space="preserve"> wieku</w:t>
      </w:r>
      <w:r w:rsidRPr="00374521">
        <w:rPr>
          <w:sz w:val="22"/>
          <w:szCs w:val="22"/>
        </w:rPr>
        <w:t>. Pacjen</w:t>
      </w:r>
      <w:r w:rsidR="00527A2B" w:rsidRPr="00374521">
        <w:rPr>
          <w:sz w:val="22"/>
          <w:szCs w:val="22"/>
        </w:rPr>
        <w:t>tów należy</w:t>
      </w:r>
      <w:r w:rsidRPr="00374521">
        <w:rPr>
          <w:sz w:val="22"/>
          <w:szCs w:val="22"/>
        </w:rPr>
        <w:t xml:space="preserve"> odpowiednio nawodni</w:t>
      </w:r>
      <w:r w:rsidR="00527A2B" w:rsidRPr="00374521">
        <w:rPr>
          <w:sz w:val="22"/>
          <w:szCs w:val="22"/>
        </w:rPr>
        <w:t>ć</w:t>
      </w:r>
      <w:r w:rsidRPr="00374521">
        <w:rPr>
          <w:sz w:val="22"/>
          <w:szCs w:val="22"/>
        </w:rPr>
        <w:t xml:space="preserve"> oraz należy rozważyć kontrolowanie czynności nerek po rozpoczęciu </w:t>
      </w:r>
      <w:r w:rsidR="00527A2B" w:rsidRPr="00374521">
        <w:rPr>
          <w:sz w:val="22"/>
          <w:szCs w:val="22"/>
        </w:rPr>
        <w:t xml:space="preserve">leczenia </w:t>
      </w:r>
      <w:r w:rsidRPr="00374521">
        <w:rPr>
          <w:sz w:val="22"/>
          <w:szCs w:val="22"/>
        </w:rPr>
        <w:t>skojarzone</w:t>
      </w:r>
      <w:r w:rsidR="00527A2B" w:rsidRPr="00374521">
        <w:rPr>
          <w:sz w:val="22"/>
          <w:szCs w:val="22"/>
        </w:rPr>
        <w:t xml:space="preserve">go i </w:t>
      </w:r>
      <w:r w:rsidRPr="00374521">
        <w:rPr>
          <w:sz w:val="22"/>
          <w:szCs w:val="22"/>
        </w:rPr>
        <w:t xml:space="preserve">okresowo </w:t>
      </w:r>
      <w:r w:rsidR="00527A2B" w:rsidRPr="00374521">
        <w:rPr>
          <w:sz w:val="22"/>
          <w:szCs w:val="22"/>
        </w:rPr>
        <w:t>później</w:t>
      </w:r>
      <w:r w:rsidRPr="00374521">
        <w:rPr>
          <w:sz w:val="22"/>
          <w:szCs w:val="22"/>
        </w:rPr>
        <w:t xml:space="preserve">. </w:t>
      </w:r>
    </w:p>
    <w:p w14:paraId="21D7EF41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  <w:highlight w:val="yellow"/>
        </w:rPr>
      </w:pPr>
    </w:p>
    <w:p w14:paraId="74026548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U niektórych pacjentów z zaburzeniami czynności nerek przyjmujących NLPZ, w</w:t>
      </w:r>
      <w:r w:rsidR="00527A2B" w:rsidRPr="00374521">
        <w:rPr>
          <w:sz w:val="22"/>
          <w:szCs w:val="22"/>
        </w:rPr>
        <w:t xml:space="preserve"> tym wybiórcze</w:t>
      </w:r>
      <w:r w:rsidRPr="00374521">
        <w:rPr>
          <w:sz w:val="22"/>
          <w:szCs w:val="22"/>
        </w:rPr>
        <w:t xml:space="preserve"> inhibitory COX-2, jednoczesne </w:t>
      </w:r>
      <w:r w:rsidR="00527A2B" w:rsidRPr="00374521">
        <w:rPr>
          <w:sz w:val="22"/>
          <w:szCs w:val="22"/>
        </w:rPr>
        <w:t xml:space="preserve">stosowanie </w:t>
      </w:r>
      <w:r w:rsidRPr="00374521">
        <w:rPr>
          <w:sz w:val="22"/>
          <w:szCs w:val="22"/>
        </w:rPr>
        <w:t xml:space="preserve">antagonistów receptora </w:t>
      </w:r>
      <w:r w:rsidR="00B27155" w:rsidRPr="00C006D7">
        <w:rPr>
          <w:sz w:val="22"/>
          <w:szCs w:val="22"/>
        </w:rPr>
        <w:t>AT1 dla</w:t>
      </w:r>
      <w:r w:rsidR="00B27155">
        <w:rPr>
          <w:sz w:val="22"/>
          <w:szCs w:val="22"/>
        </w:rPr>
        <w:t xml:space="preserve"> </w:t>
      </w:r>
      <w:r w:rsidRPr="00374521">
        <w:rPr>
          <w:sz w:val="22"/>
          <w:szCs w:val="22"/>
        </w:rPr>
        <w:t xml:space="preserve">angiotensyny </w:t>
      </w:r>
      <w:r w:rsidR="00527A2B" w:rsidRPr="00374521">
        <w:rPr>
          <w:sz w:val="22"/>
          <w:szCs w:val="22"/>
        </w:rPr>
        <w:t xml:space="preserve">II </w:t>
      </w:r>
      <w:r w:rsidRPr="00374521">
        <w:rPr>
          <w:sz w:val="22"/>
          <w:szCs w:val="22"/>
        </w:rPr>
        <w:t xml:space="preserve">może </w:t>
      </w:r>
      <w:r w:rsidR="00527A2B" w:rsidRPr="00374521">
        <w:rPr>
          <w:sz w:val="22"/>
          <w:szCs w:val="22"/>
        </w:rPr>
        <w:t>spowodować dalsze</w:t>
      </w:r>
      <w:r w:rsidRPr="00374521">
        <w:rPr>
          <w:sz w:val="22"/>
          <w:szCs w:val="22"/>
        </w:rPr>
        <w:t xml:space="preserve"> pogorszenie </w:t>
      </w:r>
      <w:r w:rsidR="00527A2B" w:rsidRPr="00374521">
        <w:rPr>
          <w:sz w:val="22"/>
          <w:szCs w:val="22"/>
        </w:rPr>
        <w:t>czynności</w:t>
      </w:r>
      <w:r w:rsidRPr="00374521">
        <w:rPr>
          <w:sz w:val="22"/>
          <w:szCs w:val="22"/>
        </w:rPr>
        <w:t xml:space="preserve"> nerek. T</w:t>
      </w:r>
      <w:r w:rsidR="00527A2B" w:rsidRPr="00374521">
        <w:rPr>
          <w:sz w:val="22"/>
          <w:szCs w:val="22"/>
        </w:rPr>
        <w:t>akie działanie</w:t>
      </w:r>
      <w:r w:rsidRPr="00374521">
        <w:rPr>
          <w:sz w:val="22"/>
          <w:szCs w:val="22"/>
        </w:rPr>
        <w:t xml:space="preserve"> jest zazwyczaj odwracaln</w:t>
      </w:r>
      <w:r w:rsidR="00527A2B" w:rsidRPr="00374521">
        <w:rPr>
          <w:sz w:val="22"/>
          <w:szCs w:val="22"/>
        </w:rPr>
        <w:t>e</w:t>
      </w:r>
      <w:r w:rsidRPr="00374521">
        <w:rPr>
          <w:sz w:val="22"/>
          <w:szCs w:val="22"/>
        </w:rPr>
        <w:t xml:space="preserve">. </w:t>
      </w:r>
    </w:p>
    <w:p w14:paraId="1AF46A3D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  <w:highlight w:val="yellow"/>
        </w:rPr>
      </w:pPr>
    </w:p>
    <w:p w14:paraId="2D9C77C2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Inne substancje</w:t>
      </w:r>
      <w:r w:rsidR="00B92CB6" w:rsidRPr="00374521">
        <w:rPr>
          <w:sz w:val="22"/>
          <w:szCs w:val="22"/>
        </w:rPr>
        <w:t xml:space="preserve"> </w:t>
      </w:r>
      <w:r w:rsidRPr="00374521">
        <w:rPr>
          <w:sz w:val="22"/>
          <w:szCs w:val="22"/>
        </w:rPr>
        <w:t>powodujące niedociśnienie</w:t>
      </w:r>
      <w:r w:rsidR="00B92CB6" w:rsidRPr="00374521">
        <w:rPr>
          <w:sz w:val="22"/>
          <w:szCs w:val="22"/>
        </w:rPr>
        <w:t>,</w:t>
      </w:r>
      <w:r w:rsidRPr="00374521">
        <w:rPr>
          <w:sz w:val="22"/>
          <w:szCs w:val="22"/>
        </w:rPr>
        <w:t xml:space="preserve"> takie jak </w:t>
      </w:r>
      <w:r w:rsidR="00B92CB6" w:rsidRPr="00374521">
        <w:rPr>
          <w:sz w:val="22"/>
          <w:szCs w:val="22"/>
        </w:rPr>
        <w:t xml:space="preserve">trójpierścieniowe </w:t>
      </w:r>
      <w:r w:rsidRPr="00374521">
        <w:rPr>
          <w:sz w:val="22"/>
          <w:szCs w:val="22"/>
        </w:rPr>
        <w:t xml:space="preserve">leki przeciwdepresyjne, leki </w:t>
      </w:r>
      <w:proofErr w:type="spellStart"/>
      <w:r w:rsidRPr="00374521">
        <w:rPr>
          <w:sz w:val="22"/>
          <w:szCs w:val="22"/>
        </w:rPr>
        <w:t>przeciwpsychotyczne</w:t>
      </w:r>
      <w:proofErr w:type="spellEnd"/>
      <w:r w:rsidRPr="00374521">
        <w:rPr>
          <w:sz w:val="22"/>
          <w:szCs w:val="22"/>
        </w:rPr>
        <w:t>,</w:t>
      </w:r>
      <w:r w:rsidR="00B92CB6" w:rsidRPr="00374521">
        <w:rPr>
          <w:sz w:val="22"/>
          <w:szCs w:val="22"/>
        </w:rPr>
        <w:t xml:space="preserve"> </w:t>
      </w:r>
      <w:proofErr w:type="spellStart"/>
      <w:r w:rsidRPr="00374521">
        <w:rPr>
          <w:sz w:val="22"/>
          <w:szCs w:val="22"/>
        </w:rPr>
        <w:t>baklofen</w:t>
      </w:r>
      <w:proofErr w:type="spellEnd"/>
      <w:r w:rsidRPr="00374521">
        <w:rPr>
          <w:sz w:val="22"/>
          <w:szCs w:val="22"/>
        </w:rPr>
        <w:t xml:space="preserve">, </w:t>
      </w:r>
      <w:proofErr w:type="spellStart"/>
      <w:r w:rsidRPr="00374521">
        <w:rPr>
          <w:sz w:val="22"/>
          <w:szCs w:val="22"/>
        </w:rPr>
        <w:t>amifostyna</w:t>
      </w:r>
      <w:proofErr w:type="spellEnd"/>
      <w:r w:rsidRPr="00374521">
        <w:rPr>
          <w:sz w:val="22"/>
          <w:szCs w:val="22"/>
        </w:rPr>
        <w:t xml:space="preserve"> stosowane</w:t>
      </w:r>
      <w:r w:rsidR="00D44187" w:rsidRPr="00374521">
        <w:rPr>
          <w:sz w:val="22"/>
          <w:szCs w:val="22"/>
        </w:rPr>
        <w:t xml:space="preserve"> jednocześnie</w:t>
      </w:r>
      <w:r w:rsidRPr="00374521">
        <w:rPr>
          <w:sz w:val="22"/>
          <w:szCs w:val="22"/>
        </w:rPr>
        <w:t xml:space="preserve"> z lekami, które </w:t>
      </w:r>
      <w:r w:rsidR="00B92CB6" w:rsidRPr="00374521">
        <w:rPr>
          <w:sz w:val="22"/>
          <w:szCs w:val="22"/>
        </w:rPr>
        <w:t xml:space="preserve">zmniejszają ciśnienie krwi, </w:t>
      </w:r>
      <w:r w:rsidRPr="00374521">
        <w:rPr>
          <w:sz w:val="22"/>
          <w:szCs w:val="22"/>
        </w:rPr>
        <w:t>jako działanie</w:t>
      </w:r>
      <w:r w:rsidR="00B92CB6" w:rsidRPr="00374521">
        <w:rPr>
          <w:sz w:val="22"/>
          <w:szCs w:val="22"/>
        </w:rPr>
        <w:t xml:space="preserve"> główne</w:t>
      </w:r>
      <w:r w:rsidRPr="00374521">
        <w:rPr>
          <w:sz w:val="22"/>
          <w:szCs w:val="22"/>
        </w:rPr>
        <w:t xml:space="preserve"> lub działanie niepożądane</w:t>
      </w:r>
      <w:r w:rsidR="00B92CB6" w:rsidRPr="00374521">
        <w:rPr>
          <w:sz w:val="22"/>
          <w:szCs w:val="22"/>
        </w:rPr>
        <w:t>,</w:t>
      </w:r>
      <w:r w:rsidRPr="00374521">
        <w:rPr>
          <w:sz w:val="22"/>
          <w:szCs w:val="22"/>
        </w:rPr>
        <w:t xml:space="preserve"> mo</w:t>
      </w:r>
      <w:r w:rsidR="00E33426" w:rsidRPr="00374521">
        <w:rPr>
          <w:sz w:val="22"/>
          <w:szCs w:val="22"/>
        </w:rPr>
        <w:t>gą</w:t>
      </w:r>
      <w:r w:rsidRPr="00374521">
        <w:rPr>
          <w:sz w:val="22"/>
          <w:szCs w:val="22"/>
        </w:rPr>
        <w:t xml:space="preserve"> zwiększyć ryzyko wystąpienia</w:t>
      </w:r>
      <w:r w:rsidR="00B92CB6" w:rsidRPr="00374521">
        <w:rPr>
          <w:sz w:val="22"/>
          <w:szCs w:val="22"/>
        </w:rPr>
        <w:t xml:space="preserve"> </w:t>
      </w:r>
      <w:r w:rsidRPr="00374521">
        <w:rPr>
          <w:sz w:val="22"/>
          <w:szCs w:val="22"/>
        </w:rPr>
        <w:t>niedociśnienia.</w:t>
      </w:r>
    </w:p>
    <w:p w14:paraId="66AB1FE5" w14:textId="77777777" w:rsidR="00601395" w:rsidRPr="00374521" w:rsidRDefault="00601395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4DF38CE6" w14:textId="77777777" w:rsidR="00D3503F" w:rsidRPr="00374521" w:rsidRDefault="00D3503F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 xml:space="preserve">Dane </w:t>
      </w:r>
      <w:r w:rsidR="00393FC6">
        <w:rPr>
          <w:sz w:val="22"/>
          <w:szCs w:val="22"/>
        </w:rPr>
        <w:t xml:space="preserve">z </w:t>
      </w:r>
      <w:r w:rsidRPr="00374521">
        <w:rPr>
          <w:sz w:val="22"/>
          <w:szCs w:val="22"/>
        </w:rPr>
        <w:t>badania klinicznego wykazały, że podwójna blokada układu renina-angiotensyna-aldosteron (RAA</w:t>
      </w:r>
      <w:r w:rsidR="00015873">
        <w:rPr>
          <w:sz w:val="22"/>
          <w:szCs w:val="22"/>
        </w:rPr>
        <w:t>S</w:t>
      </w:r>
      <w:r w:rsidRPr="00374521">
        <w:rPr>
          <w:sz w:val="22"/>
          <w:szCs w:val="22"/>
        </w:rPr>
        <w:t xml:space="preserve">) w wyniku jednoczesnego zastosowania inhibitorów ACE, antagonistów receptora </w:t>
      </w:r>
      <w:r w:rsidR="00B27155" w:rsidRPr="00C006D7">
        <w:rPr>
          <w:sz w:val="22"/>
          <w:szCs w:val="22"/>
        </w:rPr>
        <w:t>AT1 dla</w:t>
      </w:r>
      <w:r w:rsidR="00B27155">
        <w:rPr>
          <w:sz w:val="22"/>
          <w:szCs w:val="22"/>
        </w:rPr>
        <w:t xml:space="preserve"> </w:t>
      </w:r>
      <w:r w:rsidRPr="00374521">
        <w:rPr>
          <w:sz w:val="22"/>
          <w:szCs w:val="22"/>
        </w:rPr>
        <w:t xml:space="preserve">angiotensyny II lub </w:t>
      </w:r>
      <w:proofErr w:type="spellStart"/>
      <w:r w:rsidRPr="00374521">
        <w:rPr>
          <w:sz w:val="22"/>
          <w:szCs w:val="22"/>
        </w:rPr>
        <w:t>aliskirenu</w:t>
      </w:r>
      <w:proofErr w:type="spellEnd"/>
      <w:r w:rsidRPr="00374521">
        <w:rPr>
          <w:sz w:val="22"/>
          <w:szCs w:val="22"/>
        </w:rPr>
        <w:t xml:space="preserve"> jest związana z większą częstością występowania </w:t>
      </w:r>
      <w:r w:rsidR="00015873">
        <w:rPr>
          <w:sz w:val="22"/>
          <w:szCs w:val="22"/>
        </w:rPr>
        <w:t xml:space="preserve">objawów </w:t>
      </w:r>
      <w:r w:rsidRPr="00374521">
        <w:rPr>
          <w:sz w:val="22"/>
          <w:szCs w:val="22"/>
        </w:rPr>
        <w:t xml:space="preserve">niepożądanych, takich jak: niedociśnienie, hiperkaliemia oraz zaburzenia czynności nerek (w tym ostra niewydolność nerek) w porównaniu z zastosowaniem </w:t>
      </w:r>
      <w:r w:rsidR="00015873">
        <w:rPr>
          <w:sz w:val="22"/>
          <w:szCs w:val="22"/>
        </w:rPr>
        <w:t xml:space="preserve">pojedynczego produktu działającego na </w:t>
      </w:r>
      <w:r w:rsidRPr="00374521">
        <w:rPr>
          <w:sz w:val="22"/>
          <w:szCs w:val="22"/>
        </w:rPr>
        <w:t>układ RAA (patrz punkty 4.3, 4.4 i 5.1).</w:t>
      </w:r>
    </w:p>
    <w:p w14:paraId="1371454D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7B7C441B" w14:textId="77777777" w:rsidR="00556DD0" w:rsidRPr="00374521" w:rsidRDefault="00556DD0" w:rsidP="00374521">
      <w:pPr>
        <w:autoSpaceDE w:val="0"/>
        <w:autoSpaceDN w:val="0"/>
        <w:adjustRightInd w:val="0"/>
        <w:rPr>
          <w:iCs/>
          <w:sz w:val="22"/>
          <w:szCs w:val="22"/>
          <w:u w:val="single"/>
        </w:rPr>
      </w:pPr>
      <w:proofErr w:type="spellStart"/>
      <w:r w:rsidRPr="00374521">
        <w:rPr>
          <w:iCs/>
          <w:sz w:val="22"/>
          <w:szCs w:val="22"/>
          <w:u w:val="single"/>
        </w:rPr>
        <w:t>Hydrochlorotiazyd</w:t>
      </w:r>
      <w:proofErr w:type="spellEnd"/>
    </w:p>
    <w:p w14:paraId="694DB54B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6530F741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lastRenderedPageBreak/>
        <w:t xml:space="preserve">Następujące leki podczas jednoczesnego stosowania mogą wchodzić w interakcje z </w:t>
      </w:r>
      <w:proofErr w:type="spellStart"/>
      <w:r w:rsidRPr="00374521">
        <w:rPr>
          <w:sz w:val="22"/>
          <w:szCs w:val="22"/>
        </w:rPr>
        <w:t>tiazydowymi</w:t>
      </w:r>
      <w:proofErr w:type="spellEnd"/>
      <w:r w:rsidR="00B92CB6" w:rsidRPr="00374521">
        <w:rPr>
          <w:sz w:val="22"/>
          <w:szCs w:val="22"/>
        </w:rPr>
        <w:t xml:space="preserve"> lekami moczopędnymi</w:t>
      </w:r>
      <w:r w:rsidRPr="00374521">
        <w:rPr>
          <w:sz w:val="22"/>
          <w:szCs w:val="22"/>
        </w:rPr>
        <w:t>:</w:t>
      </w:r>
    </w:p>
    <w:p w14:paraId="228A5FDE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318C86AA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Alkohol, barbiturany</w:t>
      </w:r>
      <w:r w:rsidR="00B92CB6" w:rsidRPr="00374521">
        <w:rPr>
          <w:i/>
          <w:sz w:val="22"/>
          <w:szCs w:val="22"/>
        </w:rPr>
        <w:t xml:space="preserve">, </w:t>
      </w:r>
      <w:proofErr w:type="spellStart"/>
      <w:r w:rsidR="00B92CB6" w:rsidRPr="00374521">
        <w:rPr>
          <w:i/>
          <w:sz w:val="22"/>
          <w:szCs w:val="22"/>
        </w:rPr>
        <w:t>opioidy</w:t>
      </w:r>
      <w:proofErr w:type="spellEnd"/>
      <w:r w:rsidRPr="00374521">
        <w:rPr>
          <w:i/>
          <w:sz w:val="22"/>
          <w:szCs w:val="22"/>
        </w:rPr>
        <w:t xml:space="preserve"> i leki </w:t>
      </w:r>
      <w:r w:rsidR="00B92CB6" w:rsidRPr="00374521">
        <w:rPr>
          <w:i/>
          <w:sz w:val="22"/>
          <w:szCs w:val="22"/>
        </w:rPr>
        <w:t>przeciwdepresyjne</w:t>
      </w:r>
    </w:p>
    <w:p w14:paraId="7716F861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Może wystąpić nasilenie niedociśnienia ortostatycznego.</w:t>
      </w:r>
    </w:p>
    <w:p w14:paraId="47438C29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0564E288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Leki przeciwcukrzycowe (</w:t>
      </w:r>
      <w:r w:rsidR="00B92CB6" w:rsidRPr="00374521">
        <w:rPr>
          <w:i/>
          <w:sz w:val="22"/>
          <w:szCs w:val="22"/>
        </w:rPr>
        <w:t xml:space="preserve">preparaty </w:t>
      </w:r>
      <w:r w:rsidRPr="00374521">
        <w:rPr>
          <w:i/>
          <w:sz w:val="22"/>
          <w:szCs w:val="22"/>
        </w:rPr>
        <w:t xml:space="preserve">doustne i insulina) </w:t>
      </w:r>
    </w:p>
    <w:p w14:paraId="0A532286" w14:textId="77777777" w:rsidR="00556DD0" w:rsidRPr="00374521" w:rsidRDefault="00D44187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 xml:space="preserve">Stosowanie leków z grupy </w:t>
      </w:r>
      <w:proofErr w:type="spellStart"/>
      <w:r w:rsidR="00556DD0" w:rsidRPr="00374521">
        <w:rPr>
          <w:sz w:val="22"/>
          <w:szCs w:val="22"/>
        </w:rPr>
        <w:t>tiazyd</w:t>
      </w:r>
      <w:r w:rsidRPr="00374521">
        <w:rPr>
          <w:sz w:val="22"/>
          <w:szCs w:val="22"/>
        </w:rPr>
        <w:t>ów</w:t>
      </w:r>
      <w:proofErr w:type="spellEnd"/>
      <w:r w:rsidR="00556DD0" w:rsidRPr="00374521">
        <w:rPr>
          <w:sz w:val="22"/>
          <w:szCs w:val="22"/>
        </w:rPr>
        <w:t xml:space="preserve"> może </w:t>
      </w:r>
      <w:r w:rsidRPr="00374521">
        <w:rPr>
          <w:sz w:val="22"/>
          <w:szCs w:val="22"/>
        </w:rPr>
        <w:t>upośledzać</w:t>
      </w:r>
      <w:r w:rsidR="00556DD0" w:rsidRPr="00374521">
        <w:rPr>
          <w:sz w:val="22"/>
          <w:szCs w:val="22"/>
        </w:rPr>
        <w:t xml:space="preserve"> tolerancję glukozy. Może być konieczne dostosowanie dawki leków przeciwcukrzycowych. </w:t>
      </w:r>
      <w:proofErr w:type="spellStart"/>
      <w:r w:rsidR="00556DD0" w:rsidRPr="00374521">
        <w:rPr>
          <w:sz w:val="22"/>
          <w:szCs w:val="22"/>
        </w:rPr>
        <w:t>Metformin</w:t>
      </w:r>
      <w:r w:rsidR="0044223E" w:rsidRPr="00374521">
        <w:rPr>
          <w:sz w:val="22"/>
          <w:szCs w:val="22"/>
        </w:rPr>
        <w:t>ę</w:t>
      </w:r>
      <w:proofErr w:type="spellEnd"/>
      <w:r w:rsidR="0044223E" w:rsidRPr="00374521">
        <w:rPr>
          <w:sz w:val="22"/>
          <w:szCs w:val="22"/>
        </w:rPr>
        <w:t xml:space="preserve"> należy</w:t>
      </w:r>
      <w:r w:rsidR="00556DD0" w:rsidRPr="00374521">
        <w:rPr>
          <w:sz w:val="22"/>
          <w:szCs w:val="22"/>
        </w:rPr>
        <w:t xml:space="preserve"> stosowa</w:t>
      </w:r>
      <w:r w:rsidR="0044223E" w:rsidRPr="00374521">
        <w:rPr>
          <w:sz w:val="22"/>
          <w:szCs w:val="22"/>
        </w:rPr>
        <w:t>ć</w:t>
      </w:r>
      <w:r w:rsidR="00556DD0" w:rsidRPr="00374521">
        <w:rPr>
          <w:sz w:val="22"/>
          <w:szCs w:val="22"/>
        </w:rPr>
        <w:t xml:space="preserve"> ostrożnie z powodu ryzyka kwasicy mle</w:t>
      </w:r>
      <w:r w:rsidR="0044223E" w:rsidRPr="00374521">
        <w:rPr>
          <w:sz w:val="22"/>
          <w:szCs w:val="22"/>
        </w:rPr>
        <w:t>czanowej</w:t>
      </w:r>
      <w:r w:rsidR="00556DD0" w:rsidRPr="00374521">
        <w:rPr>
          <w:sz w:val="22"/>
          <w:szCs w:val="22"/>
        </w:rPr>
        <w:t xml:space="preserve"> wywołanej przez możliwą </w:t>
      </w:r>
      <w:r w:rsidR="0044223E" w:rsidRPr="00374521">
        <w:rPr>
          <w:sz w:val="22"/>
          <w:szCs w:val="22"/>
        </w:rPr>
        <w:t xml:space="preserve">czynnościową </w:t>
      </w:r>
      <w:r w:rsidR="00556DD0" w:rsidRPr="00374521">
        <w:rPr>
          <w:sz w:val="22"/>
          <w:szCs w:val="22"/>
        </w:rPr>
        <w:t>niewydolność nerek związaną z</w:t>
      </w:r>
      <w:r w:rsidRPr="00374521">
        <w:rPr>
          <w:sz w:val="22"/>
          <w:szCs w:val="22"/>
        </w:rPr>
        <w:t xml:space="preserve">e stosowaniem </w:t>
      </w:r>
      <w:proofErr w:type="spellStart"/>
      <w:r w:rsidRPr="00374521">
        <w:rPr>
          <w:sz w:val="22"/>
          <w:szCs w:val="22"/>
        </w:rPr>
        <w:t>hydrochlorotiazydu</w:t>
      </w:r>
      <w:proofErr w:type="spellEnd"/>
      <w:r w:rsidR="00556DD0" w:rsidRPr="00374521">
        <w:rPr>
          <w:sz w:val="22"/>
          <w:szCs w:val="22"/>
        </w:rPr>
        <w:t>.</w:t>
      </w:r>
    </w:p>
    <w:p w14:paraId="32601B1D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2BFCF65C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 xml:space="preserve">Inne leki </w:t>
      </w:r>
      <w:proofErr w:type="spellStart"/>
      <w:r w:rsidRPr="00374521">
        <w:rPr>
          <w:i/>
          <w:sz w:val="22"/>
          <w:szCs w:val="22"/>
        </w:rPr>
        <w:t>przeciwnadciśnieniowe</w:t>
      </w:r>
      <w:proofErr w:type="spellEnd"/>
    </w:p>
    <w:p w14:paraId="2284048F" w14:textId="77777777" w:rsidR="00556DD0" w:rsidRPr="00374521" w:rsidRDefault="0044223E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 xml:space="preserve">Działanie </w:t>
      </w:r>
      <w:r w:rsidR="00556DD0" w:rsidRPr="00374521">
        <w:rPr>
          <w:sz w:val="22"/>
          <w:szCs w:val="22"/>
        </w:rPr>
        <w:t>addytywn</w:t>
      </w:r>
      <w:r w:rsidRPr="00374521">
        <w:rPr>
          <w:sz w:val="22"/>
          <w:szCs w:val="22"/>
        </w:rPr>
        <w:t>e</w:t>
      </w:r>
      <w:r w:rsidR="00556DD0" w:rsidRPr="00374521">
        <w:rPr>
          <w:sz w:val="22"/>
          <w:szCs w:val="22"/>
        </w:rPr>
        <w:t>.</w:t>
      </w:r>
    </w:p>
    <w:p w14:paraId="3DAFB352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187F34AC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Żywice jonowymienne (</w:t>
      </w:r>
      <w:proofErr w:type="spellStart"/>
      <w:r w:rsidR="00D44187" w:rsidRPr="00374521">
        <w:rPr>
          <w:i/>
          <w:sz w:val="22"/>
          <w:szCs w:val="22"/>
        </w:rPr>
        <w:t>ch</w:t>
      </w:r>
      <w:r w:rsidRPr="00374521">
        <w:rPr>
          <w:i/>
          <w:sz w:val="22"/>
          <w:szCs w:val="22"/>
        </w:rPr>
        <w:t>olestyramina</w:t>
      </w:r>
      <w:proofErr w:type="spellEnd"/>
      <w:r w:rsidRPr="00374521">
        <w:rPr>
          <w:i/>
          <w:sz w:val="22"/>
          <w:szCs w:val="22"/>
        </w:rPr>
        <w:t xml:space="preserve"> i </w:t>
      </w:r>
      <w:proofErr w:type="spellStart"/>
      <w:r w:rsidRPr="00374521">
        <w:rPr>
          <w:i/>
          <w:sz w:val="22"/>
          <w:szCs w:val="22"/>
        </w:rPr>
        <w:t>kolestypol</w:t>
      </w:r>
      <w:proofErr w:type="spellEnd"/>
      <w:r w:rsidRPr="00374521">
        <w:rPr>
          <w:i/>
          <w:sz w:val="22"/>
          <w:szCs w:val="22"/>
        </w:rPr>
        <w:t xml:space="preserve">) </w:t>
      </w:r>
    </w:p>
    <w:p w14:paraId="631462D4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W obecności żywic jonowymiennych wchłaniani</w:t>
      </w:r>
      <w:r w:rsidR="00C0218F" w:rsidRPr="00374521">
        <w:rPr>
          <w:sz w:val="22"/>
          <w:szCs w:val="22"/>
        </w:rPr>
        <w:t>e</w:t>
      </w:r>
      <w:r w:rsidRPr="00374521">
        <w:rPr>
          <w:sz w:val="22"/>
          <w:szCs w:val="22"/>
        </w:rPr>
        <w:t xml:space="preserve"> </w:t>
      </w:r>
      <w:proofErr w:type="spellStart"/>
      <w:r w:rsidRPr="00374521">
        <w:rPr>
          <w:sz w:val="22"/>
          <w:szCs w:val="22"/>
        </w:rPr>
        <w:t>hydrochlorotiazydu</w:t>
      </w:r>
      <w:proofErr w:type="spellEnd"/>
      <w:r w:rsidR="00C0218F" w:rsidRPr="00374521">
        <w:rPr>
          <w:sz w:val="22"/>
          <w:szCs w:val="22"/>
        </w:rPr>
        <w:t xml:space="preserve"> jest zmniejszone</w:t>
      </w:r>
      <w:r w:rsidR="00D44187" w:rsidRPr="00374521">
        <w:rPr>
          <w:sz w:val="22"/>
          <w:szCs w:val="22"/>
        </w:rPr>
        <w:t xml:space="preserve">. Pojedyncza dawka tak </w:t>
      </w:r>
      <w:proofErr w:type="spellStart"/>
      <w:r w:rsidR="00D44187" w:rsidRPr="00374521">
        <w:rPr>
          <w:sz w:val="22"/>
          <w:szCs w:val="22"/>
        </w:rPr>
        <w:t>ch</w:t>
      </w:r>
      <w:r w:rsidRPr="00374521">
        <w:rPr>
          <w:sz w:val="22"/>
          <w:szCs w:val="22"/>
        </w:rPr>
        <w:t>olestyraminy</w:t>
      </w:r>
      <w:proofErr w:type="spellEnd"/>
      <w:r w:rsidR="00C0218F" w:rsidRPr="00374521">
        <w:rPr>
          <w:sz w:val="22"/>
          <w:szCs w:val="22"/>
        </w:rPr>
        <w:t>,</w:t>
      </w:r>
      <w:r w:rsidRPr="00374521">
        <w:rPr>
          <w:sz w:val="22"/>
          <w:szCs w:val="22"/>
        </w:rPr>
        <w:t xml:space="preserve"> jak </w:t>
      </w:r>
      <w:proofErr w:type="spellStart"/>
      <w:r w:rsidRPr="00374521">
        <w:rPr>
          <w:sz w:val="22"/>
          <w:szCs w:val="22"/>
        </w:rPr>
        <w:t>kolestypolu</w:t>
      </w:r>
      <w:proofErr w:type="spellEnd"/>
      <w:r w:rsidRPr="00374521">
        <w:rPr>
          <w:sz w:val="22"/>
          <w:szCs w:val="22"/>
        </w:rPr>
        <w:t xml:space="preserve"> wiąże </w:t>
      </w:r>
      <w:proofErr w:type="spellStart"/>
      <w:r w:rsidRPr="00374521">
        <w:rPr>
          <w:sz w:val="22"/>
          <w:szCs w:val="22"/>
        </w:rPr>
        <w:t>hydrochlorotiazyd</w:t>
      </w:r>
      <w:proofErr w:type="spellEnd"/>
      <w:r w:rsidRPr="00374521">
        <w:rPr>
          <w:sz w:val="22"/>
          <w:szCs w:val="22"/>
        </w:rPr>
        <w:t xml:space="preserve"> i powoduje </w:t>
      </w:r>
      <w:r w:rsidR="00C0218F" w:rsidRPr="00374521">
        <w:rPr>
          <w:sz w:val="22"/>
          <w:szCs w:val="22"/>
        </w:rPr>
        <w:t xml:space="preserve">zmniejszenie </w:t>
      </w:r>
      <w:r w:rsidRPr="00374521">
        <w:rPr>
          <w:sz w:val="22"/>
          <w:szCs w:val="22"/>
        </w:rPr>
        <w:t xml:space="preserve">jego wchłaniania z przewodu pokarmowego odpowiednio do 85% i 43%. </w:t>
      </w:r>
    </w:p>
    <w:p w14:paraId="20204FA3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129BD3EB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C006D7">
        <w:rPr>
          <w:i/>
          <w:sz w:val="22"/>
          <w:szCs w:val="22"/>
        </w:rPr>
        <w:t>Kortykoster</w:t>
      </w:r>
      <w:r w:rsidR="00C0218F" w:rsidRPr="00C006D7">
        <w:rPr>
          <w:i/>
          <w:sz w:val="22"/>
          <w:szCs w:val="22"/>
        </w:rPr>
        <w:t>oi</w:t>
      </w:r>
      <w:r w:rsidRPr="00C006D7">
        <w:rPr>
          <w:i/>
          <w:sz w:val="22"/>
          <w:szCs w:val="22"/>
        </w:rPr>
        <w:t>dy, ACTH</w:t>
      </w:r>
    </w:p>
    <w:p w14:paraId="7F1D9E95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 xml:space="preserve">Nasilenie </w:t>
      </w:r>
      <w:r w:rsidR="00C0218F" w:rsidRPr="00374521">
        <w:rPr>
          <w:sz w:val="22"/>
          <w:szCs w:val="22"/>
        </w:rPr>
        <w:t xml:space="preserve">niedoboru </w:t>
      </w:r>
      <w:r w:rsidRPr="00374521">
        <w:rPr>
          <w:sz w:val="22"/>
          <w:szCs w:val="22"/>
        </w:rPr>
        <w:t xml:space="preserve">elektrolitów, </w:t>
      </w:r>
      <w:r w:rsidR="00C0218F" w:rsidRPr="00374521">
        <w:rPr>
          <w:sz w:val="22"/>
          <w:szCs w:val="22"/>
        </w:rPr>
        <w:t>zwłaszcza</w:t>
      </w:r>
      <w:r w:rsidRPr="00374521">
        <w:rPr>
          <w:sz w:val="22"/>
          <w:szCs w:val="22"/>
        </w:rPr>
        <w:t xml:space="preserve"> hipokaliemi</w:t>
      </w:r>
      <w:r w:rsidR="00840AEC" w:rsidRPr="00374521">
        <w:rPr>
          <w:sz w:val="22"/>
          <w:szCs w:val="22"/>
        </w:rPr>
        <w:t>i</w:t>
      </w:r>
      <w:r w:rsidRPr="00374521">
        <w:rPr>
          <w:sz w:val="22"/>
          <w:szCs w:val="22"/>
        </w:rPr>
        <w:t xml:space="preserve">. </w:t>
      </w:r>
    </w:p>
    <w:p w14:paraId="2E59AD85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416296AA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Aminy zwiększające ciśnienie krwi (np. adrenalina)</w:t>
      </w:r>
    </w:p>
    <w:p w14:paraId="7E3ADF4E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 xml:space="preserve">Możliwe zmniejszenie </w:t>
      </w:r>
      <w:r w:rsidR="00C0218F" w:rsidRPr="00374521">
        <w:rPr>
          <w:sz w:val="22"/>
          <w:szCs w:val="22"/>
        </w:rPr>
        <w:t xml:space="preserve">reakcji </w:t>
      </w:r>
      <w:r w:rsidRPr="00374521">
        <w:rPr>
          <w:sz w:val="22"/>
          <w:szCs w:val="22"/>
        </w:rPr>
        <w:t xml:space="preserve">na aminy zwiększające ciśnienie krwi, jednak nie w stopniu, który wymagałby zaniechania ich stosowania. </w:t>
      </w:r>
    </w:p>
    <w:p w14:paraId="3395B497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113DC512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 xml:space="preserve">Niepolaryzujące </w:t>
      </w:r>
      <w:r w:rsidR="008F0CF1" w:rsidRPr="00374521">
        <w:rPr>
          <w:i/>
          <w:sz w:val="22"/>
          <w:szCs w:val="22"/>
        </w:rPr>
        <w:t xml:space="preserve">preparaty </w:t>
      </w:r>
      <w:r w:rsidRPr="00374521">
        <w:rPr>
          <w:i/>
          <w:sz w:val="22"/>
          <w:szCs w:val="22"/>
        </w:rPr>
        <w:t>zwiotczające mięśnie szkieletowe (np. tubokuraryna)</w:t>
      </w:r>
    </w:p>
    <w:p w14:paraId="09BE1092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Możliw</w:t>
      </w:r>
      <w:r w:rsidR="008F0CF1" w:rsidRPr="00374521">
        <w:rPr>
          <w:sz w:val="22"/>
          <w:szCs w:val="22"/>
        </w:rPr>
        <w:t>e zwiększenie reakcji</w:t>
      </w:r>
      <w:r w:rsidRPr="00374521">
        <w:rPr>
          <w:sz w:val="22"/>
          <w:szCs w:val="22"/>
        </w:rPr>
        <w:t xml:space="preserve"> na środki zwiotczające</w:t>
      </w:r>
      <w:r w:rsidR="008F0CF1" w:rsidRPr="00374521">
        <w:rPr>
          <w:sz w:val="22"/>
          <w:szCs w:val="22"/>
        </w:rPr>
        <w:t xml:space="preserve"> mięśnie</w:t>
      </w:r>
      <w:r w:rsidRPr="00374521">
        <w:rPr>
          <w:sz w:val="22"/>
          <w:szCs w:val="22"/>
        </w:rPr>
        <w:t xml:space="preserve">. </w:t>
      </w:r>
    </w:p>
    <w:p w14:paraId="5B8E5A06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7F207FBA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Lit</w:t>
      </w:r>
    </w:p>
    <w:p w14:paraId="1CD103D3" w14:textId="77777777" w:rsidR="00556DD0" w:rsidRPr="00374521" w:rsidRDefault="008F0CF1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 xml:space="preserve">Leki moczopędne </w:t>
      </w:r>
      <w:r w:rsidR="00556DD0" w:rsidRPr="00374521">
        <w:rPr>
          <w:sz w:val="22"/>
          <w:szCs w:val="22"/>
        </w:rPr>
        <w:t xml:space="preserve">zmniejszają </w:t>
      </w:r>
      <w:proofErr w:type="spellStart"/>
      <w:r w:rsidR="00556DD0" w:rsidRPr="00374521">
        <w:rPr>
          <w:sz w:val="22"/>
          <w:szCs w:val="22"/>
        </w:rPr>
        <w:t>klirens</w:t>
      </w:r>
      <w:proofErr w:type="spellEnd"/>
      <w:r w:rsidR="00556DD0" w:rsidRPr="00374521">
        <w:rPr>
          <w:sz w:val="22"/>
          <w:szCs w:val="22"/>
        </w:rPr>
        <w:t xml:space="preserve"> </w:t>
      </w:r>
      <w:r w:rsidRPr="00374521">
        <w:rPr>
          <w:sz w:val="22"/>
          <w:szCs w:val="22"/>
        </w:rPr>
        <w:t xml:space="preserve">nerkowy </w:t>
      </w:r>
      <w:r w:rsidR="00556DD0" w:rsidRPr="00374521">
        <w:rPr>
          <w:sz w:val="22"/>
          <w:szCs w:val="22"/>
        </w:rPr>
        <w:t>litu</w:t>
      </w:r>
      <w:r w:rsidRPr="00374521">
        <w:rPr>
          <w:sz w:val="22"/>
          <w:szCs w:val="22"/>
        </w:rPr>
        <w:t>, powodując duż</w:t>
      </w:r>
      <w:r w:rsidR="00D44187" w:rsidRPr="00374521">
        <w:rPr>
          <w:sz w:val="22"/>
          <w:szCs w:val="22"/>
        </w:rPr>
        <w:t>e</w:t>
      </w:r>
      <w:r w:rsidRPr="00374521">
        <w:rPr>
          <w:sz w:val="22"/>
          <w:szCs w:val="22"/>
        </w:rPr>
        <w:t xml:space="preserve"> ryzyko toksycznego działania </w:t>
      </w:r>
      <w:r w:rsidR="00556DD0" w:rsidRPr="00374521">
        <w:rPr>
          <w:sz w:val="22"/>
          <w:szCs w:val="22"/>
        </w:rPr>
        <w:t>lit</w:t>
      </w:r>
      <w:r w:rsidRPr="00374521">
        <w:rPr>
          <w:sz w:val="22"/>
          <w:szCs w:val="22"/>
        </w:rPr>
        <w:t>u</w:t>
      </w:r>
      <w:r w:rsidR="00556DD0" w:rsidRPr="00374521">
        <w:rPr>
          <w:sz w:val="22"/>
          <w:szCs w:val="22"/>
        </w:rPr>
        <w:t>; nie zaleca</w:t>
      </w:r>
      <w:r w:rsidRPr="00374521">
        <w:rPr>
          <w:sz w:val="22"/>
          <w:szCs w:val="22"/>
        </w:rPr>
        <w:t xml:space="preserve"> się</w:t>
      </w:r>
      <w:r w:rsidR="00556DD0" w:rsidRPr="00374521">
        <w:rPr>
          <w:sz w:val="22"/>
          <w:szCs w:val="22"/>
        </w:rPr>
        <w:t xml:space="preserve"> jednoczesne</w:t>
      </w:r>
      <w:r w:rsidRPr="00374521">
        <w:rPr>
          <w:sz w:val="22"/>
          <w:szCs w:val="22"/>
        </w:rPr>
        <w:t>go stosowania</w:t>
      </w:r>
      <w:r w:rsidR="00556DD0" w:rsidRPr="00374521">
        <w:rPr>
          <w:sz w:val="22"/>
          <w:szCs w:val="22"/>
        </w:rPr>
        <w:t xml:space="preserve">. </w:t>
      </w:r>
    </w:p>
    <w:p w14:paraId="198C75DE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3C9292AD" w14:textId="77777777" w:rsidR="00556DD0" w:rsidRPr="00374521" w:rsidRDefault="008F0CF1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 xml:space="preserve">Produkty lecznicze </w:t>
      </w:r>
      <w:r w:rsidR="00556DD0" w:rsidRPr="00374521">
        <w:rPr>
          <w:i/>
          <w:sz w:val="22"/>
          <w:szCs w:val="22"/>
        </w:rPr>
        <w:t xml:space="preserve">stosowane w leczeniu </w:t>
      </w:r>
      <w:r w:rsidRPr="00374521">
        <w:rPr>
          <w:i/>
          <w:sz w:val="22"/>
          <w:szCs w:val="22"/>
        </w:rPr>
        <w:t>dny</w:t>
      </w:r>
      <w:r w:rsidR="00556DD0" w:rsidRPr="00374521">
        <w:rPr>
          <w:i/>
          <w:sz w:val="22"/>
          <w:szCs w:val="22"/>
        </w:rPr>
        <w:t xml:space="preserve"> (</w:t>
      </w:r>
      <w:proofErr w:type="spellStart"/>
      <w:r w:rsidR="00556DD0" w:rsidRPr="00374521">
        <w:rPr>
          <w:i/>
          <w:sz w:val="22"/>
          <w:szCs w:val="22"/>
        </w:rPr>
        <w:t>probenec</w:t>
      </w:r>
      <w:r w:rsidRPr="00374521">
        <w:rPr>
          <w:i/>
          <w:sz w:val="22"/>
          <w:szCs w:val="22"/>
        </w:rPr>
        <w:t>y</w:t>
      </w:r>
      <w:r w:rsidR="00556DD0" w:rsidRPr="00374521">
        <w:rPr>
          <w:i/>
          <w:sz w:val="22"/>
          <w:szCs w:val="22"/>
        </w:rPr>
        <w:t>d</w:t>
      </w:r>
      <w:proofErr w:type="spellEnd"/>
      <w:r w:rsidR="00556DD0" w:rsidRPr="00374521">
        <w:rPr>
          <w:i/>
          <w:sz w:val="22"/>
          <w:szCs w:val="22"/>
        </w:rPr>
        <w:t xml:space="preserve">, </w:t>
      </w:r>
      <w:proofErr w:type="spellStart"/>
      <w:r w:rsidR="00556DD0" w:rsidRPr="00374521">
        <w:rPr>
          <w:i/>
          <w:sz w:val="22"/>
          <w:szCs w:val="22"/>
        </w:rPr>
        <w:t>sulfin</w:t>
      </w:r>
      <w:r w:rsidRPr="00374521">
        <w:rPr>
          <w:i/>
          <w:sz w:val="22"/>
          <w:szCs w:val="22"/>
        </w:rPr>
        <w:t>o</w:t>
      </w:r>
      <w:r w:rsidR="00556DD0" w:rsidRPr="00374521">
        <w:rPr>
          <w:i/>
          <w:sz w:val="22"/>
          <w:szCs w:val="22"/>
        </w:rPr>
        <w:t>p</w:t>
      </w:r>
      <w:r w:rsidRPr="00374521">
        <w:rPr>
          <w:i/>
          <w:sz w:val="22"/>
          <w:szCs w:val="22"/>
        </w:rPr>
        <w:t>i</w:t>
      </w:r>
      <w:r w:rsidR="00556DD0" w:rsidRPr="00374521">
        <w:rPr>
          <w:i/>
          <w:sz w:val="22"/>
          <w:szCs w:val="22"/>
        </w:rPr>
        <w:t>razon</w:t>
      </w:r>
      <w:proofErr w:type="spellEnd"/>
      <w:r w:rsidR="00556DD0" w:rsidRPr="00374521">
        <w:rPr>
          <w:i/>
          <w:sz w:val="22"/>
          <w:szCs w:val="22"/>
        </w:rPr>
        <w:t xml:space="preserve"> i </w:t>
      </w:r>
      <w:proofErr w:type="spellStart"/>
      <w:r w:rsidR="00556DD0" w:rsidRPr="00374521">
        <w:rPr>
          <w:i/>
          <w:sz w:val="22"/>
          <w:szCs w:val="22"/>
        </w:rPr>
        <w:t>allopur</w:t>
      </w:r>
      <w:r w:rsidRPr="00374521">
        <w:rPr>
          <w:i/>
          <w:sz w:val="22"/>
          <w:szCs w:val="22"/>
        </w:rPr>
        <w:t>y</w:t>
      </w:r>
      <w:r w:rsidR="00556DD0" w:rsidRPr="00374521">
        <w:rPr>
          <w:i/>
          <w:sz w:val="22"/>
          <w:szCs w:val="22"/>
        </w:rPr>
        <w:t>nol</w:t>
      </w:r>
      <w:proofErr w:type="spellEnd"/>
      <w:r w:rsidR="00556DD0" w:rsidRPr="00374521">
        <w:rPr>
          <w:i/>
          <w:sz w:val="22"/>
          <w:szCs w:val="22"/>
        </w:rPr>
        <w:t>)</w:t>
      </w:r>
    </w:p>
    <w:p w14:paraId="5E11C632" w14:textId="77777777" w:rsidR="00556DD0" w:rsidRPr="00374521" w:rsidRDefault="008F0CF1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Może być konieczne d</w:t>
      </w:r>
      <w:r w:rsidR="00556DD0" w:rsidRPr="00374521">
        <w:rPr>
          <w:sz w:val="22"/>
          <w:szCs w:val="22"/>
        </w:rPr>
        <w:t>ostosowanie dawk</w:t>
      </w:r>
      <w:r w:rsidRPr="00374521">
        <w:rPr>
          <w:sz w:val="22"/>
          <w:szCs w:val="22"/>
        </w:rPr>
        <w:t>i</w:t>
      </w:r>
      <w:r w:rsidR="00556DD0" w:rsidRPr="00374521">
        <w:rPr>
          <w:sz w:val="22"/>
          <w:szCs w:val="22"/>
        </w:rPr>
        <w:t xml:space="preserve"> </w:t>
      </w:r>
      <w:r w:rsidRPr="00374521">
        <w:rPr>
          <w:sz w:val="22"/>
          <w:szCs w:val="22"/>
        </w:rPr>
        <w:t>preparatów</w:t>
      </w:r>
      <w:r w:rsidR="00556DD0" w:rsidRPr="00374521">
        <w:rPr>
          <w:sz w:val="22"/>
          <w:szCs w:val="22"/>
        </w:rPr>
        <w:t xml:space="preserve"> powodujących zwiększenie wydalania kwasu moczowego </w:t>
      </w:r>
      <w:r w:rsidRPr="00374521">
        <w:rPr>
          <w:sz w:val="22"/>
          <w:szCs w:val="22"/>
        </w:rPr>
        <w:t>z moczem</w:t>
      </w:r>
      <w:r w:rsidR="00556DD0" w:rsidRPr="00374521">
        <w:rPr>
          <w:sz w:val="22"/>
          <w:szCs w:val="22"/>
        </w:rPr>
        <w:t xml:space="preserve">, ponieważ </w:t>
      </w:r>
      <w:proofErr w:type="spellStart"/>
      <w:r w:rsidR="00556DD0" w:rsidRPr="00374521">
        <w:rPr>
          <w:sz w:val="22"/>
          <w:szCs w:val="22"/>
        </w:rPr>
        <w:t>hydrochlorotiazyd</w:t>
      </w:r>
      <w:proofErr w:type="spellEnd"/>
      <w:r w:rsidR="00556DD0" w:rsidRPr="00374521">
        <w:rPr>
          <w:sz w:val="22"/>
          <w:szCs w:val="22"/>
        </w:rPr>
        <w:t xml:space="preserve"> może powodować </w:t>
      </w:r>
      <w:r w:rsidRPr="00374521">
        <w:rPr>
          <w:sz w:val="22"/>
          <w:szCs w:val="22"/>
        </w:rPr>
        <w:t xml:space="preserve">zwiększenie </w:t>
      </w:r>
      <w:r w:rsidR="00556DD0" w:rsidRPr="00374521">
        <w:rPr>
          <w:sz w:val="22"/>
          <w:szCs w:val="22"/>
        </w:rPr>
        <w:t xml:space="preserve">stężenia kwasu moczowego w osoczu. Może być konieczne zwiększenie dawki </w:t>
      </w:r>
      <w:proofErr w:type="spellStart"/>
      <w:r w:rsidR="00556DD0" w:rsidRPr="00374521">
        <w:rPr>
          <w:sz w:val="22"/>
          <w:szCs w:val="22"/>
        </w:rPr>
        <w:t>probenec</w:t>
      </w:r>
      <w:r w:rsidRPr="00374521">
        <w:rPr>
          <w:sz w:val="22"/>
          <w:szCs w:val="22"/>
        </w:rPr>
        <w:t>y</w:t>
      </w:r>
      <w:r w:rsidR="00556DD0" w:rsidRPr="00374521">
        <w:rPr>
          <w:sz w:val="22"/>
          <w:szCs w:val="22"/>
        </w:rPr>
        <w:t>du</w:t>
      </w:r>
      <w:proofErr w:type="spellEnd"/>
      <w:r w:rsidR="00556DD0" w:rsidRPr="00374521">
        <w:rPr>
          <w:sz w:val="22"/>
          <w:szCs w:val="22"/>
        </w:rPr>
        <w:t xml:space="preserve"> lub </w:t>
      </w:r>
      <w:proofErr w:type="spellStart"/>
      <w:r w:rsidR="00556DD0" w:rsidRPr="00374521">
        <w:rPr>
          <w:sz w:val="22"/>
          <w:szCs w:val="22"/>
        </w:rPr>
        <w:t>sulfin</w:t>
      </w:r>
      <w:r w:rsidRPr="00374521">
        <w:rPr>
          <w:sz w:val="22"/>
          <w:szCs w:val="22"/>
        </w:rPr>
        <w:t>o</w:t>
      </w:r>
      <w:r w:rsidR="00556DD0" w:rsidRPr="00374521">
        <w:rPr>
          <w:sz w:val="22"/>
          <w:szCs w:val="22"/>
        </w:rPr>
        <w:t>p</w:t>
      </w:r>
      <w:r w:rsidRPr="00374521">
        <w:rPr>
          <w:sz w:val="22"/>
          <w:szCs w:val="22"/>
        </w:rPr>
        <w:t>i</w:t>
      </w:r>
      <w:r w:rsidR="00556DD0" w:rsidRPr="00374521">
        <w:rPr>
          <w:sz w:val="22"/>
          <w:szCs w:val="22"/>
        </w:rPr>
        <w:t>razonu</w:t>
      </w:r>
      <w:proofErr w:type="spellEnd"/>
      <w:r w:rsidR="00556DD0" w:rsidRPr="00374521">
        <w:rPr>
          <w:sz w:val="22"/>
          <w:szCs w:val="22"/>
        </w:rPr>
        <w:t xml:space="preserve">. Jednoczesne podawanie </w:t>
      </w:r>
      <w:proofErr w:type="spellStart"/>
      <w:r w:rsidR="00556DD0" w:rsidRPr="00374521">
        <w:rPr>
          <w:sz w:val="22"/>
          <w:szCs w:val="22"/>
        </w:rPr>
        <w:t>tiazydów</w:t>
      </w:r>
      <w:proofErr w:type="spellEnd"/>
      <w:r w:rsidR="00556DD0" w:rsidRPr="00374521">
        <w:rPr>
          <w:sz w:val="22"/>
          <w:szCs w:val="22"/>
        </w:rPr>
        <w:t xml:space="preserve"> może zwiększać </w:t>
      </w:r>
      <w:r w:rsidR="000F4B60" w:rsidRPr="00374521">
        <w:rPr>
          <w:sz w:val="22"/>
          <w:szCs w:val="22"/>
        </w:rPr>
        <w:t>częstość występowania reakcji</w:t>
      </w:r>
      <w:r w:rsidR="00556DD0" w:rsidRPr="00374521">
        <w:rPr>
          <w:sz w:val="22"/>
          <w:szCs w:val="22"/>
        </w:rPr>
        <w:t xml:space="preserve"> nadwrażliwości na </w:t>
      </w:r>
      <w:proofErr w:type="spellStart"/>
      <w:r w:rsidR="00556DD0" w:rsidRPr="00374521">
        <w:rPr>
          <w:sz w:val="22"/>
          <w:szCs w:val="22"/>
        </w:rPr>
        <w:t>allopur</w:t>
      </w:r>
      <w:r w:rsidR="000F4B60" w:rsidRPr="00374521">
        <w:rPr>
          <w:sz w:val="22"/>
          <w:szCs w:val="22"/>
        </w:rPr>
        <w:t>y</w:t>
      </w:r>
      <w:r w:rsidR="00556DD0" w:rsidRPr="00374521">
        <w:rPr>
          <w:sz w:val="22"/>
          <w:szCs w:val="22"/>
        </w:rPr>
        <w:t>nol</w:t>
      </w:r>
      <w:proofErr w:type="spellEnd"/>
      <w:r w:rsidR="00556DD0" w:rsidRPr="00374521">
        <w:rPr>
          <w:sz w:val="22"/>
          <w:szCs w:val="22"/>
        </w:rPr>
        <w:t>.</w:t>
      </w:r>
    </w:p>
    <w:p w14:paraId="6AED53B6" w14:textId="77777777" w:rsidR="000F08DA" w:rsidRDefault="000F08DA" w:rsidP="00374521">
      <w:pPr>
        <w:autoSpaceDE w:val="0"/>
        <w:autoSpaceDN w:val="0"/>
        <w:adjustRightInd w:val="0"/>
        <w:rPr>
          <w:i/>
          <w:sz w:val="22"/>
          <w:szCs w:val="22"/>
        </w:rPr>
      </w:pPr>
    </w:p>
    <w:p w14:paraId="2DB16E5F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 xml:space="preserve">Leki </w:t>
      </w:r>
      <w:proofErr w:type="spellStart"/>
      <w:r w:rsidR="000F4B60" w:rsidRPr="00374521">
        <w:rPr>
          <w:i/>
          <w:sz w:val="22"/>
          <w:szCs w:val="22"/>
        </w:rPr>
        <w:t>przeciwcholinergiczne</w:t>
      </w:r>
      <w:proofErr w:type="spellEnd"/>
      <w:r w:rsidR="000F4B60" w:rsidRPr="00374521">
        <w:rPr>
          <w:i/>
          <w:sz w:val="22"/>
          <w:szCs w:val="22"/>
        </w:rPr>
        <w:t xml:space="preserve"> </w:t>
      </w:r>
      <w:r w:rsidRPr="00374521">
        <w:rPr>
          <w:i/>
          <w:sz w:val="22"/>
          <w:szCs w:val="22"/>
        </w:rPr>
        <w:t xml:space="preserve">(np. atropina, </w:t>
      </w:r>
      <w:proofErr w:type="spellStart"/>
      <w:r w:rsidRPr="00374521">
        <w:rPr>
          <w:i/>
          <w:sz w:val="22"/>
          <w:szCs w:val="22"/>
        </w:rPr>
        <w:t>biper</w:t>
      </w:r>
      <w:r w:rsidR="000F4B60" w:rsidRPr="00374521">
        <w:rPr>
          <w:i/>
          <w:sz w:val="22"/>
          <w:szCs w:val="22"/>
        </w:rPr>
        <w:t>y</w:t>
      </w:r>
      <w:r w:rsidRPr="00374521">
        <w:rPr>
          <w:i/>
          <w:sz w:val="22"/>
          <w:szCs w:val="22"/>
        </w:rPr>
        <w:t>den</w:t>
      </w:r>
      <w:proofErr w:type="spellEnd"/>
      <w:r w:rsidRPr="00374521">
        <w:rPr>
          <w:i/>
          <w:sz w:val="22"/>
          <w:szCs w:val="22"/>
        </w:rPr>
        <w:t xml:space="preserve">) </w:t>
      </w:r>
    </w:p>
    <w:p w14:paraId="0AE3F2BB" w14:textId="77777777" w:rsidR="00556DD0" w:rsidRPr="00374521" w:rsidRDefault="000F4B6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 xml:space="preserve">Zwiększenie </w:t>
      </w:r>
      <w:r w:rsidR="00556DD0" w:rsidRPr="00374521">
        <w:rPr>
          <w:sz w:val="22"/>
          <w:szCs w:val="22"/>
        </w:rPr>
        <w:t xml:space="preserve">biodostępności </w:t>
      </w:r>
      <w:proofErr w:type="spellStart"/>
      <w:r w:rsidR="00556DD0" w:rsidRPr="00374521">
        <w:rPr>
          <w:sz w:val="22"/>
          <w:szCs w:val="22"/>
        </w:rPr>
        <w:t>tiazydowych</w:t>
      </w:r>
      <w:proofErr w:type="spellEnd"/>
      <w:r w:rsidR="00556DD0" w:rsidRPr="00374521">
        <w:rPr>
          <w:sz w:val="22"/>
          <w:szCs w:val="22"/>
        </w:rPr>
        <w:t xml:space="preserve"> </w:t>
      </w:r>
      <w:r w:rsidRPr="00374521">
        <w:rPr>
          <w:sz w:val="22"/>
          <w:szCs w:val="22"/>
        </w:rPr>
        <w:t xml:space="preserve">leków moczopędnych z powodu osłabienia </w:t>
      </w:r>
      <w:r w:rsidR="00556DD0" w:rsidRPr="00374521">
        <w:rPr>
          <w:sz w:val="22"/>
          <w:szCs w:val="22"/>
        </w:rPr>
        <w:t xml:space="preserve">motoryki przewodu pokarmowego i </w:t>
      </w:r>
      <w:r w:rsidRPr="00374521">
        <w:rPr>
          <w:sz w:val="22"/>
          <w:szCs w:val="22"/>
        </w:rPr>
        <w:t>wolniejszego</w:t>
      </w:r>
      <w:r w:rsidR="00556DD0" w:rsidRPr="00374521">
        <w:rPr>
          <w:sz w:val="22"/>
          <w:szCs w:val="22"/>
        </w:rPr>
        <w:t xml:space="preserve"> opróżniani</w:t>
      </w:r>
      <w:r w:rsidRPr="00374521">
        <w:rPr>
          <w:sz w:val="22"/>
          <w:szCs w:val="22"/>
        </w:rPr>
        <w:t>a</w:t>
      </w:r>
      <w:r w:rsidR="00556DD0" w:rsidRPr="00374521">
        <w:rPr>
          <w:sz w:val="22"/>
          <w:szCs w:val="22"/>
        </w:rPr>
        <w:t xml:space="preserve"> żołądka. </w:t>
      </w:r>
    </w:p>
    <w:p w14:paraId="65E39698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67153AEE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 xml:space="preserve">Leki cytotoksyczne (np. </w:t>
      </w:r>
      <w:proofErr w:type="spellStart"/>
      <w:r w:rsidRPr="00374521">
        <w:rPr>
          <w:i/>
          <w:sz w:val="22"/>
          <w:szCs w:val="22"/>
        </w:rPr>
        <w:t>cy</w:t>
      </w:r>
      <w:r w:rsidR="000F4B60" w:rsidRPr="00374521">
        <w:rPr>
          <w:i/>
          <w:sz w:val="22"/>
          <w:szCs w:val="22"/>
        </w:rPr>
        <w:t>k</w:t>
      </w:r>
      <w:r w:rsidRPr="00374521">
        <w:rPr>
          <w:i/>
          <w:sz w:val="22"/>
          <w:szCs w:val="22"/>
        </w:rPr>
        <w:t>lo</w:t>
      </w:r>
      <w:r w:rsidR="000F4B60" w:rsidRPr="00374521">
        <w:rPr>
          <w:i/>
          <w:sz w:val="22"/>
          <w:szCs w:val="22"/>
        </w:rPr>
        <w:t>f</w:t>
      </w:r>
      <w:r w:rsidRPr="00374521">
        <w:rPr>
          <w:i/>
          <w:sz w:val="22"/>
          <w:szCs w:val="22"/>
        </w:rPr>
        <w:t>os</w:t>
      </w:r>
      <w:r w:rsidR="000F4B60" w:rsidRPr="00374521">
        <w:rPr>
          <w:i/>
          <w:sz w:val="22"/>
          <w:szCs w:val="22"/>
        </w:rPr>
        <w:t>f</w:t>
      </w:r>
      <w:r w:rsidRPr="00374521">
        <w:rPr>
          <w:i/>
          <w:sz w:val="22"/>
          <w:szCs w:val="22"/>
        </w:rPr>
        <w:t>amid</w:t>
      </w:r>
      <w:proofErr w:type="spellEnd"/>
      <w:r w:rsidRPr="00374521">
        <w:rPr>
          <w:i/>
          <w:sz w:val="22"/>
          <w:szCs w:val="22"/>
        </w:rPr>
        <w:t xml:space="preserve">, </w:t>
      </w:r>
      <w:proofErr w:type="spellStart"/>
      <w:r w:rsidRPr="00374521">
        <w:rPr>
          <w:i/>
          <w:sz w:val="22"/>
          <w:szCs w:val="22"/>
        </w:rPr>
        <w:t>metotre</w:t>
      </w:r>
      <w:r w:rsidR="000F4B60" w:rsidRPr="00374521">
        <w:rPr>
          <w:i/>
          <w:sz w:val="22"/>
          <w:szCs w:val="22"/>
        </w:rPr>
        <w:t>ks</w:t>
      </w:r>
      <w:r w:rsidRPr="00374521">
        <w:rPr>
          <w:i/>
          <w:sz w:val="22"/>
          <w:szCs w:val="22"/>
        </w:rPr>
        <w:t>at</w:t>
      </w:r>
      <w:proofErr w:type="spellEnd"/>
      <w:r w:rsidRPr="00374521">
        <w:rPr>
          <w:i/>
          <w:sz w:val="22"/>
          <w:szCs w:val="22"/>
        </w:rPr>
        <w:t>)</w:t>
      </w:r>
    </w:p>
    <w:p w14:paraId="3482A403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374521">
        <w:rPr>
          <w:sz w:val="22"/>
          <w:szCs w:val="22"/>
        </w:rPr>
        <w:t>Tiazydy</w:t>
      </w:r>
      <w:proofErr w:type="spellEnd"/>
      <w:r w:rsidRPr="00374521">
        <w:rPr>
          <w:sz w:val="22"/>
          <w:szCs w:val="22"/>
        </w:rPr>
        <w:t xml:space="preserve"> mogą zmniejszać nerkowe wyd</w:t>
      </w:r>
      <w:r w:rsidR="000F4B60" w:rsidRPr="00374521">
        <w:rPr>
          <w:sz w:val="22"/>
          <w:szCs w:val="22"/>
        </w:rPr>
        <w:t>alanie</w:t>
      </w:r>
      <w:r w:rsidRPr="00374521">
        <w:rPr>
          <w:sz w:val="22"/>
          <w:szCs w:val="22"/>
        </w:rPr>
        <w:t xml:space="preserve"> cytotoksycznych </w:t>
      </w:r>
      <w:r w:rsidR="000F4B60" w:rsidRPr="00374521">
        <w:rPr>
          <w:sz w:val="22"/>
          <w:szCs w:val="22"/>
        </w:rPr>
        <w:t xml:space="preserve">produktów leczniczych </w:t>
      </w:r>
      <w:r w:rsidRPr="00374521">
        <w:rPr>
          <w:sz w:val="22"/>
          <w:szCs w:val="22"/>
        </w:rPr>
        <w:t xml:space="preserve">i </w:t>
      </w:r>
      <w:r w:rsidR="000F4B60" w:rsidRPr="00374521">
        <w:rPr>
          <w:sz w:val="22"/>
          <w:szCs w:val="22"/>
        </w:rPr>
        <w:t>nasilać</w:t>
      </w:r>
      <w:r w:rsidRPr="00374521">
        <w:rPr>
          <w:sz w:val="22"/>
          <w:szCs w:val="22"/>
        </w:rPr>
        <w:t xml:space="preserve"> ich </w:t>
      </w:r>
      <w:r w:rsidR="000F4B60" w:rsidRPr="00374521">
        <w:rPr>
          <w:sz w:val="22"/>
          <w:szCs w:val="22"/>
        </w:rPr>
        <w:t>działanie</w:t>
      </w:r>
      <w:r w:rsidRPr="00374521">
        <w:rPr>
          <w:sz w:val="22"/>
          <w:szCs w:val="22"/>
        </w:rPr>
        <w:t xml:space="preserve"> </w:t>
      </w:r>
      <w:proofErr w:type="spellStart"/>
      <w:r w:rsidRPr="00374521">
        <w:rPr>
          <w:sz w:val="22"/>
          <w:szCs w:val="22"/>
        </w:rPr>
        <w:t>mielosupres</w:t>
      </w:r>
      <w:r w:rsidR="000F4B60" w:rsidRPr="00374521">
        <w:rPr>
          <w:sz w:val="22"/>
          <w:szCs w:val="22"/>
        </w:rPr>
        <w:t>yjne</w:t>
      </w:r>
      <w:proofErr w:type="spellEnd"/>
      <w:r w:rsidRPr="00374521">
        <w:rPr>
          <w:sz w:val="22"/>
          <w:szCs w:val="22"/>
        </w:rPr>
        <w:t>.</w:t>
      </w:r>
    </w:p>
    <w:p w14:paraId="12DAE1FB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721C1A52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Salicylany</w:t>
      </w:r>
    </w:p>
    <w:p w14:paraId="3B2AA836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 xml:space="preserve">W przypadku </w:t>
      </w:r>
      <w:r w:rsidR="000F4B60" w:rsidRPr="00374521">
        <w:rPr>
          <w:sz w:val="22"/>
          <w:szCs w:val="22"/>
        </w:rPr>
        <w:t xml:space="preserve">stosowania </w:t>
      </w:r>
      <w:r w:rsidRPr="00374521">
        <w:rPr>
          <w:sz w:val="22"/>
          <w:szCs w:val="22"/>
        </w:rPr>
        <w:t xml:space="preserve">dużych dawek salicylanów </w:t>
      </w:r>
      <w:proofErr w:type="spellStart"/>
      <w:r w:rsidRPr="00374521">
        <w:rPr>
          <w:sz w:val="22"/>
          <w:szCs w:val="22"/>
        </w:rPr>
        <w:t>hydrochlorotiazyd</w:t>
      </w:r>
      <w:proofErr w:type="spellEnd"/>
      <w:r w:rsidRPr="00374521">
        <w:rPr>
          <w:sz w:val="22"/>
          <w:szCs w:val="22"/>
        </w:rPr>
        <w:t xml:space="preserve"> może </w:t>
      </w:r>
      <w:r w:rsidR="000F4B60" w:rsidRPr="00374521">
        <w:rPr>
          <w:sz w:val="22"/>
          <w:szCs w:val="22"/>
        </w:rPr>
        <w:t xml:space="preserve">nasilać </w:t>
      </w:r>
      <w:r w:rsidRPr="00374521">
        <w:rPr>
          <w:sz w:val="22"/>
          <w:szCs w:val="22"/>
        </w:rPr>
        <w:t>toksyczn</w:t>
      </w:r>
      <w:r w:rsidR="000F4B60" w:rsidRPr="00374521">
        <w:rPr>
          <w:sz w:val="22"/>
          <w:szCs w:val="22"/>
        </w:rPr>
        <w:t>e</w:t>
      </w:r>
      <w:r w:rsidRPr="00374521">
        <w:rPr>
          <w:sz w:val="22"/>
          <w:szCs w:val="22"/>
        </w:rPr>
        <w:t xml:space="preserve"> </w:t>
      </w:r>
      <w:r w:rsidR="000F4B60" w:rsidRPr="00374521">
        <w:rPr>
          <w:sz w:val="22"/>
          <w:szCs w:val="22"/>
        </w:rPr>
        <w:t xml:space="preserve">działanie </w:t>
      </w:r>
      <w:r w:rsidRPr="00374521">
        <w:rPr>
          <w:sz w:val="22"/>
          <w:szCs w:val="22"/>
        </w:rPr>
        <w:t xml:space="preserve">salicylanów na </w:t>
      </w:r>
      <w:r w:rsidR="000F4B60" w:rsidRPr="00374521">
        <w:rPr>
          <w:sz w:val="22"/>
          <w:szCs w:val="22"/>
        </w:rPr>
        <w:t xml:space="preserve">ośrodkowy </w:t>
      </w:r>
      <w:r w:rsidRPr="00374521">
        <w:rPr>
          <w:sz w:val="22"/>
          <w:szCs w:val="22"/>
        </w:rPr>
        <w:t xml:space="preserve">układ nerwowy. </w:t>
      </w:r>
    </w:p>
    <w:p w14:paraId="6E83F329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57145A0A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  <w:proofErr w:type="spellStart"/>
      <w:r w:rsidRPr="00374521">
        <w:rPr>
          <w:i/>
          <w:sz w:val="22"/>
          <w:szCs w:val="22"/>
        </w:rPr>
        <w:t>Metyl</w:t>
      </w:r>
      <w:r w:rsidR="000F4B60" w:rsidRPr="00374521">
        <w:rPr>
          <w:i/>
          <w:sz w:val="22"/>
          <w:szCs w:val="22"/>
        </w:rPr>
        <w:t>o</w:t>
      </w:r>
      <w:r w:rsidRPr="00374521">
        <w:rPr>
          <w:i/>
          <w:sz w:val="22"/>
          <w:szCs w:val="22"/>
        </w:rPr>
        <w:t>dopa</w:t>
      </w:r>
      <w:proofErr w:type="spellEnd"/>
    </w:p>
    <w:p w14:paraId="42CF0C12" w14:textId="77777777" w:rsidR="00556DD0" w:rsidRPr="00374521" w:rsidRDefault="002159C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lastRenderedPageBreak/>
        <w:t xml:space="preserve">Istnieją pojedyncze doniesienia o wystąpieniu niedokrwistości </w:t>
      </w:r>
      <w:r w:rsidR="00556DD0" w:rsidRPr="00374521">
        <w:rPr>
          <w:sz w:val="22"/>
          <w:szCs w:val="22"/>
        </w:rPr>
        <w:t xml:space="preserve">hemolitycznej podczas jednoczesnego przyjmowania </w:t>
      </w:r>
      <w:proofErr w:type="spellStart"/>
      <w:r w:rsidR="00556DD0" w:rsidRPr="00374521">
        <w:rPr>
          <w:sz w:val="22"/>
          <w:szCs w:val="22"/>
        </w:rPr>
        <w:t>hydrochlorotiazydu</w:t>
      </w:r>
      <w:proofErr w:type="spellEnd"/>
      <w:r w:rsidR="00556DD0" w:rsidRPr="00374521">
        <w:rPr>
          <w:sz w:val="22"/>
          <w:szCs w:val="22"/>
        </w:rPr>
        <w:t xml:space="preserve"> </w:t>
      </w:r>
      <w:r w:rsidRPr="00374521">
        <w:rPr>
          <w:sz w:val="22"/>
          <w:szCs w:val="22"/>
        </w:rPr>
        <w:t xml:space="preserve">i </w:t>
      </w:r>
      <w:proofErr w:type="spellStart"/>
      <w:r w:rsidR="00556DD0" w:rsidRPr="00374521">
        <w:rPr>
          <w:sz w:val="22"/>
          <w:szCs w:val="22"/>
        </w:rPr>
        <w:t>metyl</w:t>
      </w:r>
      <w:r w:rsidRPr="00374521">
        <w:rPr>
          <w:sz w:val="22"/>
          <w:szCs w:val="22"/>
        </w:rPr>
        <w:t>o</w:t>
      </w:r>
      <w:r w:rsidR="00556DD0" w:rsidRPr="00374521">
        <w:rPr>
          <w:sz w:val="22"/>
          <w:szCs w:val="22"/>
        </w:rPr>
        <w:t>dop</w:t>
      </w:r>
      <w:r w:rsidRPr="00374521">
        <w:rPr>
          <w:sz w:val="22"/>
          <w:szCs w:val="22"/>
        </w:rPr>
        <w:t>y</w:t>
      </w:r>
      <w:proofErr w:type="spellEnd"/>
      <w:r w:rsidR="00556DD0" w:rsidRPr="00374521">
        <w:rPr>
          <w:sz w:val="22"/>
          <w:szCs w:val="22"/>
        </w:rPr>
        <w:t>.</w:t>
      </w:r>
    </w:p>
    <w:p w14:paraId="1C0EF199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04573302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  <w:proofErr w:type="spellStart"/>
      <w:r w:rsidRPr="00374521">
        <w:rPr>
          <w:i/>
          <w:sz w:val="22"/>
          <w:szCs w:val="22"/>
        </w:rPr>
        <w:t>Cyklosporyna</w:t>
      </w:r>
      <w:proofErr w:type="spellEnd"/>
    </w:p>
    <w:p w14:paraId="204C7E96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 xml:space="preserve">Jednoczesne </w:t>
      </w:r>
      <w:r w:rsidR="002159C0" w:rsidRPr="00374521">
        <w:rPr>
          <w:sz w:val="22"/>
          <w:szCs w:val="22"/>
        </w:rPr>
        <w:t>stosowanie</w:t>
      </w:r>
      <w:r w:rsidRPr="00374521">
        <w:rPr>
          <w:sz w:val="22"/>
          <w:szCs w:val="22"/>
        </w:rPr>
        <w:t xml:space="preserve"> </w:t>
      </w:r>
      <w:proofErr w:type="spellStart"/>
      <w:r w:rsidRPr="00374521">
        <w:rPr>
          <w:sz w:val="22"/>
          <w:szCs w:val="22"/>
        </w:rPr>
        <w:t>cyklosporyn</w:t>
      </w:r>
      <w:r w:rsidR="002159C0" w:rsidRPr="00374521">
        <w:rPr>
          <w:sz w:val="22"/>
          <w:szCs w:val="22"/>
        </w:rPr>
        <w:t>y</w:t>
      </w:r>
      <w:proofErr w:type="spellEnd"/>
      <w:r w:rsidRPr="00374521">
        <w:rPr>
          <w:sz w:val="22"/>
          <w:szCs w:val="22"/>
        </w:rPr>
        <w:t xml:space="preserve"> może zwiększać ryzyko </w:t>
      </w:r>
      <w:proofErr w:type="spellStart"/>
      <w:r w:rsidR="002159C0" w:rsidRPr="00374521">
        <w:rPr>
          <w:sz w:val="22"/>
          <w:szCs w:val="22"/>
        </w:rPr>
        <w:t>hiperurykemii</w:t>
      </w:r>
      <w:proofErr w:type="spellEnd"/>
      <w:r w:rsidR="002159C0" w:rsidRPr="00374521">
        <w:rPr>
          <w:sz w:val="22"/>
          <w:szCs w:val="22"/>
        </w:rPr>
        <w:t xml:space="preserve">, </w:t>
      </w:r>
      <w:r w:rsidRPr="00374521">
        <w:rPr>
          <w:sz w:val="22"/>
          <w:szCs w:val="22"/>
        </w:rPr>
        <w:t xml:space="preserve">a także </w:t>
      </w:r>
      <w:r w:rsidR="002159C0" w:rsidRPr="00374521">
        <w:rPr>
          <w:sz w:val="22"/>
          <w:szCs w:val="22"/>
        </w:rPr>
        <w:t xml:space="preserve">powikłań o </w:t>
      </w:r>
      <w:r w:rsidRPr="00374521">
        <w:rPr>
          <w:sz w:val="22"/>
          <w:szCs w:val="22"/>
        </w:rPr>
        <w:t>typ</w:t>
      </w:r>
      <w:r w:rsidR="002159C0" w:rsidRPr="00374521">
        <w:rPr>
          <w:sz w:val="22"/>
          <w:szCs w:val="22"/>
        </w:rPr>
        <w:t>ie dny</w:t>
      </w:r>
      <w:r w:rsidRPr="00374521">
        <w:rPr>
          <w:sz w:val="22"/>
          <w:szCs w:val="22"/>
        </w:rPr>
        <w:t>.</w:t>
      </w:r>
    </w:p>
    <w:p w14:paraId="31A11670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0BE68747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Glikozydy naparstnicy</w:t>
      </w:r>
    </w:p>
    <w:p w14:paraId="25E0784D" w14:textId="77777777" w:rsidR="00556DD0" w:rsidRPr="00374521" w:rsidRDefault="002159C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H</w:t>
      </w:r>
      <w:r w:rsidR="00556DD0" w:rsidRPr="00374521">
        <w:rPr>
          <w:sz w:val="22"/>
          <w:szCs w:val="22"/>
        </w:rPr>
        <w:t>ipokal</w:t>
      </w:r>
      <w:r w:rsidRPr="00374521">
        <w:rPr>
          <w:sz w:val="22"/>
          <w:szCs w:val="22"/>
        </w:rPr>
        <w:t>i</w:t>
      </w:r>
      <w:r w:rsidR="00556DD0" w:rsidRPr="00374521">
        <w:rPr>
          <w:sz w:val="22"/>
          <w:szCs w:val="22"/>
        </w:rPr>
        <w:t xml:space="preserve">emia lub </w:t>
      </w:r>
      <w:proofErr w:type="spellStart"/>
      <w:r w:rsidR="00556DD0" w:rsidRPr="00374521">
        <w:rPr>
          <w:sz w:val="22"/>
          <w:szCs w:val="22"/>
        </w:rPr>
        <w:t>hipomagnezemia</w:t>
      </w:r>
      <w:proofErr w:type="spellEnd"/>
      <w:r w:rsidR="00556DD0" w:rsidRPr="00374521">
        <w:rPr>
          <w:sz w:val="22"/>
          <w:szCs w:val="22"/>
        </w:rPr>
        <w:t xml:space="preserve"> </w:t>
      </w:r>
      <w:r w:rsidRPr="00374521">
        <w:rPr>
          <w:sz w:val="22"/>
          <w:szCs w:val="22"/>
        </w:rPr>
        <w:t xml:space="preserve">wywołana stosowaniem </w:t>
      </w:r>
      <w:proofErr w:type="spellStart"/>
      <w:r w:rsidRPr="00374521">
        <w:rPr>
          <w:sz w:val="22"/>
          <w:szCs w:val="22"/>
        </w:rPr>
        <w:t>tiazydów</w:t>
      </w:r>
      <w:proofErr w:type="spellEnd"/>
      <w:r w:rsidRPr="00374521">
        <w:rPr>
          <w:sz w:val="22"/>
          <w:szCs w:val="22"/>
        </w:rPr>
        <w:t xml:space="preserve"> </w:t>
      </w:r>
      <w:r w:rsidR="00556DD0" w:rsidRPr="00374521">
        <w:rPr>
          <w:sz w:val="22"/>
          <w:szCs w:val="22"/>
        </w:rPr>
        <w:t xml:space="preserve">może </w:t>
      </w:r>
      <w:r w:rsidRPr="00374521">
        <w:rPr>
          <w:sz w:val="22"/>
          <w:szCs w:val="22"/>
        </w:rPr>
        <w:t>przyczyniać się do wystąpienia zaburzeń rytmu serca spowodowanych podawaniem</w:t>
      </w:r>
      <w:r w:rsidR="00556DD0" w:rsidRPr="00374521">
        <w:rPr>
          <w:sz w:val="22"/>
          <w:szCs w:val="22"/>
        </w:rPr>
        <w:t xml:space="preserve"> naparstnicy. </w:t>
      </w:r>
    </w:p>
    <w:p w14:paraId="2F73DCB8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0AE741E8" w14:textId="77777777" w:rsidR="00556DD0" w:rsidRPr="00374521" w:rsidRDefault="00B47B6D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Produkty lecznicze, na których działanie mają wpływ zaburzenia</w:t>
      </w:r>
      <w:r w:rsidR="00556DD0" w:rsidRPr="00374521">
        <w:rPr>
          <w:i/>
          <w:sz w:val="22"/>
          <w:szCs w:val="22"/>
        </w:rPr>
        <w:t xml:space="preserve"> stężeni</w:t>
      </w:r>
      <w:r w:rsidRPr="00374521">
        <w:rPr>
          <w:i/>
          <w:sz w:val="22"/>
          <w:szCs w:val="22"/>
        </w:rPr>
        <w:t>a</w:t>
      </w:r>
      <w:r w:rsidR="00556DD0" w:rsidRPr="00374521">
        <w:rPr>
          <w:i/>
          <w:sz w:val="22"/>
          <w:szCs w:val="22"/>
        </w:rPr>
        <w:t xml:space="preserve"> potasu w osoczu </w:t>
      </w:r>
    </w:p>
    <w:p w14:paraId="64D82A8F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Zaleca</w:t>
      </w:r>
      <w:r w:rsidR="00B47B6D" w:rsidRPr="00374521">
        <w:rPr>
          <w:sz w:val="22"/>
          <w:szCs w:val="22"/>
        </w:rPr>
        <w:t xml:space="preserve"> się</w:t>
      </w:r>
      <w:r w:rsidRPr="00374521">
        <w:rPr>
          <w:sz w:val="22"/>
          <w:szCs w:val="22"/>
        </w:rPr>
        <w:t xml:space="preserve"> okresowe </w:t>
      </w:r>
      <w:r w:rsidR="00B47B6D" w:rsidRPr="00374521">
        <w:rPr>
          <w:sz w:val="22"/>
          <w:szCs w:val="22"/>
        </w:rPr>
        <w:t xml:space="preserve">oznaczanie </w:t>
      </w:r>
      <w:r w:rsidRPr="00374521">
        <w:rPr>
          <w:sz w:val="22"/>
          <w:szCs w:val="22"/>
        </w:rPr>
        <w:t xml:space="preserve">stężenia potasu w osoczu </w:t>
      </w:r>
      <w:r w:rsidR="00B47B6D" w:rsidRPr="00374521">
        <w:rPr>
          <w:sz w:val="22"/>
          <w:szCs w:val="22"/>
        </w:rPr>
        <w:t xml:space="preserve">i wykonywanie badania EKG podczas jednoczesnego stosowania produktu </w:t>
      </w:r>
      <w:proofErr w:type="spellStart"/>
      <w:r w:rsidR="00EF7DC8" w:rsidRPr="00374521">
        <w:rPr>
          <w:color w:val="000000"/>
          <w:sz w:val="22"/>
          <w:szCs w:val="22"/>
        </w:rPr>
        <w:t>Presartan</w:t>
      </w:r>
      <w:proofErr w:type="spellEnd"/>
      <w:r w:rsidR="00EF7DC8" w:rsidRPr="00374521">
        <w:rPr>
          <w:color w:val="000000"/>
          <w:sz w:val="22"/>
          <w:szCs w:val="22"/>
        </w:rPr>
        <w:t xml:space="preserve"> H</w:t>
      </w:r>
      <w:r w:rsidR="00B47B6D" w:rsidRPr="00374521">
        <w:rPr>
          <w:sz w:val="22"/>
          <w:szCs w:val="22"/>
        </w:rPr>
        <w:t xml:space="preserve"> i produktów leczniczych, na których działanie mają wpływ zaburzenia stężenia potasu w osoczu </w:t>
      </w:r>
      <w:r w:rsidRPr="00374521">
        <w:rPr>
          <w:sz w:val="22"/>
          <w:szCs w:val="22"/>
        </w:rPr>
        <w:t xml:space="preserve">(np. glikozydy naparstnicy i leki </w:t>
      </w:r>
      <w:proofErr w:type="spellStart"/>
      <w:r w:rsidRPr="00374521">
        <w:rPr>
          <w:sz w:val="22"/>
          <w:szCs w:val="22"/>
        </w:rPr>
        <w:t>przeciwarytmiczne</w:t>
      </w:r>
      <w:proofErr w:type="spellEnd"/>
      <w:r w:rsidRPr="00374521">
        <w:rPr>
          <w:sz w:val="22"/>
          <w:szCs w:val="22"/>
        </w:rPr>
        <w:t xml:space="preserve">) oraz </w:t>
      </w:r>
      <w:r w:rsidR="00B47B6D" w:rsidRPr="00374521">
        <w:rPr>
          <w:sz w:val="22"/>
          <w:szCs w:val="22"/>
        </w:rPr>
        <w:t>następujących produktów leczniczych</w:t>
      </w:r>
      <w:r w:rsidRPr="00374521">
        <w:rPr>
          <w:sz w:val="22"/>
          <w:szCs w:val="22"/>
        </w:rPr>
        <w:t xml:space="preserve"> wywołujący</w:t>
      </w:r>
      <w:r w:rsidR="00B47B6D" w:rsidRPr="00374521">
        <w:rPr>
          <w:sz w:val="22"/>
          <w:szCs w:val="22"/>
        </w:rPr>
        <w:t>ch</w:t>
      </w:r>
      <w:r w:rsidRPr="00374521">
        <w:rPr>
          <w:sz w:val="22"/>
          <w:szCs w:val="22"/>
        </w:rPr>
        <w:t xml:space="preserve"> </w:t>
      </w:r>
      <w:proofErr w:type="spellStart"/>
      <w:r w:rsidRPr="00374521">
        <w:rPr>
          <w:i/>
          <w:sz w:val="22"/>
          <w:szCs w:val="22"/>
        </w:rPr>
        <w:t>torsade</w:t>
      </w:r>
      <w:r w:rsidR="00B47B6D" w:rsidRPr="00374521">
        <w:rPr>
          <w:i/>
          <w:sz w:val="22"/>
          <w:szCs w:val="22"/>
        </w:rPr>
        <w:t>s</w:t>
      </w:r>
      <w:proofErr w:type="spellEnd"/>
      <w:r w:rsidRPr="00374521">
        <w:rPr>
          <w:i/>
          <w:sz w:val="22"/>
          <w:szCs w:val="22"/>
        </w:rPr>
        <w:t xml:space="preserve"> de </w:t>
      </w:r>
      <w:proofErr w:type="spellStart"/>
      <w:r w:rsidRPr="00374521">
        <w:rPr>
          <w:i/>
          <w:sz w:val="22"/>
          <w:szCs w:val="22"/>
        </w:rPr>
        <w:t>pointes</w:t>
      </w:r>
      <w:proofErr w:type="spellEnd"/>
      <w:r w:rsidRPr="00374521">
        <w:rPr>
          <w:sz w:val="22"/>
          <w:szCs w:val="22"/>
        </w:rPr>
        <w:t xml:space="preserve"> (tachykardia komorowa) (w</w:t>
      </w:r>
      <w:r w:rsidR="000905E4" w:rsidRPr="00374521">
        <w:rPr>
          <w:sz w:val="22"/>
          <w:szCs w:val="22"/>
        </w:rPr>
        <w:t xml:space="preserve"> tym</w:t>
      </w:r>
      <w:r w:rsidRPr="00374521">
        <w:rPr>
          <w:sz w:val="22"/>
          <w:szCs w:val="22"/>
        </w:rPr>
        <w:t xml:space="preserve"> niektóre leki </w:t>
      </w:r>
      <w:proofErr w:type="spellStart"/>
      <w:r w:rsidRPr="00374521">
        <w:rPr>
          <w:sz w:val="22"/>
          <w:szCs w:val="22"/>
        </w:rPr>
        <w:t>przeciwarytmiczne</w:t>
      </w:r>
      <w:proofErr w:type="spellEnd"/>
      <w:r w:rsidRPr="00374521">
        <w:rPr>
          <w:sz w:val="22"/>
          <w:szCs w:val="22"/>
        </w:rPr>
        <w:t xml:space="preserve">), </w:t>
      </w:r>
      <w:r w:rsidR="000905E4" w:rsidRPr="00374521">
        <w:rPr>
          <w:sz w:val="22"/>
          <w:szCs w:val="22"/>
        </w:rPr>
        <w:t xml:space="preserve">ponieważ </w:t>
      </w:r>
      <w:r w:rsidRPr="00374521">
        <w:rPr>
          <w:sz w:val="22"/>
          <w:szCs w:val="22"/>
        </w:rPr>
        <w:t>hipokal</w:t>
      </w:r>
      <w:r w:rsidR="000905E4" w:rsidRPr="00374521">
        <w:rPr>
          <w:sz w:val="22"/>
          <w:szCs w:val="22"/>
        </w:rPr>
        <w:t>i</w:t>
      </w:r>
      <w:r w:rsidRPr="00374521">
        <w:rPr>
          <w:sz w:val="22"/>
          <w:szCs w:val="22"/>
        </w:rPr>
        <w:t xml:space="preserve">emia </w:t>
      </w:r>
      <w:r w:rsidR="000905E4" w:rsidRPr="00374521">
        <w:rPr>
          <w:sz w:val="22"/>
          <w:szCs w:val="22"/>
        </w:rPr>
        <w:t>jest</w:t>
      </w:r>
      <w:r w:rsidRPr="00374521">
        <w:rPr>
          <w:sz w:val="22"/>
          <w:szCs w:val="22"/>
        </w:rPr>
        <w:t xml:space="preserve"> czynnikiem predysponującym do </w:t>
      </w:r>
      <w:proofErr w:type="spellStart"/>
      <w:r w:rsidRPr="00374521">
        <w:rPr>
          <w:i/>
          <w:sz w:val="22"/>
          <w:szCs w:val="22"/>
        </w:rPr>
        <w:t>torsade</w:t>
      </w:r>
      <w:r w:rsidR="000905E4" w:rsidRPr="00374521">
        <w:rPr>
          <w:i/>
          <w:sz w:val="22"/>
          <w:szCs w:val="22"/>
        </w:rPr>
        <w:t>s</w:t>
      </w:r>
      <w:proofErr w:type="spellEnd"/>
      <w:r w:rsidRPr="00374521">
        <w:rPr>
          <w:i/>
          <w:sz w:val="22"/>
          <w:szCs w:val="22"/>
        </w:rPr>
        <w:t xml:space="preserve"> de </w:t>
      </w:r>
      <w:proofErr w:type="spellStart"/>
      <w:r w:rsidRPr="00374521">
        <w:rPr>
          <w:i/>
          <w:sz w:val="22"/>
          <w:szCs w:val="22"/>
        </w:rPr>
        <w:t>pointes</w:t>
      </w:r>
      <w:proofErr w:type="spellEnd"/>
      <w:r w:rsidRPr="00374521">
        <w:rPr>
          <w:sz w:val="22"/>
          <w:szCs w:val="22"/>
        </w:rPr>
        <w:t xml:space="preserve"> (tachykardia komorowa):</w:t>
      </w:r>
    </w:p>
    <w:p w14:paraId="53E5A284" w14:textId="77777777" w:rsidR="00556DD0" w:rsidRPr="00374521" w:rsidRDefault="00556DD0" w:rsidP="00374521">
      <w:pPr>
        <w:numPr>
          <w:ilvl w:val="0"/>
          <w:numId w:val="22"/>
        </w:numPr>
        <w:tabs>
          <w:tab w:val="clear" w:pos="2880"/>
          <w:tab w:val="num" w:pos="540"/>
        </w:tabs>
        <w:autoSpaceDE w:val="0"/>
        <w:autoSpaceDN w:val="0"/>
        <w:adjustRightInd w:val="0"/>
        <w:ind w:left="540" w:hanging="540"/>
        <w:rPr>
          <w:sz w:val="22"/>
          <w:szCs w:val="22"/>
        </w:rPr>
      </w:pPr>
      <w:r w:rsidRPr="00374521">
        <w:rPr>
          <w:sz w:val="22"/>
          <w:szCs w:val="22"/>
        </w:rPr>
        <w:t>lek</w:t>
      </w:r>
      <w:r w:rsidR="000905E4" w:rsidRPr="00374521">
        <w:rPr>
          <w:sz w:val="22"/>
          <w:szCs w:val="22"/>
        </w:rPr>
        <w:t>i</w:t>
      </w:r>
      <w:r w:rsidRPr="00374521">
        <w:rPr>
          <w:sz w:val="22"/>
          <w:szCs w:val="22"/>
        </w:rPr>
        <w:t xml:space="preserve"> </w:t>
      </w:r>
      <w:proofErr w:type="spellStart"/>
      <w:r w:rsidRPr="00374521">
        <w:rPr>
          <w:sz w:val="22"/>
          <w:szCs w:val="22"/>
        </w:rPr>
        <w:t>przeciwarytmiczn</w:t>
      </w:r>
      <w:r w:rsidR="00556246" w:rsidRPr="00374521">
        <w:rPr>
          <w:sz w:val="22"/>
          <w:szCs w:val="22"/>
        </w:rPr>
        <w:t>e</w:t>
      </w:r>
      <w:proofErr w:type="spellEnd"/>
      <w:r w:rsidR="00556246" w:rsidRPr="00374521">
        <w:rPr>
          <w:sz w:val="22"/>
          <w:szCs w:val="22"/>
        </w:rPr>
        <w:t xml:space="preserve"> klasy</w:t>
      </w:r>
      <w:r w:rsidR="000905E4" w:rsidRPr="00374521">
        <w:rPr>
          <w:sz w:val="22"/>
          <w:szCs w:val="22"/>
        </w:rPr>
        <w:t xml:space="preserve"> </w:t>
      </w:r>
      <w:proofErr w:type="spellStart"/>
      <w:r w:rsidR="000905E4" w:rsidRPr="00374521">
        <w:rPr>
          <w:sz w:val="22"/>
          <w:szCs w:val="22"/>
        </w:rPr>
        <w:t>Ia</w:t>
      </w:r>
      <w:proofErr w:type="spellEnd"/>
      <w:r w:rsidRPr="00374521">
        <w:rPr>
          <w:sz w:val="22"/>
          <w:szCs w:val="22"/>
        </w:rPr>
        <w:t xml:space="preserve"> (np. chinidyna, </w:t>
      </w:r>
      <w:proofErr w:type="spellStart"/>
      <w:r w:rsidRPr="00374521">
        <w:rPr>
          <w:sz w:val="22"/>
          <w:szCs w:val="22"/>
        </w:rPr>
        <w:t>hydrochinidyna</w:t>
      </w:r>
      <w:proofErr w:type="spellEnd"/>
      <w:r w:rsidRPr="00374521">
        <w:rPr>
          <w:sz w:val="22"/>
          <w:szCs w:val="22"/>
        </w:rPr>
        <w:t xml:space="preserve">, </w:t>
      </w:r>
      <w:proofErr w:type="spellStart"/>
      <w:r w:rsidRPr="00374521">
        <w:rPr>
          <w:sz w:val="22"/>
          <w:szCs w:val="22"/>
        </w:rPr>
        <w:t>dy</w:t>
      </w:r>
      <w:r w:rsidR="000905E4" w:rsidRPr="00374521">
        <w:rPr>
          <w:sz w:val="22"/>
          <w:szCs w:val="22"/>
        </w:rPr>
        <w:t>z</w:t>
      </w:r>
      <w:r w:rsidRPr="00374521">
        <w:rPr>
          <w:sz w:val="22"/>
          <w:szCs w:val="22"/>
        </w:rPr>
        <w:t>op</w:t>
      </w:r>
      <w:r w:rsidR="000905E4" w:rsidRPr="00374521">
        <w:rPr>
          <w:sz w:val="22"/>
          <w:szCs w:val="22"/>
        </w:rPr>
        <w:t>i</w:t>
      </w:r>
      <w:r w:rsidRPr="00374521">
        <w:rPr>
          <w:sz w:val="22"/>
          <w:szCs w:val="22"/>
        </w:rPr>
        <w:t>ramid</w:t>
      </w:r>
      <w:proofErr w:type="spellEnd"/>
      <w:r w:rsidRPr="00374521">
        <w:rPr>
          <w:sz w:val="22"/>
          <w:szCs w:val="22"/>
        </w:rPr>
        <w:t>),</w:t>
      </w:r>
    </w:p>
    <w:p w14:paraId="2B987161" w14:textId="77777777" w:rsidR="00556DD0" w:rsidRPr="00374521" w:rsidRDefault="00556DD0" w:rsidP="00374521">
      <w:pPr>
        <w:numPr>
          <w:ilvl w:val="0"/>
          <w:numId w:val="22"/>
        </w:numPr>
        <w:tabs>
          <w:tab w:val="clear" w:pos="2880"/>
          <w:tab w:val="num" w:pos="540"/>
        </w:tabs>
        <w:autoSpaceDE w:val="0"/>
        <w:autoSpaceDN w:val="0"/>
        <w:adjustRightInd w:val="0"/>
        <w:ind w:left="540" w:hanging="540"/>
        <w:rPr>
          <w:sz w:val="22"/>
          <w:szCs w:val="22"/>
        </w:rPr>
      </w:pPr>
      <w:r w:rsidRPr="00374521">
        <w:rPr>
          <w:sz w:val="22"/>
          <w:szCs w:val="22"/>
        </w:rPr>
        <w:t>lek</w:t>
      </w:r>
      <w:r w:rsidR="000905E4" w:rsidRPr="00374521">
        <w:rPr>
          <w:sz w:val="22"/>
          <w:szCs w:val="22"/>
        </w:rPr>
        <w:t>i</w:t>
      </w:r>
      <w:r w:rsidRPr="00374521">
        <w:rPr>
          <w:sz w:val="22"/>
          <w:szCs w:val="22"/>
        </w:rPr>
        <w:t xml:space="preserve"> </w:t>
      </w:r>
      <w:proofErr w:type="spellStart"/>
      <w:r w:rsidRPr="00374521">
        <w:rPr>
          <w:sz w:val="22"/>
          <w:szCs w:val="22"/>
        </w:rPr>
        <w:t>przeciwarytmiczn</w:t>
      </w:r>
      <w:r w:rsidR="000905E4" w:rsidRPr="00374521">
        <w:rPr>
          <w:sz w:val="22"/>
          <w:szCs w:val="22"/>
        </w:rPr>
        <w:t>e</w:t>
      </w:r>
      <w:proofErr w:type="spellEnd"/>
      <w:r w:rsidR="000905E4" w:rsidRPr="00374521">
        <w:rPr>
          <w:sz w:val="22"/>
          <w:szCs w:val="22"/>
        </w:rPr>
        <w:t xml:space="preserve"> klasy III</w:t>
      </w:r>
      <w:r w:rsidRPr="00374521">
        <w:rPr>
          <w:sz w:val="22"/>
          <w:szCs w:val="22"/>
        </w:rPr>
        <w:t xml:space="preserve"> (np. </w:t>
      </w:r>
      <w:proofErr w:type="spellStart"/>
      <w:r w:rsidRPr="00374521">
        <w:rPr>
          <w:sz w:val="22"/>
          <w:szCs w:val="22"/>
        </w:rPr>
        <w:t>amiodaron</w:t>
      </w:r>
      <w:proofErr w:type="spellEnd"/>
      <w:r w:rsidRPr="00374521">
        <w:rPr>
          <w:sz w:val="22"/>
          <w:szCs w:val="22"/>
        </w:rPr>
        <w:t xml:space="preserve">, </w:t>
      </w:r>
      <w:proofErr w:type="spellStart"/>
      <w:r w:rsidRPr="00374521">
        <w:rPr>
          <w:sz w:val="22"/>
          <w:szCs w:val="22"/>
        </w:rPr>
        <w:t>sotalol</w:t>
      </w:r>
      <w:proofErr w:type="spellEnd"/>
      <w:r w:rsidRPr="00374521">
        <w:rPr>
          <w:sz w:val="22"/>
          <w:szCs w:val="22"/>
        </w:rPr>
        <w:t xml:space="preserve">, </w:t>
      </w:r>
      <w:proofErr w:type="spellStart"/>
      <w:r w:rsidRPr="00374521">
        <w:rPr>
          <w:sz w:val="22"/>
          <w:szCs w:val="22"/>
        </w:rPr>
        <w:t>dofet</w:t>
      </w:r>
      <w:r w:rsidR="000905E4" w:rsidRPr="00374521">
        <w:rPr>
          <w:sz w:val="22"/>
          <w:szCs w:val="22"/>
        </w:rPr>
        <w:t>y</w:t>
      </w:r>
      <w:r w:rsidRPr="00374521">
        <w:rPr>
          <w:sz w:val="22"/>
          <w:szCs w:val="22"/>
        </w:rPr>
        <w:t>lid</w:t>
      </w:r>
      <w:proofErr w:type="spellEnd"/>
      <w:r w:rsidRPr="00374521">
        <w:rPr>
          <w:sz w:val="22"/>
          <w:szCs w:val="22"/>
        </w:rPr>
        <w:t xml:space="preserve">, </w:t>
      </w:r>
      <w:proofErr w:type="spellStart"/>
      <w:r w:rsidRPr="00374521">
        <w:rPr>
          <w:sz w:val="22"/>
          <w:szCs w:val="22"/>
        </w:rPr>
        <w:t>ibut</w:t>
      </w:r>
      <w:r w:rsidR="000905E4" w:rsidRPr="00374521">
        <w:rPr>
          <w:sz w:val="22"/>
          <w:szCs w:val="22"/>
        </w:rPr>
        <w:t>y</w:t>
      </w:r>
      <w:r w:rsidRPr="00374521">
        <w:rPr>
          <w:sz w:val="22"/>
          <w:szCs w:val="22"/>
        </w:rPr>
        <w:t>lid</w:t>
      </w:r>
      <w:proofErr w:type="spellEnd"/>
      <w:r w:rsidRPr="00374521">
        <w:rPr>
          <w:sz w:val="22"/>
          <w:szCs w:val="22"/>
        </w:rPr>
        <w:t>),</w:t>
      </w:r>
    </w:p>
    <w:p w14:paraId="12425E66" w14:textId="77777777" w:rsidR="00556DD0" w:rsidRPr="00374521" w:rsidRDefault="000905E4" w:rsidP="00374521">
      <w:pPr>
        <w:numPr>
          <w:ilvl w:val="0"/>
          <w:numId w:val="22"/>
        </w:numPr>
        <w:tabs>
          <w:tab w:val="clear" w:pos="2880"/>
          <w:tab w:val="num" w:pos="540"/>
        </w:tabs>
        <w:autoSpaceDE w:val="0"/>
        <w:autoSpaceDN w:val="0"/>
        <w:adjustRightInd w:val="0"/>
        <w:ind w:left="540" w:hanging="540"/>
        <w:rPr>
          <w:sz w:val="22"/>
          <w:szCs w:val="22"/>
        </w:rPr>
      </w:pPr>
      <w:r w:rsidRPr="00374521">
        <w:rPr>
          <w:sz w:val="22"/>
          <w:szCs w:val="22"/>
        </w:rPr>
        <w:t>n</w:t>
      </w:r>
      <w:r w:rsidR="00556DD0" w:rsidRPr="00374521">
        <w:rPr>
          <w:sz w:val="22"/>
          <w:szCs w:val="22"/>
        </w:rPr>
        <w:t xml:space="preserve">iektóre leki </w:t>
      </w:r>
      <w:proofErr w:type="spellStart"/>
      <w:r w:rsidR="00556DD0" w:rsidRPr="00374521">
        <w:rPr>
          <w:sz w:val="22"/>
          <w:szCs w:val="22"/>
        </w:rPr>
        <w:t>przeciwpsychotyczne</w:t>
      </w:r>
      <w:proofErr w:type="spellEnd"/>
      <w:r w:rsidR="00556DD0" w:rsidRPr="00374521">
        <w:rPr>
          <w:sz w:val="22"/>
          <w:szCs w:val="22"/>
        </w:rPr>
        <w:t xml:space="preserve"> (np. </w:t>
      </w:r>
      <w:proofErr w:type="spellStart"/>
      <w:r w:rsidR="00556DD0" w:rsidRPr="00374521">
        <w:rPr>
          <w:sz w:val="22"/>
          <w:szCs w:val="22"/>
        </w:rPr>
        <w:t>tiorydazyna</w:t>
      </w:r>
      <w:proofErr w:type="spellEnd"/>
      <w:r w:rsidR="00556DD0" w:rsidRPr="00374521">
        <w:rPr>
          <w:sz w:val="22"/>
          <w:szCs w:val="22"/>
        </w:rPr>
        <w:t>, chlor</w:t>
      </w:r>
      <w:r w:rsidRPr="00374521">
        <w:rPr>
          <w:sz w:val="22"/>
          <w:szCs w:val="22"/>
        </w:rPr>
        <w:t>o</w:t>
      </w:r>
      <w:r w:rsidR="00556DD0" w:rsidRPr="00374521">
        <w:rPr>
          <w:sz w:val="22"/>
          <w:szCs w:val="22"/>
        </w:rPr>
        <w:t xml:space="preserve">promazyna, </w:t>
      </w:r>
      <w:proofErr w:type="spellStart"/>
      <w:r w:rsidR="00556DD0" w:rsidRPr="00374521">
        <w:rPr>
          <w:sz w:val="22"/>
          <w:szCs w:val="22"/>
        </w:rPr>
        <w:t>le</w:t>
      </w:r>
      <w:r w:rsidRPr="00374521">
        <w:rPr>
          <w:sz w:val="22"/>
          <w:szCs w:val="22"/>
        </w:rPr>
        <w:t>w</w:t>
      </w:r>
      <w:r w:rsidR="00556DD0" w:rsidRPr="00374521">
        <w:rPr>
          <w:sz w:val="22"/>
          <w:szCs w:val="22"/>
        </w:rPr>
        <w:t>omepromazyna</w:t>
      </w:r>
      <w:proofErr w:type="spellEnd"/>
      <w:r w:rsidR="00556DD0" w:rsidRPr="00374521">
        <w:rPr>
          <w:sz w:val="22"/>
          <w:szCs w:val="22"/>
        </w:rPr>
        <w:t xml:space="preserve">, </w:t>
      </w:r>
      <w:proofErr w:type="spellStart"/>
      <w:r w:rsidR="00556DD0" w:rsidRPr="00374521">
        <w:rPr>
          <w:sz w:val="22"/>
          <w:szCs w:val="22"/>
        </w:rPr>
        <w:t>trifluoperazyna</w:t>
      </w:r>
      <w:proofErr w:type="spellEnd"/>
      <w:r w:rsidR="00556DD0" w:rsidRPr="00374521">
        <w:rPr>
          <w:sz w:val="22"/>
          <w:szCs w:val="22"/>
        </w:rPr>
        <w:t xml:space="preserve">, </w:t>
      </w:r>
      <w:proofErr w:type="spellStart"/>
      <w:r w:rsidR="00556DD0" w:rsidRPr="00374521">
        <w:rPr>
          <w:sz w:val="22"/>
          <w:szCs w:val="22"/>
        </w:rPr>
        <w:t>cy</w:t>
      </w:r>
      <w:r w:rsidRPr="00374521">
        <w:rPr>
          <w:sz w:val="22"/>
          <w:szCs w:val="22"/>
        </w:rPr>
        <w:t>j</w:t>
      </w:r>
      <w:r w:rsidR="00556DD0" w:rsidRPr="00374521">
        <w:rPr>
          <w:sz w:val="22"/>
          <w:szCs w:val="22"/>
        </w:rPr>
        <w:t>amemazyna</w:t>
      </w:r>
      <w:proofErr w:type="spellEnd"/>
      <w:r w:rsidR="00556DD0" w:rsidRPr="00374521">
        <w:rPr>
          <w:sz w:val="22"/>
          <w:szCs w:val="22"/>
        </w:rPr>
        <w:t xml:space="preserve">, </w:t>
      </w:r>
      <w:proofErr w:type="spellStart"/>
      <w:r w:rsidR="00556DD0" w:rsidRPr="00374521">
        <w:rPr>
          <w:sz w:val="22"/>
          <w:szCs w:val="22"/>
        </w:rPr>
        <w:t>sulpiryd</w:t>
      </w:r>
      <w:proofErr w:type="spellEnd"/>
      <w:r w:rsidR="00556DD0" w:rsidRPr="00374521">
        <w:rPr>
          <w:sz w:val="22"/>
          <w:szCs w:val="22"/>
        </w:rPr>
        <w:t xml:space="preserve">, </w:t>
      </w:r>
      <w:proofErr w:type="spellStart"/>
      <w:r w:rsidR="00556DD0" w:rsidRPr="00374521">
        <w:rPr>
          <w:sz w:val="22"/>
          <w:szCs w:val="22"/>
        </w:rPr>
        <w:t>sultop</w:t>
      </w:r>
      <w:r w:rsidRPr="00374521">
        <w:rPr>
          <w:sz w:val="22"/>
          <w:szCs w:val="22"/>
        </w:rPr>
        <w:t>ry</w:t>
      </w:r>
      <w:r w:rsidR="00556DD0" w:rsidRPr="00374521">
        <w:rPr>
          <w:sz w:val="22"/>
          <w:szCs w:val="22"/>
        </w:rPr>
        <w:t>d</w:t>
      </w:r>
      <w:proofErr w:type="spellEnd"/>
      <w:r w:rsidR="00556DD0" w:rsidRPr="00374521">
        <w:rPr>
          <w:sz w:val="22"/>
          <w:szCs w:val="22"/>
        </w:rPr>
        <w:t xml:space="preserve">, </w:t>
      </w:r>
      <w:proofErr w:type="spellStart"/>
      <w:r w:rsidR="00556DD0" w:rsidRPr="00374521">
        <w:rPr>
          <w:sz w:val="22"/>
          <w:szCs w:val="22"/>
        </w:rPr>
        <w:t>amisulpryd</w:t>
      </w:r>
      <w:proofErr w:type="spellEnd"/>
      <w:r w:rsidR="00556DD0" w:rsidRPr="00374521">
        <w:rPr>
          <w:sz w:val="22"/>
          <w:szCs w:val="22"/>
        </w:rPr>
        <w:t xml:space="preserve">, </w:t>
      </w:r>
      <w:proofErr w:type="spellStart"/>
      <w:r w:rsidR="00556DD0" w:rsidRPr="00374521">
        <w:rPr>
          <w:sz w:val="22"/>
          <w:szCs w:val="22"/>
        </w:rPr>
        <w:t>tiapryd</w:t>
      </w:r>
      <w:proofErr w:type="spellEnd"/>
      <w:r w:rsidR="00556DD0" w:rsidRPr="00374521">
        <w:rPr>
          <w:sz w:val="22"/>
          <w:szCs w:val="22"/>
        </w:rPr>
        <w:t xml:space="preserve">, </w:t>
      </w:r>
      <w:proofErr w:type="spellStart"/>
      <w:r w:rsidR="00556DD0" w:rsidRPr="00374521">
        <w:rPr>
          <w:sz w:val="22"/>
          <w:szCs w:val="22"/>
        </w:rPr>
        <w:t>pimozyd</w:t>
      </w:r>
      <w:proofErr w:type="spellEnd"/>
      <w:r w:rsidR="00556DD0" w:rsidRPr="00374521">
        <w:rPr>
          <w:sz w:val="22"/>
          <w:szCs w:val="22"/>
        </w:rPr>
        <w:t xml:space="preserve">, </w:t>
      </w:r>
      <w:proofErr w:type="spellStart"/>
      <w:r w:rsidR="00556DD0" w:rsidRPr="00374521">
        <w:rPr>
          <w:sz w:val="22"/>
          <w:szCs w:val="22"/>
        </w:rPr>
        <w:t>haloper</w:t>
      </w:r>
      <w:r w:rsidRPr="00374521">
        <w:rPr>
          <w:sz w:val="22"/>
          <w:szCs w:val="22"/>
        </w:rPr>
        <w:t>y</w:t>
      </w:r>
      <w:r w:rsidR="00556DD0" w:rsidRPr="00374521">
        <w:rPr>
          <w:sz w:val="22"/>
          <w:szCs w:val="22"/>
        </w:rPr>
        <w:t>dol</w:t>
      </w:r>
      <w:proofErr w:type="spellEnd"/>
      <w:r w:rsidR="00556DD0" w:rsidRPr="00374521">
        <w:rPr>
          <w:sz w:val="22"/>
          <w:szCs w:val="22"/>
        </w:rPr>
        <w:t xml:space="preserve">, </w:t>
      </w:r>
      <w:proofErr w:type="spellStart"/>
      <w:r w:rsidR="00556DD0" w:rsidRPr="00374521">
        <w:rPr>
          <w:sz w:val="22"/>
          <w:szCs w:val="22"/>
        </w:rPr>
        <w:t>droper</w:t>
      </w:r>
      <w:r w:rsidRPr="00374521">
        <w:rPr>
          <w:sz w:val="22"/>
          <w:szCs w:val="22"/>
        </w:rPr>
        <w:t>y</w:t>
      </w:r>
      <w:r w:rsidR="00556DD0" w:rsidRPr="00374521">
        <w:rPr>
          <w:sz w:val="22"/>
          <w:szCs w:val="22"/>
        </w:rPr>
        <w:t>dol</w:t>
      </w:r>
      <w:proofErr w:type="spellEnd"/>
      <w:r w:rsidR="00556DD0" w:rsidRPr="00374521">
        <w:rPr>
          <w:sz w:val="22"/>
          <w:szCs w:val="22"/>
        </w:rPr>
        <w:t>),</w:t>
      </w:r>
    </w:p>
    <w:p w14:paraId="172C1F76" w14:textId="77777777" w:rsidR="00556DD0" w:rsidRPr="00374521" w:rsidRDefault="000905E4" w:rsidP="00374521">
      <w:pPr>
        <w:numPr>
          <w:ilvl w:val="0"/>
          <w:numId w:val="22"/>
        </w:numPr>
        <w:tabs>
          <w:tab w:val="clear" w:pos="2880"/>
          <w:tab w:val="num" w:pos="540"/>
        </w:tabs>
        <w:autoSpaceDE w:val="0"/>
        <w:autoSpaceDN w:val="0"/>
        <w:adjustRightInd w:val="0"/>
        <w:ind w:left="540" w:hanging="540"/>
        <w:rPr>
          <w:sz w:val="22"/>
          <w:szCs w:val="22"/>
        </w:rPr>
      </w:pPr>
      <w:r w:rsidRPr="00374521">
        <w:rPr>
          <w:sz w:val="22"/>
          <w:szCs w:val="22"/>
        </w:rPr>
        <w:t>i</w:t>
      </w:r>
      <w:r w:rsidR="00556DD0" w:rsidRPr="00374521">
        <w:rPr>
          <w:sz w:val="22"/>
          <w:szCs w:val="22"/>
        </w:rPr>
        <w:t xml:space="preserve">nne (np. </w:t>
      </w:r>
      <w:proofErr w:type="spellStart"/>
      <w:r w:rsidR="00556DD0" w:rsidRPr="00374521">
        <w:rPr>
          <w:sz w:val="22"/>
          <w:szCs w:val="22"/>
        </w:rPr>
        <w:t>bepr</w:t>
      </w:r>
      <w:r w:rsidRPr="00374521">
        <w:rPr>
          <w:sz w:val="22"/>
          <w:szCs w:val="22"/>
        </w:rPr>
        <w:t>y</w:t>
      </w:r>
      <w:r w:rsidR="00556DD0" w:rsidRPr="00374521">
        <w:rPr>
          <w:sz w:val="22"/>
          <w:szCs w:val="22"/>
        </w:rPr>
        <w:t>dyl</w:t>
      </w:r>
      <w:proofErr w:type="spellEnd"/>
      <w:r w:rsidR="00556DD0" w:rsidRPr="00374521">
        <w:rPr>
          <w:sz w:val="22"/>
          <w:szCs w:val="22"/>
        </w:rPr>
        <w:t xml:space="preserve">, </w:t>
      </w:r>
      <w:proofErr w:type="spellStart"/>
      <w:r w:rsidR="00556DD0" w:rsidRPr="00374521">
        <w:rPr>
          <w:sz w:val="22"/>
          <w:szCs w:val="22"/>
        </w:rPr>
        <w:t>c</w:t>
      </w:r>
      <w:r w:rsidRPr="00374521">
        <w:rPr>
          <w:sz w:val="22"/>
          <w:szCs w:val="22"/>
        </w:rPr>
        <w:t>y</w:t>
      </w:r>
      <w:r w:rsidR="00556DD0" w:rsidRPr="00374521">
        <w:rPr>
          <w:sz w:val="22"/>
          <w:szCs w:val="22"/>
        </w:rPr>
        <w:t>zapryd</w:t>
      </w:r>
      <w:proofErr w:type="spellEnd"/>
      <w:r w:rsidR="00556DD0" w:rsidRPr="00374521">
        <w:rPr>
          <w:sz w:val="22"/>
          <w:szCs w:val="22"/>
        </w:rPr>
        <w:t xml:space="preserve">, </w:t>
      </w:r>
      <w:proofErr w:type="spellStart"/>
      <w:r w:rsidR="00556DD0" w:rsidRPr="00374521">
        <w:rPr>
          <w:sz w:val="22"/>
          <w:szCs w:val="22"/>
        </w:rPr>
        <w:t>di</w:t>
      </w:r>
      <w:r w:rsidRPr="00374521">
        <w:rPr>
          <w:sz w:val="22"/>
          <w:szCs w:val="22"/>
        </w:rPr>
        <w:t>f</w:t>
      </w:r>
      <w:r w:rsidR="00556DD0" w:rsidRPr="00374521">
        <w:rPr>
          <w:sz w:val="22"/>
          <w:szCs w:val="22"/>
        </w:rPr>
        <w:t>eman</w:t>
      </w:r>
      <w:r w:rsidRPr="00374521">
        <w:rPr>
          <w:sz w:val="22"/>
          <w:szCs w:val="22"/>
        </w:rPr>
        <w:t>i</w:t>
      </w:r>
      <w:r w:rsidR="00556DD0" w:rsidRPr="00374521">
        <w:rPr>
          <w:sz w:val="22"/>
          <w:szCs w:val="22"/>
        </w:rPr>
        <w:t>l</w:t>
      </w:r>
      <w:proofErr w:type="spellEnd"/>
      <w:r w:rsidR="00556DD0" w:rsidRPr="00374521">
        <w:rPr>
          <w:sz w:val="22"/>
          <w:szCs w:val="22"/>
        </w:rPr>
        <w:t xml:space="preserve">, erytromycyna </w:t>
      </w:r>
      <w:r w:rsidRPr="00374521">
        <w:rPr>
          <w:sz w:val="22"/>
          <w:szCs w:val="22"/>
        </w:rPr>
        <w:t>podawana dożylnie</w:t>
      </w:r>
      <w:r w:rsidR="00556DD0" w:rsidRPr="00374521">
        <w:rPr>
          <w:sz w:val="22"/>
          <w:szCs w:val="22"/>
        </w:rPr>
        <w:t xml:space="preserve">, </w:t>
      </w:r>
      <w:proofErr w:type="spellStart"/>
      <w:r w:rsidR="00556DD0" w:rsidRPr="00374521">
        <w:rPr>
          <w:sz w:val="22"/>
          <w:szCs w:val="22"/>
        </w:rPr>
        <w:t>halofantr</w:t>
      </w:r>
      <w:r w:rsidRPr="00374521">
        <w:rPr>
          <w:sz w:val="22"/>
          <w:szCs w:val="22"/>
        </w:rPr>
        <w:t>y</w:t>
      </w:r>
      <w:r w:rsidR="00556DD0" w:rsidRPr="00374521">
        <w:rPr>
          <w:sz w:val="22"/>
          <w:szCs w:val="22"/>
        </w:rPr>
        <w:t>n</w:t>
      </w:r>
      <w:r w:rsidRPr="00374521">
        <w:rPr>
          <w:sz w:val="22"/>
          <w:szCs w:val="22"/>
        </w:rPr>
        <w:t>a</w:t>
      </w:r>
      <w:proofErr w:type="spellEnd"/>
      <w:r w:rsidR="00556DD0" w:rsidRPr="00374521">
        <w:rPr>
          <w:sz w:val="22"/>
          <w:szCs w:val="22"/>
        </w:rPr>
        <w:t xml:space="preserve">, </w:t>
      </w:r>
      <w:proofErr w:type="spellStart"/>
      <w:r w:rsidR="00556DD0" w:rsidRPr="00374521">
        <w:rPr>
          <w:sz w:val="22"/>
          <w:szCs w:val="22"/>
        </w:rPr>
        <w:t>mizolastyn</w:t>
      </w:r>
      <w:r w:rsidRPr="00374521">
        <w:rPr>
          <w:sz w:val="22"/>
          <w:szCs w:val="22"/>
        </w:rPr>
        <w:t>a</w:t>
      </w:r>
      <w:proofErr w:type="spellEnd"/>
      <w:r w:rsidR="00556DD0" w:rsidRPr="00374521">
        <w:rPr>
          <w:sz w:val="22"/>
          <w:szCs w:val="22"/>
        </w:rPr>
        <w:t xml:space="preserve">, </w:t>
      </w:r>
      <w:proofErr w:type="spellStart"/>
      <w:r w:rsidR="00556DD0" w:rsidRPr="00374521">
        <w:rPr>
          <w:sz w:val="22"/>
          <w:szCs w:val="22"/>
        </w:rPr>
        <w:t>pentamid</w:t>
      </w:r>
      <w:r w:rsidRPr="00374521">
        <w:rPr>
          <w:sz w:val="22"/>
          <w:szCs w:val="22"/>
        </w:rPr>
        <w:t>yna</w:t>
      </w:r>
      <w:proofErr w:type="spellEnd"/>
      <w:r w:rsidR="00556DD0" w:rsidRPr="00374521">
        <w:rPr>
          <w:sz w:val="22"/>
          <w:szCs w:val="22"/>
        </w:rPr>
        <w:t xml:space="preserve">, </w:t>
      </w:r>
      <w:proofErr w:type="spellStart"/>
      <w:r w:rsidR="00556DD0" w:rsidRPr="00374521">
        <w:rPr>
          <w:sz w:val="22"/>
          <w:szCs w:val="22"/>
        </w:rPr>
        <w:t>terfenadyna</w:t>
      </w:r>
      <w:proofErr w:type="spellEnd"/>
      <w:r w:rsidR="00556DD0" w:rsidRPr="00374521">
        <w:rPr>
          <w:sz w:val="22"/>
          <w:szCs w:val="22"/>
        </w:rPr>
        <w:t xml:space="preserve">, </w:t>
      </w:r>
      <w:proofErr w:type="spellStart"/>
      <w:r w:rsidR="00556DD0" w:rsidRPr="00374521">
        <w:rPr>
          <w:sz w:val="22"/>
          <w:szCs w:val="22"/>
        </w:rPr>
        <w:t>winkamina</w:t>
      </w:r>
      <w:proofErr w:type="spellEnd"/>
      <w:r w:rsidR="00556DD0" w:rsidRPr="00374521">
        <w:rPr>
          <w:sz w:val="22"/>
          <w:szCs w:val="22"/>
        </w:rPr>
        <w:t xml:space="preserve"> </w:t>
      </w:r>
      <w:r w:rsidRPr="00374521">
        <w:rPr>
          <w:sz w:val="22"/>
          <w:szCs w:val="22"/>
        </w:rPr>
        <w:t>podawana dożylnie</w:t>
      </w:r>
      <w:r w:rsidR="00556DD0" w:rsidRPr="00374521">
        <w:rPr>
          <w:sz w:val="22"/>
          <w:szCs w:val="22"/>
        </w:rPr>
        <w:t xml:space="preserve">). </w:t>
      </w:r>
    </w:p>
    <w:p w14:paraId="12BFB262" w14:textId="77777777" w:rsidR="00556DD0" w:rsidRPr="00374521" w:rsidRDefault="00556DD0" w:rsidP="00374521">
      <w:pPr>
        <w:keepNext/>
        <w:autoSpaceDE w:val="0"/>
        <w:autoSpaceDN w:val="0"/>
        <w:adjustRightInd w:val="0"/>
        <w:rPr>
          <w:sz w:val="22"/>
          <w:szCs w:val="22"/>
        </w:rPr>
      </w:pPr>
    </w:p>
    <w:p w14:paraId="5F2B1C23" w14:textId="77777777" w:rsidR="00556DD0" w:rsidRPr="00374521" w:rsidRDefault="00556DD0" w:rsidP="00374521">
      <w:pPr>
        <w:keepNext/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Sole wapnia</w:t>
      </w:r>
    </w:p>
    <w:p w14:paraId="13E34FF2" w14:textId="77777777" w:rsidR="00556DD0" w:rsidRPr="00374521" w:rsidRDefault="000905E4" w:rsidP="00374521">
      <w:pPr>
        <w:keepNext/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374521">
        <w:rPr>
          <w:sz w:val="22"/>
          <w:szCs w:val="22"/>
        </w:rPr>
        <w:t>T</w:t>
      </w:r>
      <w:r w:rsidR="00556DD0" w:rsidRPr="00374521">
        <w:rPr>
          <w:sz w:val="22"/>
          <w:szCs w:val="22"/>
        </w:rPr>
        <w:t>iazydowe</w:t>
      </w:r>
      <w:proofErr w:type="spellEnd"/>
      <w:r w:rsidR="00556DD0" w:rsidRPr="00374521">
        <w:rPr>
          <w:sz w:val="22"/>
          <w:szCs w:val="22"/>
        </w:rPr>
        <w:t xml:space="preserve"> </w:t>
      </w:r>
      <w:r w:rsidRPr="00374521">
        <w:rPr>
          <w:sz w:val="22"/>
          <w:szCs w:val="22"/>
        </w:rPr>
        <w:t xml:space="preserve">leki moczopędne </w:t>
      </w:r>
      <w:r w:rsidR="00556DD0" w:rsidRPr="00374521">
        <w:rPr>
          <w:sz w:val="22"/>
          <w:szCs w:val="22"/>
        </w:rPr>
        <w:t xml:space="preserve">mogą </w:t>
      </w:r>
      <w:r w:rsidRPr="00374521">
        <w:rPr>
          <w:sz w:val="22"/>
          <w:szCs w:val="22"/>
        </w:rPr>
        <w:t>zwiększać</w:t>
      </w:r>
      <w:r w:rsidR="00556DD0" w:rsidRPr="00374521">
        <w:rPr>
          <w:sz w:val="22"/>
          <w:szCs w:val="22"/>
        </w:rPr>
        <w:t xml:space="preserve"> stężeni</w:t>
      </w:r>
      <w:r w:rsidRPr="00374521">
        <w:rPr>
          <w:sz w:val="22"/>
          <w:szCs w:val="22"/>
        </w:rPr>
        <w:t>e</w:t>
      </w:r>
      <w:r w:rsidR="00556DD0" w:rsidRPr="00374521">
        <w:rPr>
          <w:sz w:val="22"/>
          <w:szCs w:val="22"/>
        </w:rPr>
        <w:t xml:space="preserve"> wapnia w osoczu</w:t>
      </w:r>
      <w:r w:rsidRPr="00374521">
        <w:rPr>
          <w:sz w:val="22"/>
          <w:szCs w:val="22"/>
        </w:rPr>
        <w:t xml:space="preserve"> z powodu zmniejszenia wydalania</w:t>
      </w:r>
      <w:r w:rsidR="00556DD0" w:rsidRPr="00374521">
        <w:rPr>
          <w:sz w:val="22"/>
          <w:szCs w:val="22"/>
        </w:rPr>
        <w:t xml:space="preserve">. Jeśli suplementy wapnia muszą być stosowane, należy monitorować stężenie wapnia w osoczu i </w:t>
      </w:r>
      <w:r w:rsidR="005A207D" w:rsidRPr="00374521">
        <w:rPr>
          <w:sz w:val="22"/>
          <w:szCs w:val="22"/>
        </w:rPr>
        <w:t xml:space="preserve">odpowiednio dostosować </w:t>
      </w:r>
      <w:r w:rsidR="00556DD0" w:rsidRPr="00374521">
        <w:rPr>
          <w:sz w:val="22"/>
          <w:szCs w:val="22"/>
        </w:rPr>
        <w:t>dawk</w:t>
      </w:r>
      <w:r w:rsidR="005A207D" w:rsidRPr="00374521">
        <w:rPr>
          <w:sz w:val="22"/>
          <w:szCs w:val="22"/>
        </w:rPr>
        <w:t>ę</w:t>
      </w:r>
      <w:r w:rsidR="00556DD0" w:rsidRPr="00374521">
        <w:rPr>
          <w:sz w:val="22"/>
          <w:szCs w:val="22"/>
        </w:rPr>
        <w:t xml:space="preserve"> wapnia. </w:t>
      </w:r>
    </w:p>
    <w:p w14:paraId="127EB99A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22A315C0" w14:textId="77777777" w:rsidR="00556DD0" w:rsidRPr="00374521" w:rsidRDefault="005A207D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Wpływ na wyniki badań diagnostycznych</w:t>
      </w:r>
    </w:p>
    <w:p w14:paraId="65862131" w14:textId="77777777" w:rsidR="00556DD0" w:rsidRPr="00374521" w:rsidRDefault="00556DD0" w:rsidP="00374521">
      <w:pPr>
        <w:pStyle w:val="Tekstpodstawowy3"/>
        <w:rPr>
          <w:bCs/>
          <w:iCs/>
          <w:sz w:val="22"/>
          <w:szCs w:val="22"/>
        </w:rPr>
      </w:pPr>
      <w:r w:rsidRPr="00374521">
        <w:rPr>
          <w:sz w:val="22"/>
          <w:szCs w:val="22"/>
        </w:rPr>
        <w:t xml:space="preserve">Z powodu wpływu na metabolizm wapnia </w:t>
      </w:r>
      <w:proofErr w:type="spellStart"/>
      <w:r w:rsidRPr="00374521">
        <w:rPr>
          <w:sz w:val="22"/>
          <w:szCs w:val="22"/>
        </w:rPr>
        <w:t>tiazydy</w:t>
      </w:r>
      <w:proofErr w:type="spellEnd"/>
      <w:r w:rsidRPr="00374521">
        <w:rPr>
          <w:sz w:val="22"/>
          <w:szCs w:val="22"/>
        </w:rPr>
        <w:t xml:space="preserve"> mogą zaburzać wyniki badania czynności przytarczyc (patrz </w:t>
      </w:r>
      <w:r w:rsidRPr="00374521">
        <w:rPr>
          <w:bCs/>
          <w:iCs/>
          <w:sz w:val="22"/>
          <w:szCs w:val="22"/>
        </w:rPr>
        <w:t xml:space="preserve">punkt 4.4). </w:t>
      </w:r>
    </w:p>
    <w:p w14:paraId="65B448B6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50566E3E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Karbam</w:t>
      </w:r>
      <w:r w:rsidR="005A207D" w:rsidRPr="00374521">
        <w:rPr>
          <w:i/>
          <w:sz w:val="22"/>
          <w:szCs w:val="22"/>
        </w:rPr>
        <w:t>a</w:t>
      </w:r>
      <w:r w:rsidRPr="00374521">
        <w:rPr>
          <w:i/>
          <w:sz w:val="22"/>
          <w:szCs w:val="22"/>
        </w:rPr>
        <w:t xml:space="preserve">zepina </w:t>
      </w:r>
    </w:p>
    <w:p w14:paraId="1ED03198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Ryzyko hiponatremii</w:t>
      </w:r>
      <w:r w:rsidR="005A207D" w:rsidRPr="00374521">
        <w:rPr>
          <w:sz w:val="22"/>
          <w:szCs w:val="22"/>
        </w:rPr>
        <w:t xml:space="preserve"> objawowej</w:t>
      </w:r>
      <w:r w:rsidRPr="00374521">
        <w:rPr>
          <w:sz w:val="22"/>
          <w:szCs w:val="22"/>
        </w:rPr>
        <w:t xml:space="preserve">. </w:t>
      </w:r>
      <w:r w:rsidR="005A207D" w:rsidRPr="00374521">
        <w:rPr>
          <w:sz w:val="22"/>
          <w:szCs w:val="22"/>
        </w:rPr>
        <w:t>Ko</w:t>
      </w:r>
      <w:r w:rsidR="00556246" w:rsidRPr="00374521">
        <w:rPr>
          <w:sz w:val="22"/>
          <w:szCs w:val="22"/>
        </w:rPr>
        <w:t>nieczne jest monitorowanie stanu</w:t>
      </w:r>
      <w:r w:rsidR="005A207D" w:rsidRPr="00374521">
        <w:rPr>
          <w:sz w:val="22"/>
          <w:szCs w:val="22"/>
        </w:rPr>
        <w:t xml:space="preserve"> </w:t>
      </w:r>
      <w:r w:rsidRPr="00374521">
        <w:rPr>
          <w:sz w:val="22"/>
          <w:szCs w:val="22"/>
        </w:rPr>
        <w:t>kliniczn</w:t>
      </w:r>
      <w:r w:rsidR="005A207D" w:rsidRPr="00374521">
        <w:rPr>
          <w:sz w:val="22"/>
          <w:szCs w:val="22"/>
        </w:rPr>
        <w:t>ego</w:t>
      </w:r>
      <w:r w:rsidRPr="00374521">
        <w:rPr>
          <w:sz w:val="22"/>
          <w:szCs w:val="22"/>
        </w:rPr>
        <w:t xml:space="preserve"> i </w:t>
      </w:r>
      <w:r w:rsidR="005A207D" w:rsidRPr="00374521">
        <w:rPr>
          <w:sz w:val="22"/>
          <w:szCs w:val="22"/>
        </w:rPr>
        <w:t xml:space="preserve">parametrów </w:t>
      </w:r>
      <w:r w:rsidRPr="00374521">
        <w:rPr>
          <w:sz w:val="22"/>
          <w:szCs w:val="22"/>
        </w:rPr>
        <w:t>bio</w:t>
      </w:r>
      <w:r w:rsidR="005A207D" w:rsidRPr="00374521">
        <w:rPr>
          <w:sz w:val="22"/>
          <w:szCs w:val="22"/>
        </w:rPr>
        <w:t>chemicznych</w:t>
      </w:r>
      <w:r w:rsidRPr="00374521">
        <w:rPr>
          <w:sz w:val="22"/>
          <w:szCs w:val="22"/>
        </w:rPr>
        <w:t xml:space="preserve">. </w:t>
      </w:r>
    </w:p>
    <w:p w14:paraId="340B4B5E" w14:textId="77777777" w:rsidR="00FF2554" w:rsidRDefault="00FF2554" w:rsidP="00374521">
      <w:pPr>
        <w:autoSpaceDE w:val="0"/>
        <w:autoSpaceDN w:val="0"/>
        <w:adjustRightInd w:val="0"/>
        <w:rPr>
          <w:i/>
          <w:sz w:val="22"/>
          <w:szCs w:val="22"/>
        </w:rPr>
      </w:pPr>
    </w:p>
    <w:p w14:paraId="30572300" w14:textId="77777777" w:rsidR="00556DD0" w:rsidRPr="00374521" w:rsidRDefault="005A207D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Jodowe środki k</w:t>
      </w:r>
      <w:r w:rsidR="00556DD0" w:rsidRPr="00374521">
        <w:rPr>
          <w:i/>
          <w:sz w:val="22"/>
          <w:szCs w:val="22"/>
        </w:rPr>
        <w:t>ontrast</w:t>
      </w:r>
      <w:r w:rsidRPr="00374521">
        <w:rPr>
          <w:i/>
          <w:sz w:val="22"/>
          <w:szCs w:val="22"/>
        </w:rPr>
        <w:t>ujące</w:t>
      </w:r>
    </w:p>
    <w:p w14:paraId="19E68647" w14:textId="77777777" w:rsidR="00556DD0" w:rsidRPr="00374521" w:rsidRDefault="005A207D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W przypadku</w:t>
      </w:r>
      <w:r w:rsidR="00556DD0" w:rsidRPr="00374521">
        <w:rPr>
          <w:sz w:val="22"/>
          <w:szCs w:val="22"/>
        </w:rPr>
        <w:t xml:space="preserve"> odwodnienia </w:t>
      </w:r>
      <w:r w:rsidRPr="00374521">
        <w:rPr>
          <w:sz w:val="22"/>
          <w:szCs w:val="22"/>
        </w:rPr>
        <w:t>s</w:t>
      </w:r>
      <w:r w:rsidR="00556DD0" w:rsidRPr="00374521">
        <w:rPr>
          <w:sz w:val="22"/>
          <w:szCs w:val="22"/>
        </w:rPr>
        <w:t xml:space="preserve">powodowanego przez </w:t>
      </w:r>
      <w:proofErr w:type="spellStart"/>
      <w:r w:rsidR="00556DD0" w:rsidRPr="00374521">
        <w:rPr>
          <w:sz w:val="22"/>
          <w:szCs w:val="22"/>
        </w:rPr>
        <w:t>diuretyki</w:t>
      </w:r>
      <w:proofErr w:type="spellEnd"/>
      <w:r w:rsidR="00556DD0" w:rsidRPr="00374521">
        <w:rPr>
          <w:sz w:val="22"/>
          <w:szCs w:val="22"/>
        </w:rPr>
        <w:t xml:space="preserve">, istnieje </w:t>
      </w:r>
      <w:r w:rsidRPr="00374521">
        <w:rPr>
          <w:sz w:val="22"/>
          <w:szCs w:val="22"/>
        </w:rPr>
        <w:t xml:space="preserve">zwiększone </w:t>
      </w:r>
      <w:r w:rsidR="00556DD0" w:rsidRPr="00374521">
        <w:rPr>
          <w:sz w:val="22"/>
          <w:szCs w:val="22"/>
        </w:rPr>
        <w:t xml:space="preserve">ryzyko wystąpienia ostrej niewydolności nerek, szczególnie </w:t>
      </w:r>
      <w:r w:rsidRPr="00374521">
        <w:rPr>
          <w:sz w:val="22"/>
          <w:szCs w:val="22"/>
        </w:rPr>
        <w:t xml:space="preserve">po podaniu </w:t>
      </w:r>
      <w:r w:rsidR="00556DD0" w:rsidRPr="00374521">
        <w:rPr>
          <w:sz w:val="22"/>
          <w:szCs w:val="22"/>
        </w:rPr>
        <w:t>duż</w:t>
      </w:r>
      <w:r w:rsidRPr="00374521">
        <w:rPr>
          <w:sz w:val="22"/>
          <w:szCs w:val="22"/>
        </w:rPr>
        <w:t xml:space="preserve">ych dawek jodowych środków kontrastujących. </w:t>
      </w:r>
      <w:r w:rsidR="00840AEC" w:rsidRPr="00374521">
        <w:rPr>
          <w:sz w:val="22"/>
          <w:szCs w:val="22"/>
        </w:rPr>
        <w:t>P</w:t>
      </w:r>
      <w:r w:rsidR="00556DD0" w:rsidRPr="00374521">
        <w:rPr>
          <w:sz w:val="22"/>
          <w:szCs w:val="22"/>
        </w:rPr>
        <w:t>rzed podaniem</w:t>
      </w:r>
      <w:r w:rsidR="00840AEC" w:rsidRPr="00374521">
        <w:rPr>
          <w:sz w:val="22"/>
          <w:szCs w:val="22"/>
        </w:rPr>
        <w:t xml:space="preserve"> jodowych środków kontrastujących należy nawodnić pacjenta</w:t>
      </w:r>
      <w:r w:rsidR="00556DD0" w:rsidRPr="00374521">
        <w:rPr>
          <w:sz w:val="22"/>
          <w:szCs w:val="22"/>
        </w:rPr>
        <w:t xml:space="preserve">. </w:t>
      </w:r>
    </w:p>
    <w:p w14:paraId="3BBA0C03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6B6BAE19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  <w:proofErr w:type="spellStart"/>
      <w:r w:rsidRPr="00374521">
        <w:rPr>
          <w:i/>
          <w:sz w:val="22"/>
          <w:szCs w:val="22"/>
        </w:rPr>
        <w:t>Amfoterycyna</w:t>
      </w:r>
      <w:proofErr w:type="spellEnd"/>
      <w:r w:rsidRPr="00374521">
        <w:rPr>
          <w:i/>
          <w:sz w:val="22"/>
          <w:szCs w:val="22"/>
        </w:rPr>
        <w:t xml:space="preserve"> B (</w:t>
      </w:r>
      <w:r w:rsidR="00840AEC" w:rsidRPr="00374521">
        <w:rPr>
          <w:i/>
          <w:sz w:val="22"/>
          <w:szCs w:val="22"/>
        </w:rPr>
        <w:t xml:space="preserve">podawana </w:t>
      </w:r>
      <w:r w:rsidRPr="00374521">
        <w:rPr>
          <w:i/>
          <w:sz w:val="22"/>
          <w:szCs w:val="22"/>
        </w:rPr>
        <w:t>pozajelitowo), kortykosteroidy, ACTH</w:t>
      </w:r>
      <w:r w:rsidR="009A1352" w:rsidRPr="00374521">
        <w:rPr>
          <w:i/>
          <w:sz w:val="22"/>
          <w:szCs w:val="22"/>
        </w:rPr>
        <w:t xml:space="preserve">, </w:t>
      </w:r>
      <w:r w:rsidRPr="00374521">
        <w:rPr>
          <w:i/>
          <w:sz w:val="22"/>
          <w:szCs w:val="22"/>
        </w:rPr>
        <w:t xml:space="preserve">środki przeczyszczające </w:t>
      </w:r>
      <w:r w:rsidR="00840AEC" w:rsidRPr="00374521">
        <w:rPr>
          <w:i/>
          <w:sz w:val="22"/>
          <w:szCs w:val="22"/>
        </w:rPr>
        <w:t>pobudzające perystaltykę</w:t>
      </w:r>
      <w:r w:rsidR="009A1352" w:rsidRPr="00374521">
        <w:rPr>
          <w:i/>
          <w:sz w:val="22"/>
          <w:szCs w:val="22"/>
        </w:rPr>
        <w:t xml:space="preserve"> oraz </w:t>
      </w:r>
      <w:proofErr w:type="spellStart"/>
      <w:r w:rsidR="009A1352" w:rsidRPr="00374521">
        <w:rPr>
          <w:i/>
          <w:sz w:val="22"/>
          <w:szCs w:val="22"/>
        </w:rPr>
        <w:t>glicyryzyna</w:t>
      </w:r>
      <w:proofErr w:type="spellEnd"/>
      <w:r w:rsidR="009A1352" w:rsidRPr="00374521">
        <w:rPr>
          <w:i/>
          <w:sz w:val="22"/>
          <w:szCs w:val="22"/>
        </w:rPr>
        <w:t xml:space="preserve"> (składnik lukrecji)</w:t>
      </w:r>
      <w:r w:rsidR="00D70658" w:rsidRPr="00374521">
        <w:rPr>
          <w:i/>
          <w:sz w:val="22"/>
          <w:szCs w:val="22"/>
        </w:rPr>
        <w:t>.</w:t>
      </w:r>
    </w:p>
    <w:p w14:paraId="1D02DB36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374521">
        <w:rPr>
          <w:sz w:val="22"/>
          <w:szCs w:val="22"/>
        </w:rPr>
        <w:t>Hydrochlorotiazyd</w:t>
      </w:r>
      <w:proofErr w:type="spellEnd"/>
      <w:r w:rsidRPr="00374521">
        <w:rPr>
          <w:sz w:val="22"/>
          <w:szCs w:val="22"/>
        </w:rPr>
        <w:t xml:space="preserve"> może </w:t>
      </w:r>
      <w:r w:rsidR="00840AEC" w:rsidRPr="00374521">
        <w:rPr>
          <w:sz w:val="22"/>
          <w:szCs w:val="22"/>
        </w:rPr>
        <w:t xml:space="preserve">nasilać </w:t>
      </w:r>
      <w:r w:rsidRPr="00374521">
        <w:rPr>
          <w:sz w:val="22"/>
          <w:szCs w:val="22"/>
        </w:rPr>
        <w:t>zaburzenia elektrolitowe, szczególnie hipokal</w:t>
      </w:r>
      <w:r w:rsidR="00840AEC" w:rsidRPr="00374521">
        <w:rPr>
          <w:sz w:val="22"/>
          <w:szCs w:val="22"/>
        </w:rPr>
        <w:t>i</w:t>
      </w:r>
      <w:r w:rsidRPr="00374521">
        <w:rPr>
          <w:sz w:val="22"/>
          <w:szCs w:val="22"/>
        </w:rPr>
        <w:t xml:space="preserve">emię. </w:t>
      </w:r>
    </w:p>
    <w:p w14:paraId="11A07046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52FFF61C" w14:textId="77777777" w:rsidR="00556DD0" w:rsidRPr="00374521" w:rsidRDefault="00E33426" w:rsidP="00374521">
      <w:pPr>
        <w:tabs>
          <w:tab w:val="left" w:pos="540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374521">
        <w:rPr>
          <w:b/>
          <w:sz w:val="22"/>
          <w:szCs w:val="22"/>
        </w:rPr>
        <w:t>4.6</w:t>
      </w:r>
      <w:r w:rsidRPr="00374521">
        <w:rPr>
          <w:b/>
          <w:sz w:val="22"/>
          <w:szCs w:val="22"/>
        </w:rPr>
        <w:tab/>
      </w:r>
      <w:r w:rsidR="00D234F1" w:rsidRPr="00374521">
        <w:rPr>
          <w:b/>
          <w:bCs/>
          <w:sz w:val="22"/>
          <w:szCs w:val="22"/>
        </w:rPr>
        <w:t xml:space="preserve">Wpływ na płodność, ciążę i laktację </w:t>
      </w:r>
    </w:p>
    <w:p w14:paraId="4091715B" w14:textId="77777777" w:rsidR="00556DD0" w:rsidRPr="00374521" w:rsidRDefault="00556DD0" w:rsidP="00374521">
      <w:pPr>
        <w:rPr>
          <w:bCs/>
          <w:sz w:val="22"/>
          <w:szCs w:val="22"/>
        </w:rPr>
      </w:pPr>
    </w:p>
    <w:p w14:paraId="26B67A17" w14:textId="77777777" w:rsidR="00556DD0" w:rsidRPr="00393FC6" w:rsidRDefault="00556DD0" w:rsidP="00374521">
      <w:pPr>
        <w:autoSpaceDE w:val="0"/>
        <w:autoSpaceDN w:val="0"/>
        <w:adjustRightInd w:val="0"/>
        <w:rPr>
          <w:sz w:val="22"/>
          <w:szCs w:val="22"/>
          <w:u w:val="single"/>
        </w:rPr>
      </w:pPr>
      <w:r w:rsidRPr="00393FC6">
        <w:rPr>
          <w:sz w:val="22"/>
          <w:szCs w:val="22"/>
          <w:u w:val="single"/>
        </w:rPr>
        <w:t xml:space="preserve">Ciąża </w:t>
      </w:r>
    </w:p>
    <w:p w14:paraId="41768984" w14:textId="77777777" w:rsidR="002B5E67" w:rsidRPr="00393FC6" w:rsidRDefault="002B5E67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93FC6">
        <w:rPr>
          <w:i/>
          <w:sz w:val="22"/>
          <w:szCs w:val="22"/>
        </w:rPr>
        <w:t xml:space="preserve">Antagoniści receptora </w:t>
      </w:r>
      <w:r w:rsidR="00B27155" w:rsidRPr="00C006D7">
        <w:rPr>
          <w:i/>
          <w:sz w:val="22"/>
          <w:szCs w:val="22"/>
        </w:rPr>
        <w:t>AT1 dla</w:t>
      </w:r>
      <w:r w:rsidR="00B27155">
        <w:rPr>
          <w:i/>
          <w:sz w:val="22"/>
          <w:szCs w:val="22"/>
        </w:rPr>
        <w:t xml:space="preserve"> </w:t>
      </w:r>
      <w:r w:rsidRPr="00393FC6">
        <w:rPr>
          <w:i/>
          <w:sz w:val="22"/>
          <w:szCs w:val="22"/>
        </w:rPr>
        <w:t>angiotensyny II (</w:t>
      </w:r>
      <w:proofErr w:type="spellStart"/>
      <w:r w:rsidRPr="00393FC6">
        <w:rPr>
          <w:i/>
          <w:sz w:val="22"/>
          <w:szCs w:val="22"/>
        </w:rPr>
        <w:t>AIIRAs</w:t>
      </w:r>
      <w:proofErr w:type="spellEnd"/>
      <w:r w:rsidRPr="00393FC6">
        <w:rPr>
          <w:i/>
          <w:sz w:val="22"/>
          <w:szCs w:val="22"/>
        </w:rPr>
        <w:t>):</w:t>
      </w:r>
    </w:p>
    <w:p w14:paraId="7B865987" w14:textId="77777777" w:rsidR="00556DD0" w:rsidRPr="00393FC6" w:rsidRDefault="00BA38F6" w:rsidP="0037452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93FC6">
        <w:rPr>
          <w:sz w:val="22"/>
          <w:szCs w:val="22"/>
        </w:rPr>
        <w:t>Nie zaleca się s</w:t>
      </w:r>
      <w:r w:rsidR="00556DD0" w:rsidRPr="00393FC6">
        <w:rPr>
          <w:sz w:val="22"/>
          <w:szCs w:val="22"/>
        </w:rPr>
        <w:t>tosowani</w:t>
      </w:r>
      <w:r w:rsidRPr="00393FC6">
        <w:rPr>
          <w:sz w:val="22"/>
          <w:szCs w:val="22"/>
        </w:rPr>
        <w:t xml:space="preserve">a </w:t>
      </w:r>
      <w:r w:rsidR="00393FC6" w:rsidRPr="00393FC6">
        <w:rPr>
          <w:sz w:val="22"/>
          <w:szCs w:val="22"/>
        </w:rPr>
        <w:t xml:space="preserve">antagonistów receptora </w:t>
      </w:r>
      <w:r w:rsidR="00B27155" w:rsidRPr="00C006D7">
        <w:rPr>
          <w:sz w:val="22"/>
          <w:szCs w:val="22"/>
        </w:rPr>
        <w:t>AT1 dla</w:t>
      </w:r>
      <w:r w:rsidR="00B27155">
        <w:rPr>
          <w:sz w:val="22"/>
          <w:szCs w:val="22"/>
        </w:rPr>
        <w:t xml:space="preserve"> </w:t>
      </w:r>
      <w:r w:rsidR="00393FC6" w:rsidRPr="00393FC6">
        <w:rPr>
          <w:sz w:val="22"/>
          <w:szCs w:val="22"/>
        </w:rPr>
        <w:t>angiotensyny II (</w:t>
      </w:r>
      <w:proofErr w:type="spellStart"/>
      <w:r w:rsidR="00393FC6" w:rsidRPr="00393FC6">
        <w:rPr>
          <w:sz w:val="22"/>
          <w:szCs w:val="22"/>
        </w:rPr>
        <w:t>AIIRA</w:t>
      </w:r>
      <w:r w:rsidR="00FD2E7B">
        <w:rPr>
          <w:sz w:val="22"/>
          <w:szCs w:val="22"/>
        </w:rPr>
        <w:t>s</w:t>
      </w:r>
      <w:proofErr w:type="spellEnd"/>
      <w:r w:rsidR="00393FC6" w:rsidRPr="00393FC6">
        <w:rPr>
          <w:sz w:val="22"/>
          <w:szCs w:val="22"/>
        </w:rPr>
        <w:t xml:space="preserve">) </w:t>
      </w:r>
      <w:r w:rsidR="0078754A" w:rsidRPr="00393FC6">
        <w:rPr>
          <w:sz w:val="22"/>
          <w:szCs w:val="22"/>
        </w:rPr>
        <w:t xml:space="preserve">w </w:t>
      </w:r>
      <w:r w:rsidR="0078754A" w:rsidRPr="00393FC6">
        <w:rPr>
          <w:color w:val="000000"/>
          <w:sz w:val="22"/>
          <w:szCs w:val="22"/>
        </w:rPr>
        <w:t>pierwszym</w:t>
      </w:r>
      <w:r w:rsidR="00556DD0" w:rsidRPr="00393FC6">
        <w:rPr>
          <w:color w:val="000000"/>
          <w:sz w:val="22"/>
          <w:szCs w:val="22"/>
        </w:rPr>
        <w:t xml:space="preserve"> trymestr</w:t>
      </w:r>
      <w:r w:rsidRPr="00393FC6">
        <w:rPr>
          <w:color w:val="000000"/>
          <w:sz w:val="22"/>
          <w:szCs w:val="22"/>
        </w:rPr>
        <w:t>ze</w:t>
      </w:r>
      <w:r w:rsidR="00556DD0" w:rsidRPr="00393FC6">
        <w:rPr>
          <w:color w:val="000000"/>
          <w:sz w:val="22"/>
          <w:szCs w:val="22"/>
        </w:rPr>
        <w:t xml:space="preserve"> ciąży (patrz punkt 4.4). </w:t>
      </w:r>
    </w:p>
    <w:p w14:paraId="6C25824E" w14:textId="77777777" w:rsidR="00556DD0" w:rsidRPr="00393FC6" w:rsidRDefault="00556DD0" w:rsidP="0037452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93FC6">
        <w:rPr>
          <w:color w:val="000000"/>
          <w:sz w:val="22"/>
          <w:szCs w:val="22"/>
        </w:rPr>
        <w:lastRenderedPageBreak/>
        <w:t xml:space="preserve">Stosowanie </w:t>
      </w:r>
      <w:r w:rsidR="00393FC6" w:rsidRPr="00393FC6">
        <w:rPr>
          <w:sz w:val="22"/>
          <w:szCs w:val="22"/>
        </w:rPr>
        <w:t xml:space="preserve">leków z grupy AIIRA </w:t>
      </w:r>
      <w:r w:rsidRPr="00393FC6">
        <w:rPr>
          <w:color w:val="000000"/>
          <w:sz w:val="22"/>
          <w:szCs w:val="22"/>
        </w:rPr>
        <w:t>jest przeciwwskazane w drugim i trzecim trymestrze ciąży (patrz punkt 4.3 i 4.4).</w:t>
      </w:r>
    </w:p>
    <w:p w14:paraId="7604EAAF" w14:textId="77777777" w:rsidR="00556DD0" w:rsidRPr="00393FC6" w:rsidRDefault="00556DD0" w:rsidP="00374521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5AC419F" w14:textId="77777777" w:rsidR="00BA38F6" w:rsidRPr="00393FC6" w:rsidRDefault="00BA38F6" w:rsidP="00374521">
      <w:pPr>
        <w:rPr>
          <w:sz w:val="22"/>
          <w:szCs w:val="22"/>
        </w:rPr>
      </w:pPr>
      <w:r w:rsidRPr="00393FC6">
        <w:rPr>
          <w:sz w:val="22"/>
          <w:szCs w:val="22"/>
        </w:rPr>
        <w:t>Dane epidemiologiczne odnoszące się do ryzyka działania teratogennego w przypadku narażenia na inhibitory ACE podczas pierwszego trymestru ciąży nie są rozstrzygające; jednakże nie można wykluczyć niewielkiego zwiększenia ryzyka. Chociaż brak kontrolowanych danych epidemiologicznych w odniesieniu do antagonistów receptora</w:t>
      </w:r>
      <w:r w:rsidR="0071168D">
        <w:rPr>
          <w:sz w:val="22"/>
          <w:szCs w:val="22"/>
        </w:rPr>
        <w:t xml:space="preserve"> </w:t>
      </w:r>
      <w:r w:rsidR="0071168D" w:rsidRPr="00C006D7">
        <w:rPr>
          <w:sz w:val="22"/>
          <w:szCs w:val="22"/>
        </w:rPr>
        <w:t>AT1 dla</w:t>
      </w:r>
      <w:r w:rsidRPr="00393FC6">
        <w:rPr>
          <w:sz w:val="22"/>
          <w:szCs w:val="22"/>
        </w:rPr>
        <w:t xml:space="preserve"> angiotensyny II (</w:t>
      </w:r>
      <w:proofErr w:type="spellStart"/>
      <w:r w:rsidRPr="00393FC6">
        <w:rPr>
          <w:sz w:val="22"/>
          <w:szCs w:val="22"/>
        </w:rPr>
        <w:t>AIIRAs</w:t>
      </w:r>
      <w:proofErr w:type="spellEnd"/>
      <w:r w:rsidRPr="00393FC6">
        <w:rPr>
          <w:sz w:val="22"/>
          <w:szCs w:val="22"/>
        </w:rPr>
        <w:t xml:space="preserve">), podobne ryzyko może dotyczyć tej grupy leków. Z wyjątkiem konieczności kontynuowania leczenia </w:t>
      </w:r>
      <w:proofErr w:type="spellStart"/>
      <w:r w:rsidRPr="00393FC6">
        <w:rPr>
          <w:sz w:val="22"/>
          <w:szCs w:val="22"/>
        </w:rPr>
        <w:t>AIIRA</w:t>
      </w:r>
      <w:r w:rsidR="0096290F" w:rsidRPr="00393FC6">
        <w:rPr>
          <w:sz w:val="22"/>
          <w:szCs w:val="22"/>
        </w:rPr>
        <w:t>s</w:t>
      </w:r>
      <w:proofErr w:type="spellEnd"/>
      <w:r w:rsidRPr="00393FC6">
        <w:rPr>
          <w:sz w:val="22"/>
          <w:szCs w:val="22"/>
        </w:rPr>
        <w:t xml:space="preserve">, u pacjentek planujących ciążę należy zastosować alternatywne leczenie </w:t>
      </w:r>
      <w:proofErr w:type="spellStart"/>
      <w:r w:rsidRPr="00393FC6">
        <w:rPr>
          <w:sz w:val="22"/>
          <w:szCs w:val="22"/>
        </w:rPr>
        <w:t>przeciwnadciśnieniowe</w:t>
      </w:r>
      <w:proofErr w:type="spellEnd"/>
      <w:r w:rsidRPr="00393FC6">
        <w:rPr>
          <w:sz w:val="22"/>
          <w:szCs w:val="22"/>
        </w:rPr>
        <w:t>, o ustalonym profilu bezpieczeństwa stosowania w ciąży. W przypadku stwierdzenia ciąży należy natychmiast przerwać podawanie produktu</w:t>
      </w:r>
      <w:r w:rsidR="0096290F" w:rsidRPr="00393FC6">
        <w:rPr>
          <w:color w:val="000000"/>
          <w:sz w:val="22"/>
          <w:szCs w:val="22"/>
        </w:rPr>
        <w:t xml:space="preserve"> </w:t>
      </w:r>
      <w:proofErr w:type="spellStart"/>
      <w:r w:rsidR="00EF7DC8" w:rsidRPr="00393FC6">
        <w:rPr>
          <w:color w:val="000000"/>
          <w:sz w:val="22"/>
          <w:szCs w:val="22"/>
        </w:rPr>
        <w:t>Presartan</w:t>
      </w:r>
      <w:proofErr w:type="spellEnd"/>
      <w:r w:rsidR="00EF7DC8" w:rsidRPr="00393FC6">
        <w:rPr>
          <w:color w:val="000000"/>
          <w:sz w:val="22"/>
          <w:szCs w:val="22"/>
        </w:rPr>
        <w:t xml:space="preserve"> H</w:t>
      </w:r>
      <w:r w:rsidRPr="00393FC6">
        <w:rPr>
          <w:sz w:val="22"/>
          <w:szCs w:val="22"/>
        </w:rPr>
        <w:t xml:space="preserve"> i, jeśli to wskazane, rozpocząć leczenie alternatywne. </w:t>
      </w:r>
    </w:p>
    <w:p w14:paraId="2C5E48F4" w14:textId="77777777" w:rsidR="00BA38F6" w:rsidRPr="00393FC6" w:rsidRDefault="00BA38F6" w:rsidP="00374521">
      <w:pPr>
        <w:rPr>
          <w:sz w:val="22"/>
          <w:szCs w:val="22"/>
        </w:rPr>
      </w:pPr>
      <w:r w:rsidRPr="00393FC6">
        <w:rPr>
          <w:sz w:val="22"/>
          <w:szCs w:val="22"/>
        </w:rPr>
        <w:t xml:space="preserve">Narażenie na </w:t>
      </w:r>
      <w:proofErr w:type="spellStart"/>
      <w:r w:rsidRPr="00393FC6">
        <w:rPr>
          <w:sz w:val="22"/>
          <w:szCs w:val="22"/>
        </w:rPr>
        <w:t>AIIRAs</w:t>
      </w:r>
      <w:proofErr w:type="spellEnd"/>
      <w:r w:rsidRPr="00393FC6">
        <w:rPr>
          <w:sz w:val="22"/>
          <w:szCs w:val="22"/>
        </w:rPr>
        <w:t xml:space="preserve"> w drugim i trzecim trymestrze ciąży powoduje toksyczne działanie na ludzki płód (pogorszenie czynności nerek, małowodzie, opóźnienie kostnienia czaszki) i noworodka (niewydolność nerek, niedociś</w:t>
      </w:r>
      <w:r w:rsidR="0096290F" w:rsidRPr="00393FC6">
        <w:rPr>
          <w:sz w:val="22"/>
          <w:szCs w:val="22"/>
        </w:rPr>
        <w:t>nienie tętnicze, hiperkaliemia)</w:t>
      </w:r>
      <w:r w:rsidRPr="00393FC6">
        <w:rPr>
          <w:sz w:val="22"/>
          <w:szCs w:val="22"/>
        </w:rPr>
        <w:t xml:space="preserve"> (</w:t>
      </w:r>
      <w:r w:rsidR="009D50BD">
        <w:rPr>
          <w:sz w:val="22"/>
          <w:szCs w:val="22"/>
        </w:rPr>
        <w:t>p</w:t>
      </w:r>
      <w:r w:rsidRPr="00393FC6">
        <w:rPr>
          <w:sz w:val="22"/>
          <w:szCs w:val="22"/>
        </w:rPr>
        <w:t>atrz także punkt 5.3)</w:t>
      </w:r>
      <w:r w:rsidR="0096290F" w:rsidRPr="00393FC6">
        <w:rPr>
          <w:sz w:val="22"/>
          <w:szCs w:val="22"/>
        </w:rPr>
        <w:t>.</w:t>
      </w:r>
    </w:p>
    <w:p w14:paraId="38218A77" w14:textId="77777777" w:rsidR="00BA38F6" w:rsidRPr="00393FC6" w:rsidRDefault="00BA38F6" w:rsidP="00374521">
      <w:pPr>
        <w:rPr>
          <w:sz w:val="22"/>
          <w:szCs w:val="22"/>
        </w:rPr>
      </w:pPr>
      <w:r w:rsidRPr="00393FC6">
        <w:rPr>
          <w:sz w:val="22"/>
          <w:szCs w:val="22"/>
        </w:rPr>
        <w:t xml:space="preserve">Jeśli narażenie na </w:t>
      </w:r>
      <w:proofErr w:type="spellStart"/>
      <w:r w:rsidRPr="00393FC6">
        <w:rPr>
          <w:sz w:val="22"/>
          <w:szCs w:val="22"/>
        </w:rPr>
        <w:t>AIIRAs</w:t>
      </w:r>
      <w:proofErr w:type="spellEnd"/>
      <w:r w:rsidRPr="00393FC6">
        <w:rPr>
          <w:sz w:val="22"/>
          <w:szCs w:val="22"/>
        </w:rPr>
        <w:t xml:space="preserve"> wystąpiło od drugiego trymestru ciąży zaleca się badanie ultrasonograficzne czynności nerek i czaszki.</w:t>
      </w:r>
    </w:p>
    <w:p w14:paraId="79C9B831" w14:textId="77777777" w:rsidR="00BA38F6" w:rsidRPr="00393FC6" w:rsidRDefault="008E1BD1" w:rsidP="00374521">
      <w:pPr>
        <w:rPr>
          <w:sz w:val="22"/>
          <w:szCs w:val="22"/>
        </w:rPr>
      </w:pPr>
      <w:r>
        <w:rPr>
          <w:sz w:val="22"/>
          <w:szCs w:val="22"/>
        </w:rPr>
        <w:t>Należy ściśle obserwować n</w:t>
      </w:r>
      <w:r w:rsidR="00051ED6">
        <w:rPr>
          <w:sz w:val="22"/>
          <w:szCs w:val="22"/>
        </w:rPr>
        <w:t>oworodki</w:t>
      </w:r>
      <w:r w:rsidR="00BA38F6" w:rsidRPr="00393FC6">
        <w:rPr>
          <w:sz w:val="22"/>
          <w:szCs w:val="22"/>
        </w:rPr>
        <w:t xml:space="preserve">, których matki przyjmowały </w:t>
      </w:r>
      <w:r w:rsidR="00393FC6" w:rsidRPr="00393FC6">
        <w:rPr>
          <w:sz w:val="22"/>
          <w:szCs w:val="22"/>
        </w:rPr>
        <w:t>leki z grupy AIIRA</w:t>
      </w:r>
      <w:r w:rsidR="00D93678">
        <w:rPr>
          <w:sz w:val="22"/>
          <w:szCs w:val="22"/>
        </w:rPr>
        <w:t xml:space="preserve"> </w:t>
      </w:r>
      <w:r>
        <w:rPr>
          <w:sz w:val="22"/>
          <w:szCs w:val="22"/>
        </w:rPr>
        <w:t>z powodu ryzyka wystąpienia u nich</w:t>
      </w:r>
      <w:r w:rsidR="00A24EA5" w:rsidRPr="00C006D7">
        <w:rPr>
          <w:sz w:val="22"/>
          <w:szCs w:val="22"/>
        </w:rPr>
        <w:t xml:space="preserve"> </w:t>
      </w:r>
      <w:r w:rsidR="00BA38F6" w:rsidRPr="00C006D7">
        <w:rPr>
          <w:sz w:val="22"/>
          <w:szCs w:val="22"/>
        </w:rPr>
        <w:t>niedociśnieni</w:t>
      </w:r>
      <w:r>
        <w:rPr>
          <w:sz w:val="22"/>
          <w:szCs w:val="22"/>
        </w:rPr>
        <w:t>a</w:t>
      </w:r>
      <w:r w:rsidR="00BA38F6" w:rsidRPr="00393FC6">
        <w:rPr>
          <w:sz w:val="22"/>
          <w:szCs w:val="22"/>
        </w:rPr>
        <w:t xml:space="preserve"> (patrz także punkt 4.3 i 4.4).</w:t>
      </w:r>
    </w:p>
    <w:p w14:paraId="4AAC1C26" w14:textId="77777777" w:rsidR="00BA38F6" w:rsidRPr="00374521" w:rsidRDefault="00BA38F6" w:rsidP="00374521">
      <w:pPr>
        <w:rPr>
          <w:sz w:val="22"/>
          <w:szCs w:val="22"/>
        </w:rPr>
      </w:pPr>
    </w:p>
    <w:p w14:paraId="47C0AA75" w14:textId="77777777" w:rsidR="002B5E67" w:rsidRPr="00374521" w:rsidRDefault="002B5E67" w:rsidP="00374521">
      <w:pPr>
        <w:rPr>
          <w:i/>
          <w:sz w:val="22"/>
          <w:szCs w:val="22"/>
        </w:rPr>
      </w:pPr>
      <w:proofErr w:type="spellStart"/>
      <w:r w:rsidRPr="00374521">
        <w:rPr>
          <w:i/>
          <w:sz w:val="22"/>
          <w:szCs w:val="22"/>
        </w:rPr>
        <w:t>Hydrochlorotiazyd</w:t>
      </w:r>
      <w:proofErr w:type="spellEnd"/>
      <w:r w:rsidRPr="00374521">
        <w:rPr>
          <w:i/>
          <w:sz w:val="22"/>
          <w:szCs w:val="22"/>
        </w:rPr>
        <w:t>:</w:t>
      </w:r>
    </w:p>
    <w:p w14:paraId="45581D60" w14:textId="77777777" w:rsidR="009A1352" w:rsidRPr="00374521" w:rsidRDefault="009A1352" w:rsidP="00374521">
      <w:pPr>
        <w:rPr>
          <w:sz w:val="22"/>
          <w:szCs w:val="22"/>
        </w:rPr>
      </w:pPr>
      <w:r w:rsidRPr="00374521">
        <w:rPr>
          <w:sz w:val="22"/>
          <w:szCs w:val="22"/>
        </w:rPr>
        <w:t xml:space="preserve">Doświadczenia ze stosowaniem </w:t>
      </w:r>
      <w:proofErr w:type="spellStart"/>
      <w:r w:rsidRPr="00374521">
        <w:rPr>
          <w:sz w:val="22"/>
          <w:szCs w:val="22"/>
        </w:rPr>
        <w:t>hydrochlorothiazydu</w:t>
      </w:r>
      <w:proofErr w:type="spellEnd"/>
      <w:r w:rsidRPr="00374521">
        <w:rPr>
          <w:sz w:val="22"/>
          <w:szCs w:val="22"/>
        </w:rPr>
        <w:t xml:space="preserve"> w ciąży, zwłaszcza w pierwszym trymestrze, są ograniczone. Dane z badań na zwierzętach są niewystarczające.</w:t>
      </w:r>
    </w:p>
    <w:p w14:paraId="606BC1AB" w14:textId="77777777" w:rsidR="008509EA" w:rsidRPr="00374521" w:rsidRDefault="0096290F" w:rsidP="00374521">
      <w:pPr>
        <w:rPr>
          <w:sz w:val="22"/>
          <w:szCs w:val="22"/>
        </w:rPr>
      </w:pPr>
      <w:proofErr w:type="spellStart"/>
      <w:r w:rsidRPr="00374521">
        <w:rPr>
          <w:sz w:val="22"/>
          <w:szCs w:val="22"/>
        </w:rPr>
        <w:t>Hydrochlorotiazyd</w:t>
      </w:r>
      <w:proofErr w:type="spellEnd"/>
      <w:r w:rsidRPr="00374521">
        <w:rPr>
          <w:sz w:val="22"/>
          <w:szCs w:val="22"/>
        </w:rPr>
        <w:t xml:space="preserve"> </w:t>
      </w:r>
      <w:r w:rsidR="009A1352" w:rsidRPr="00374521">
        <w:rPr>
          <w:sz w:val="22"/>
          <w:szCs w:val="22"/>
        </w:rPr>
        <w:t xml:space="preserve">przenika przez łożysko. Ze względu na mechanizm działania </w:t>
      </w:r>
      <w:proofErr w:type="spellStart"/>
      <w:r w:rsidR="009A1352" w:rsidRPr="00374521">
        <w:rPr>
          <w:sz w:val="22"/>
          <w:szCs w:val="22"/>
        </w:rPr>
        <w:t>hydrochlorotiazydu</w:t>
      </w:r>
      <w:proofErr w:type="spellEnd"/>
      <w:r w:rsidR="009A1352" w:rsidRPr="00374521">
        <w:rPr>
          <w:sz w:val="22"/>
          <w:szCs w:val="22"/>
        </w:rPr>
        <w:t>, jego stosowanie w drugim i trzecim trymestrze ciąży</w:t>
      </w:r>
      <w:r w:rsidR="00D122C8" w:rsidRPr="00374521">
        <w:rPr>
          <w:sz w:val="22"/>
          <w:szCs w:val="22"/>
        </w:rPr>
        <w:t xml:space="preserve"> </w:t>
      </w:r>
      <w:r w:rsidRPr="00374521">
        <w:rPr>
          <w:sz w:val="22"/>
          <w:szCs w:val="22"/>
        </w:rPr>
        <w:t xml:space="preserve">może zmniejszać </w:t>
      </w:r>
      <w:r w:rsidR="008509EA" w:rsidRPr="00374521">
        <w:rPr>
          <w:sz w:val="22"/>
          <w:szCs w:val="22"/>
        </w:rPr>
        <w:t>płodowo-</w:t>
      </w:r>
      <w:r w:rsidRPr="00374521">
        <w:rPr>
          <w:sz w:val="22"/>
          <w:szCs w:val="22"/>
        </w:rPr>
        <w:t>łożyskowy przepływ krwi</w:t>
      </w:r>
      <w:r w:rsidR="008509EA" w:rsidRPr="00374521">
        <w:rPr>
          <w:sz w:val="22"/>
          <w:szCs w:val="22"/>
        </w:rPr>
        <w:t xml:space="preserve"> i </w:t>
      </w:r>
      <w:r w:rsidRPr="00374521">
        <w:rPr>
          <w:sz w:val="22"/>
          <w:szCs w:val="22"/>
        </w:rPr>
        <w:t xml:space="preserve">powodować </w:t>
      </w:r>
      <w:r w:rsidR="008509EA" w:rsidRPr="00374521">
        <w:rPr>
          <w:sz w:val="22"/>
          <w:szCs w:val="22"/>
        </w:rPr>
        <w:t xml:space="preserve">niepożądane działania u płodu i noworodka, takie jak </w:t>
      </w:r>
      <w:r w:rsidRPr="00374521">
        <w:rPr>
          <w:sz w:val="22"/>
          <w:szCs w:val="22"/>
        </w:rPr>
        <w:t>zaburzenia el</w:t>
      </w:r>
      <w:r w:rsidR="00BE749A" w:rsidRPr="00374521">
        <w:rPr>
          <w:sz w:val="22"/>
          <w:szCs w:val="22"/>
        </w:rPr>
        <w:t>ektrolitowe</w:t>
      </w:r>
      <w:r w:rsidR="008509EA" w:rsidRPr="00374521">
        <w:rPr>
          <w:sz w:val="22"/>
          <w:szCs w:val="22"/>
        </w:rPr>
        <w:t xml:space="preserve">, </w:t>
      </w:r>
      <w:r w:rsidR="00BE749A" w:rsidRPr="00374521">
        <w:rPr>
          <w:sz w:val="22"/>
          <w:szCs w:val="22"/>
        </w:rPr>
        <w:t>małopłytkowoś</w:t>
      </w:r>
      <w:r w:rsidR="008509EA" w:rsidRPr="00374521">
        <w:rPr>
          <w:sz w:val="22"/>
          <w:szCs w:val="22"/>
        </w:rPr>
        <w:t>ć</w:t>
      </w:r>
      <w:r w:rsidR="00BE749A" w:rsidRPr="00374521">
        <w:rPr>
          <w:sz w:val="22"/>
          <w:szCs w:val="22"/>
        </w:rPr>
        <w:t xml:space="preserve"> oraz żółtaczk</w:t>
      </w:r>
      <w:r w:rsidR="008509EA" w:rsidRPr="00374521">
        <w:rPr>
          <w:sz w:val="22"/>
          <w:szCs w:val="22"/>
        </w:rPr>
        <w:t>ę.</w:t>
      </w:r>
      <w:r w:rsidR="00BE749A" w:rsidRPr="00374521">
        <w:rPr>
          <w:sz w:val="22"/>
          <w:szCs w:val="22"/>
        </w:rPr>
        <w:t xml:space="preserve"> </w:t>
      </w:r>
    </w:p>
    <w:p w14:paraId="20F19623" w14:textId="77777777" w:rsidR="008509EA" w:rsidRPr="00374521" w:rsidRDefault="008509EA" w:rsidP="00374521">
      <w:pPr>
        <w:rPr>
          <w:sz w:val="22"/>
          <w:szCs w:val="22"/>
        </w:rPr>
      </w:pPr>
      <w:proofErr w:type="spellStart"/>
      <w:r w:rsidRPr="00374521">
        <w:rPr>
          <w:sz w:val="22"/>
          <w:szCs w:val="22"/>
        </w:rPr>
        <w:t>Hydrochlorotiazydu</w:t>
      </w:r>
      <w:proofErr w:type="spellEnd"/>
      <w:r w:rsidRPr="00374521">
        <w:rPr>
          <w:sz w:val="22"/>
          <w:szCs w:val="22"/>
        </w:rPr>
        <w:t xml:space="preserve"> nie należy stosować w leczeniu obrzęków ciążowych, nadciśnienia tętniczego</w:t>
      </w:r>
      <w:r w:rsidR="00D122C8" w:rsidRPr="00374521">
        <w:rPr>
          <w:sz w:val="22"/>
          <w:szCs w:val="22"/>
        </w:rPr>
        <w:t xml:space="preserve"> indukowanego ciążą ani stanu </w:t>
      </w:r>
      <w:proofErr w:type="spellStart"/>
      <w:r w:rsidR="00D122C8" w:rsidRPr="00374521">
        <w:rPr>
          <w:sz w:val="22"/>
          <w:szCs w:val="22"/>
        </w:rPr>
        <w:t>przedrzucawkowego</w:t>
      </w:r>
      <w:proofErr w:type="spellEnd"/>
      <w:r w:rsidR="00D122C8" w:rsidRPr="00374521">
        <w:rPr>
          <w:sz w:val="22"/>
          <w:szCs w:val="22"/>
        </w:rPr>
        <w:t>, ze wzg</w:t>
      </w:r>
      <w:r w:rsidR="00CD509F" w:rsidRPr="00374521">
        <w:rPr>
          <w:sz w:val="22"/>
          <w:szCs w:val="22"/>
        </w:rPr>
        <w:t>lędu na ryzyko zmniejszenia ob</w:t>
      </w:r>
      <w:r w:rsidR="00D122C8" w:rsidRPr="00374521">
        <w:rPr>
          <w:sz w:val="22"/>
          <w:szCs w:val="22"/>
        </w:rPr>
        <w:t>jętości</w:t>
      </w:r>
      <w:r w:rsidRPr="00374521">
        <w:rPr>
          <w:sz w:val="22"/>
          <w:szCs w:val="22"/>
        </w:rPr>
        <w:t xml:space="preserve"> osocza i łożyskowego przepływu krwi, bez korzystnego wpływu na przebieg choroby.</w:t>
      </w:r>
    </w:p>
    <w:p w14:paraId="6F198E76" w14:textId="77777777" w:rsidR="00BA38F6" w:rsidRPr="00374521" w:rsidRDefault="008509EA" w:rsidP="00374521">
      <w:pPr>
        <w:rPr>
          <w:sz w:val="22"/>
          <w:szCs w:val="22"/>
        </w:rPr>
      </w:pPr>
      <w:proofErr w:type="spellStart"/>
      <w:r w:rsidRPr="00374521">
        <w:rPr>
          <w:sz w:val="22"/>
          <w:szCs w:val="22"/>
        </w:rPr>
        <w:t>Hydrochlorotiazydu</w:t>
      </w:r>
      <w:proofErr w:type="spellEnd"/>
      <w:r w:rsidRPr="00374521">
        <w:rPr>
          <w:sz w:val="22"/>
          <w:szCs w:val="22"/>
        </w:rPr>
        <w:t xml:space="preserve"> nie należy stosować w leczeniu pierwotnego nadciśnienia tętniczego u kobiet w ciąży z wyjątkiem rzadkich przypadków, gdy nie można zastosować alternatywnego leczenia </w:t>
      </w:r>
      <w:proofErr w:type="spellStart"/>
      <w:r w:rsidRPr="00374521">
        <w:rPr>
          <w:sz w:val="22"/>
          <w:szCs w:val="22"/>
        </w:rPr>
        <w:t>przeciwnadciśnieniowego</w:t>
      </w:r>
      <w:proofErr w:type="spellEnd"/>
      <w:r w:rsidRPr="00374521">
        <w:rPr>
          <w:sz w:val="22"/>
          <w:szCs w:val="22"/>
        </w:rPr>
        <w:t>.</w:t>
      </w:r>
    </w:p>
    <w:p w14:paraId="427B253A" w14:textId="77777777" w:rsidR="00BE749A" w:rsidRPr="00374521" w:rsidRDefault="00BE749A" w:rsidP="00374521">
      <w:pPr>
        <w:rPr>
          <w:sz w:val="22"/>
          <w:szCs w:val="22"/>
        </w:rPr>
      </w:pPr>
    </w:p>
    <w:p w14:paraId="094FEC54" w14:textId="77777777" w:rsidR="00BA38F6" w:rsidRPr="00374521" w:rsidRDefault="00FF54F1" w:rsidP="00374521">
      <w:pPr>
        <w:rPr>
          <w:sz w:val="22"/>
          <w:szCs w:val="22"/>
          <w:u w:val="single"/>
        </w:rPr>
      </w:pPr>
      <w:r w:rsidRPr="00374521">
        <w:rPr>
          <w:sz w:val="22"/>
          <w:szCs w:val="22"/>
          <w:u w:val="single"/>
        </w:rPr>
        <w:t>Karmienie piersią</w:t>
      </w:r>
    </w:p>
    <w:p w14:paraId="5A2A0637" w14:textId="77777777" w:rsidR="002B5E67" w:rsidRPr="00171B67" w:rsidRDefault="002B5E67" w:rsidP="00171B67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Antagoniści receptora</w:t>
      </w:r>
      <w:r w:rsidR="00B27155">
        <w:rPr>
          <w:i/>
          <w:sz w:val="22"/>
          <w:szCs w:val="22"/>
        </w:rPr>
        <w:t xml:space="preserve"> </w:t>
      </w:r>
      <w:r w:rsidR="00B27155" w:rsidRPr="00C006D7">
        <w:rPr>
          <w:i/>
          <w:sz w:val="22"/>
          <w:szCs w:val="22"/>
        </w:rPr>
        <w:t>AT1 dla</w:t>
      </w:r>
      <w:r w:rsidRPr="00374521">
        <w:rPr>
          <w:i/>
          <w:sz w:val="22"/>
          <w:szCs w:val="22"/>
        </w:rPr>
        <w:t xml:space="preserve"> angiotensyny II (</w:t>
      </w:r>
      <w:proofErr w:type="spellStart"/>
      <w:r w:rsidRPr="00374521">
        <w:rPr>
          <w:i/>
          <w:sz w:val="22"/>
          <w:szCs w:val="22"/>
        </w:rPr>
        <w:t>AIIRAs</w:t>
      </w:r>
      <w:proofErr w:type="spellEnd"/>
      <w:r w:rsidRPr="00374521">
        <w:rPr>
          <w:i/>
          <w:sz w:val="22"/>
          <w:szCs w:val="22"/>
        </w:rPr>
        <w:t>):</w:t>
      </w:r>
    </w:p>
    <w:p w14:paraId="193D528F" w14:textId="77777777" w:rsidR="009122A1" w:rsidRPr="00374521" w:rsidRDefault="009122A1" w:rsidP="00374521">
      <w:pPr>
        <w:rPr>
          <w:sz w:val="22"/>
          <w:szCs w:val="22"/>
        </w:rPr>
      </w:pPr>
      <w:r w:rsidRPr="00374521">
        <w:rPr>
          <w:sz w:val="22"/>
          <w:szCs w:val="22"/>
        </w:rPr>
        <w:t xml:space="preserve">Ze względu na brak danych dotyczących stosowania produktu leczniczego </w:t>
      </w:r>
      <w:proofErr w:type="spellStart"/>
      <w:r w:rsidRPr="00374521">
        <w:rPr>
          <w:sz w:val="22"/>
          <w:szCs w:val="22"/>
        </w:rPr>
        <w:t>Presartan</w:t>
      </w:r>
      <w:proofErr w:type="spellEnd"/>
      <w:r w:rsidRPr="00374521">
        <w:rPr>
          <w:sz w:val="22"/>
          <w:szCs w:val="22"/>
        </w:rPr>
        <w:t xml:space="preserve"> H podczas karmienia piersią, nie zaleca się jego stosowania w tym okresie. Wskazana jest zmiana leczenia na alternatywne</w:t>
      </w:r>
      <w:r w:rsidR="0076224F">
        <w:rPr>
          <w:sz w:val="22"/>
          <w:szCs w:val="22"/>
        </w:rPr>
        <w:t>,</w:t>
      </w:r>
      <w:r w:rsidRPr="00374521">
        <w:rPr>
          <w:sz w:val="22"/>
          <w:szCs w:val="22"/>
        </w:rPr>
        <w:t xml:space="preserve"> o lepiej ustalonym profilu bezpieczeństwa podczas karmienia piersią, szczególnie podczas karmienia noworodków lub wcześniaków.</w:t>
      </w:r>
    </w:p>
    <w:p w14:paraId="609504F9" w14:textId="77777777" w:rsidR="009122A1" w:rsidRPr="00374521" w:rsidRDefault="009122A1" w:rsidP="00374521">
      <w:pPr>
        <w:rPr>
          <w:sz w:val="22"/>
          <w:szCs w:val="22"/>
        </w:rPr>
      </w:pPr>
    </w:p>
    <w:p w14:paraId="4FECBA2B" w14:textId="77777777" w:rsidR="009122A1" w:rsidRPr="001C3B0A" w:rsidRDefault="009122A1" w:rsidP="00374521">
      <w:pPr>
        <w:rPr>
          <w:i/>
          <w:sz w:val="22"/>
          <w:szCs w:val="22"/>
        </w:rPr>
      </w:pPr>
      <w:proofErr w:type="spellStart"/>
      <w:r w:rsidRPr="001C3B0A">
        <w:rPr>
          <w:i/>
          <w:sz w:val="22"/>
          <w:szCs w:val="22"/>
        </w:rPr>
        <w:t>Hydrochlorotiazyd</w:t>
      </w:r>
      <w:proofErr w:type="spellEnd"/>
    </w:p>
    <w:p w14:paraId="47AEEB2C" w14:textId="77777777" w:rsidR="00BA38F6" w:rsidRPr="00374521" w:rsidRDefault="009122A1" w:rsidP="00374521">
      <w:pPr>
        <w:rPr>
          <w:sz w:val="22"/>
          <w:szCs w:val="22"/>
        </w:rPr>
      </w:pPr>
      <w:proofErr w:type="spellStart"/>
      <w:r w:rsidRPr="00374521">
        <w:rPr>
          <w:sz w:val="22"/>
          <w:szCs w:val="22"/>
        </w:rPr>
        <w:t>Hydrochlorotiazyd</w:t>
      </w:r>
      <w:proofErr w:type="spellEnd"/>
      <w:r w:rsidR="00BE749A" w:rsidRPr="00374521">
        <w:rPr>
          <w:sz w:val="22"/>
          <w:szCs w:val="22"/>
        </w:rPr>
        <w:t xml:space="preserve"> przenika</w:t>
      </w:r>
      <w:r w:rsidRPr="00374521">
        <w:rPr>
          <w:sz w:val="22"/>
          <w:szCs w:val="22"/>
        </w:rPr>
        <w:t xml:space="preserve"> w niewielkich ilościach</w:t>
      </w:r>
      <w:r w:rsidR="00BE749A" w:rsidRPr="00374521">
        <w:rPr>
          <w:sz w:val="22"/>
          <w:szCs w:val="22"/>
        </w:rPr>
        <w:t xml:space="preserve"> do mleka kobiet karmiących piersią</w:t>
      </w:r>
      <w:r w:rsidR="00BA38F6" w:rsidRPr="00374521">
        <w:rPr>
          <w:sz w:val="22"/>
          <w:szCs w:val="22"/>
        </w:rPr>
        <w:t>.</w:t>
      </w:r>
      <w:r w:rsidRPr="00374521">
        <w:rPr>
          <w:sz w:val="22"/>
          <w:szCs w:val="22"/>
        </w:rPr>
        <w:t xml:space="preserve"> </w:t>
      </w:r>
      <w:proofErr w:type="spellStart"/>
      <w:r w:rsidRPr="00374521">
        <w:rPr>
          <w:sz w:val="22"/>
          <w:szCs w:val="22"/>
        </w:rPr>
        <w:t>Tiazydowe</w:t>
      </w:r>
      <w:proofErr w:type="spellEnd"/>
      <w:r w:rsidRPr="00374521">
        <w:rPr>
          <w:sz w:val="22"/>
          <w:szCs w:val="22"/>
        </w:rPr>
        <w:t xml:space="preserve"> leki moczopędne </w:t>
      </w:r>
      <w:r w:rsidR="00BC7528">
        <w:rPr>
          <w:sz w:val="22"/>
          <w:szCs w:val="22"/>
        </w:rPr>
        <w:t>podawane</w:t>
      </w:r>
      <w:r w:rsidR="00BC7528" w:rsidRPr="00374521">
        <w:rPr>
          <w:sz w:val="22"/>
          <w:szCs w:val="22"/>
        </w:rPr>
        <w:t xml:space="preserve"> </w:t>
      </w:r>
      <w:r w:rsidRPr="00374521">
        <w:rPr>
          <w:sz w:val="22"/>
          <w:szCs w:val="22"/>
        </w:rPr>
        <w:t>w dużych dawkach, powodując</w:t>
      </w:r>
      <w:r w:rsidR="00BC7528">
        <w:rPr>
          <w:sz w:val="22"/>
          <w:szCs w:val="22"/>
        </w:rPr>
        <w:t>ych</w:t>
      </w:r>
      <w:r w:rsidRPr="00374521">
        <w:rPr>
          <w:sz w:val="22"/>
          <w:szCs w:val="22"/>
        </w:rPr>
        <w:t xml:space="preserve"> </w:t>
      </w:r>
      <w:r w:rsidR="00BC7528">
        <w:rPr>
          <w:sz w:val="22"/>
          <w:szCs w:val="22"/>
        </w:rPr>
        <w:t xml:space="preserve">nasiloną </w:t>
      </w:r>
      <w:r w:rsidRPr="00374521">
        <w:rPr>
          <w:sz w:val="22"/>
          <w:szCs w:val="22"/>
        </w:rPr>
        <w:t>diurezę, mogą hamować laktację.</w:t>
      </w:r>
      <w:r w:rsidR="00BA38F6" w:rsidRPr="00374521">
        <w:rPr>
          <w:sz w:val="22"/>
          <w:szCs w:val="22"/>
        </w:rPr>
        <w:t xml:space="preserve"> </w:t>
      </w:r>
      <w:r w:rsidR="00BC7528">
        <w:rPr>
          <w:sz w:val="22"/>
          <w:szCs w:val="22"/>
        </w:rPr>
        <w:t xml:space="preserve">Nie zaleca się stosowania </w:t>
      </w:r>
      <w:r w:rsidRPr="00374521">
        <w:rPr>
          <w:sz w:val="22"/>
          <w:szCs w:val="22"/>
        </w:rPr>
        <w:t xml:space="preserve">produktu </w:t>
      </w:r>
      <w:proofErr w:type="spellStart"/>
      <w:r w:rsidRPr="00374521">
        <w:rPr>
          <w:sz w:val="22"/>
          <w:szCs w:val="22"/>
        </w:rPr>
        <w:t>Presartan</w:t>
      </w:r>
      <w:proofErr w:type="spellEnd"/>
      <w:r w:rsidRPr="00374521">
        <w:rPr>
          <w:sz w:val="22"/>
          <w:szCs w:val="22"/>
        </w:rPr>
        <w:t xml:space="preserve"> H w okres</w:t>
      </w:r>
      <w:r w:rsidR="001504C8" w:rsidRPr="00374521">
        <w:rPr>
          <w:sz w:val="22"/>
          <w:szCs w:val="22"/>
        </w:rPr>
        <w:t xml:space="preserve">ie karmienia piersią. Jeśli produkt </w:t>
      </w:r>
      <w:proofErr w:type="spellStart"/>
      <w:r w:rsidR="001504C8" w:rsidRPr="00374521">
        <w:rPr>
          <w:sz w:val="22"/>
          <w:szCs w:val="22"/>
        </w:rPr>
        <w:t>Presartan</w:t>
      </w:r>
      <w:proofErr w:type="spellEnd"/>
      <w:r w:rsidR="001504C8" w:rsidRPr="00374521">
        <w:rPr>
          <w:sz w:val="22"/>
          <w:szCs w:val="22"/>
        </w:rPr>
        <w:t xml:space="preserve"> H jest przyjmowany w okresie karmienia piersią, to </w:t>
      </w:r>
      <w:r w:rsidR="00BC7528">
        <w:rPr>
          <w:sz w:val="22"/>
          <w:szCs w:val="22"/>
        </w:rPr>
        <w:t xml:space="preserve">należy </w:t>
      </w:r>
      <w:r w:rsidR="001504C8" w:rsidRPr="00374521">
        <w:rPr>
          <w:sz w:val="22"/>
          <w:szCs w:val="22"/>
        </w:rPr>
        <w:t>stosowa</w:t>
      </w:r>
      <w:r w:rsidR="00BC7528">
        <w:rPr>
          <w:sz w:val="22"/>
          <w:szCs w:val="22"/>
        </w:rPr>
        <w:t>ć jak najmniejsze</w:t>
      </w:r>
      <w:r w:rsidR="001504C8" w:rsidRPr="00374521">
        <w:rPr>
          <w:sz w:val="22"/>
          <w:szCs w:val="22"/>
        </w:rPr>
        <w:t xml:space="preserve"> dawki</w:t>
      </w:r>
      <w:r w:rsidR="009D50BD">
        <w:rPr>
          <w:sz w:val="22"/>
          <w:szCs w:val="22"/>
        </w:rPr>
        <w:t>.</w:t>
      </w:r>
      <w:r w:rsidR="00BE749A" w:rsidRPr="00374521">
        <w:rPr>
          <w:sz w:val="22"/>
          <w:szCs w:val="22"/>
        </w:rPr>
        <w:t xml:space="preserve"> </w:t>
      </w:r>
    </w:p>
    <w:p w14:paraId="1C80D1E0" w14:textId="77777777" w:rsidR="0074625D" w:rsidRPr="00374521" w:rsidRDefault="0074625D" w:rsidP="00374521">
      <w:pPr>
        <w:pStyle w:val="Tytu"/>
        <w:jc w:val="left"/>
        <w:rPr>
          <w:b w:val="0"/>
          <w:bCs/>
          <w:sz w:val="22"/>
          <w:szCs w:val="22"/>
        </w:rPr>
      </w:pPr>
    </w:p>
    <w:p w14:paraId="15003E84" w14:textId="77777777" w:rsidR="00556DD0" w:rsidRPr="00374521" w:rsidRDefault="00E33426" w:rsidP="00374521">
      <w:pPr>
        <w:tabs>
          <w:tab w:val="left" w:pos="540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374521">
        <w:rPr>
          <w:b/>
          <w:sz w:val="22"/>
          <w:szCs w:val="22"/>
        </w:rPr>
        <w:t>4.7</w:t>
      </w:r>
      <w:r w:rsidRPr="00374521">
        <w:rPr>
          <w:b/>
          <w:sz w:val="22"/>
          <w:szCs w:val="22"/>
        </w:rPr>
        <w:tab/>
        <w:t>W</w:t>
      </w:r>
      <w:r w:rsidR="00556DD0" w:rsidRPr="00374521">
        <w:rPr>
          <w:b/>
          <w:bCs/>
          <w:sz w:val="22"/>
          <w:szCs w:val="22"/>
        </w:rPr>
        <w:t xml:space="preserve">pływ na zdolność prowadzenia pojazdów i obsługiwania </w:t>
      </w:r>
      <w:r w:rsidR="00D234F1" w:rsidRPr="00374521">
        <w:rPr>
          <w:b/>
          <w:bCs/>
          <w:sz w:val="22"/>
          <w:szCs w:val="22"/>
        </w:rPr>
        <w:t>maszyn</w:t>
      </w:r>
    </w:p>
    <w:p w14:paraId="456B1403" w14:textId="77777777" w:rsidR="00556DD0" w:rsidRPr="00374521" w:rsidRDefault="00556DD0" w:rsidP="00374521">
      <w:pPr>
        <w:rPr>
          <w:b/>
          <w:bCs/>
          <w:sz w:val="22"/>
          <w:szCs w:val="22"/>
        </w:rPr>
      </w:pPr>
    </w:p>
    <w:p w14:paraId="37EB8A90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 xml:space="preserve">Nie przeprowadzono badań dotyczących wpływu produktu na zdolność prowadzenia pojazdów mechanicznych i obsługiwania urządzeń mechanicznych w ruchu. Jednakże podczas prowadzenia pojazdów lub obsługiwania maszyn należy pamiętać o możliwości wystąpienia zawrotów głowy lub senności w trakcie leczenia </w:t>
      </w:r>
      <w:proofErr w:type="spellStart"/>
      <w:r w:rsidRPr="00374521">
        <w:rPr>
          <w:sz w:val="22"/>
          <w:szCs w:val="22"/>
        </w:rPr>
        <w:t>przeciwnadciśnieniowego</w:t>
      </w:r>
      <w:proofErr w:type="spellEnd"/>
      <w:r w:rsidRPr="00374521">
        <w:rPr>
          <w:sz w:val="22"/>
          <w:szCs w:val="22"/>
        </w:rPr>
        <w:t>, zwłaszcza na początku leczenia lub po</w:t>
      </w:r>
      <w:r w:rsidR="0025673F" w:rsidRPr="00374521">
        <w:rPr>
          <w:sz w:val="22"/>
          <w:szCs w:val="22"/>
        </w:rPr>
        <w:t xml:space="preserve"> </w:t>
      </w:r>
      <w:r w:rsidRPr="00374521">
        <w:rPr>
          <w:sz w:val="22"/>
          <w:szCs w:val="22"/>
        </w:rPr>
        <w:t>zwiększeniu dawki.</w:t>
      </w:r>
    </w:p>
    <w:p w14:paraId="622F7720" w14:textId="77777777" w:rsidR="0074625D" w:rsidRPr="00374521" w:rsidRDefault="0074625D" w:rsidP="00374521">
      <w:pPr>
        <w:rPr>
          <w:bCs/>
          <w:sz w:val="22"/>
          <w:szCs w:val="22"/>
        </w:rPr>
      </w:pPr>
    </w:p>
    <w:p w14:paraId="51F9E509" w14:textId="77777777" w:rsidR="00556DD0" w:rsidRPr="00374521" w:rsidRDefault="00E33426" w:rsidP="00374521">
      <w:pPr>
        <w:tabs>
          <w:tab w:val="left" w:pos="540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374521">
        <w:rPr>
          <w:b/>
          <w:sz w:val="22"/>
          <w:szCs w:val="22"/>
        </w:rPr>
        <w:lastRenderedPageBreak/>
        <w:t>4.8</w:t>
      </w:r>
      <w:r w:rsidRPr="00374521">
        <w:rPr>
          <w:b/>
          <w:sz w:val="22"/>
          <w:szCs w:val="22"/>
        </w:rPr>
        <w:tab/>
      </w:r>
      <w:r w:rsidR="00556DD0" w:rsidRPr="00374521">
        <w:rPr>
          <w:b/>
          <w:bCs/>
          <w:sz w:val="22"/>
          <w:szCs w:val="22"/>
        </w:rPr>
        <w:t>Działania niepożądane</w:t>
      </w:r>
    </w:p>
    <w:p w14:paraId="7AD45F03" w14:textId="77777777" w:rsidR="00556DD0" w:rsidRPr="00374521" w:rsidRDefault="00556DD0" w:rsidP="00374521">
      <w:pPr>
        <w:rPr>
          <w:bCs/>
          <w:sz w:val="22"/>
          <w:szCs w:val="22"/>
        </w:rPr>
      </w:pPr>
    </w:p>
    <w:p w14:paraId="404DE0A3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bCs/>
          <w:sz w:val="22"/>
          <w:szCs w:val="22"/>
        </w:rPr>
        <w:t xml:space="preserve">Działania niepożądane </w:t>
      </w:r>
      <w:r w:rsidR="00657B24" w:rsidRPr="00374521">
        <w:rPr>
          <w:bCs/>
          <w:sz w:val="22"/>
          <w:szCs w:val="22"/>
        </w:rPr>
        <w:t xml:space="preserve">przedstawiono </w:t>
      </w:r>
      <w:r w:rsidRPr="00374521">
        <w:rPr>
          <w:bCs/>
          <w:sz w:val="22"/>
          <w:szCs w:val="22"/>
        </w:rPr>
        <w:t xml:space="preserve">poniżej </w:t>
      </w:r>
      <w:r w:rsidR="00657B24" w:rsidRPr="00374521">
        <w:rPr>
          <w:bCs/>
          <w:sz w:val="22"/>
          <w:szCs w:val="22"/>
        </w:rPr>
        <w:t xml:space="preserve">zgodnie z klasyfikacją układowo – narządową i </w:t>
      </w:r>
      <w:r w:rsidRPr="00374521">
        <w:rPr>
          <w:sz w:val="22"/>
          <w:szCs w:val="22"/>
        </w:rPr>
        <w:t>następując</w:t>
      </w:r>
      <w:r w:rsidR="00657B24" w:rsidRPr="00374521">
        <w:rPr>
          <w:sz w:val="22"/>
          <w:szCs w:val="22"/>
        </w:rPr>
        <w:t>ą częstością występowania</w:t>
      </w:r>
      <w:r w:rsidRPr="00374521">
        <w:rPr>
          <w:sz w:val="22"/>
          <w:szCs w:val="22"/>
        </w:rPr>
        <w:t>:</w:t>
      </w:r>
    </w:p>
    <w:p w14:paraId="06AFB272" w14:textId="77777777" w:rsidR="00556DD0" w:rsidRPr="00374521" w:rsidRDefault="00556DD0" w:rsidP="00374521">
      <w:pPr>
        <w:tabs>
          <w:tab w:val="left" w:pos="1440"/>
        </w:tabs>
        <w:rPr>
          <w:rFonts w:eastAsia="Arial Unicode MS"/>
          <w:sz w:val="22"/>
          <w:szCs w:val="22"/>
        </w:rPr>
      </w:pPr>
    </w:p>
    <w:p w14:paraId="1D5D821A" w14:textId="77777777" w:rsidR="00556DD0" w:rsidRPr="00374521" w:rsidRDefault="00556DD0" w:rsidP="00374521">
      <w:pPr>
        <w:tabs>
          <w:tab w:val="left" w:pos="1440"/>
        </w:tabs>
        <w:rPr>
          <w:sz w:val="22"/>
          <w:szCs w:val="22"/>
        </w:rPr>
      </w:pPr>
      <w:r w:rsidRPr="00374521">
        <w:rPr>
          <w:rFonts w:eastAsia="Arial Unicode MS"/>
          <w:sz w:val="22"/>
          <w:szCs w:val="22"/>
        </w:rPr>
        <w:t>Bardzo często</w:t>
      </w:r>
      <w:r w:rsidRPr="00374521">
        <w:rPr>
          <w:rFonts w:eastAsia="Arial Unicode MS"/>
          <w:sz w:val="22"/>
          <w:szCs w:val="22"/>
        </w:rPr>
        <w:tab/>
      </w:r>
      <w:r w:rsidRPr="00374521">
        <w:rPr>
          <w:rFonts w:eastAsia="Arial Unicode MS"/>
          <w:sz w:val="22"/>
          <w:szCs w:val="22"/>
        </w:rPr>
        <w:sym w:font="Symbol" w:char="F0B3"/>
      </w:r>
      <w:r w:rsidRPr="00374521">
        <w:rPr>
          <w:sz w:val="22"/>
          <w:szCs w:val="22"/>
        </w:rPr>
        <w:t xml:space="preserve"> 1/10</w:t>
      </w:r>
    </w:p>
    <w:p w14:paraId="2754EC40" w14:textId="77777777" w:rsidR="00556DD0" w:rsidRPr="00374521" w:rsidRDefault="00556DD0" w:rsidP="00374521">
      <w:pPr>
        <w:tabs>
          <w:tab w:val="left" w:pos="1440"/>
        </w:tabs>
        <w:rPr>
          <w:rFonts w:eastAsia="Arial Unicode MS"/>
          <w:sz w:val="22"/>
          <w:szCs w:val="22"/>
        </w:rPr>
      </w:pPr>
      <w:r w:rsidRPr="00374521">
        <w:rPr>
          <w:rFonts w:eastAsia="Arial Unicode MS"/>
          <w:sz w:val="22"/>
          <w:szCs w:val="22"/>
        </w:rPr>
        <w:t>Często</w:t>
      </w:r>
      <w:r w:rsidRPr="00374521">
        <w:rPr>
          <w:rFonts w:eastAsia="Arial Unicode MS"/>
          <w:sz w:val="22"/>
          <w:szCs w:val="22"/>
        </w:rPr>
        <w:tab/>
        <w:t>≥ 1/100, &lt; 1/10</w:t>
      </w:r>
    </w:p>
    <w:p w14:paraId="7FF80DB1" w14:textId="77777777" w:rsidR="00556DD0" w:rsidRPr="00374521" w:rsidRDefault="00556DD0" w:rsidP="00374521">
      <w:pPr>
        <w:tabs>
          <w:tab w:val="left" w:pos="1440"/>
        </w:tabs>
        <w:rPr>
          <w:rFonts w:eastAsia="Arial Unicode MS"/>
          <w:sz w:val="22"/>
          <w:szCs w:val="22"/>
        </w:rPr>
      </w:pPr>
      <w:r w:rsidRPr="00374521">
        <w:rPr>
          <w:rFonts w:eastAsia="Arial Unicode MS"/>
          <w:sz w:val="22"/>
          <w:szCs w:val="22"/>
        </w:rPr>
        <w:t xml:space="preserve">Niezbyt często </w:t>
      </w:r>
      <w:r w:rsidRPr="00374521">
        <w:rPr>
          <w:rFonts w:eastAsia="Arial Unicode MS"/>
          <w:sz w:val="22"/>
          <w:szCs w:val="22"/>
        </w:rPr>
        <w:tab/>
        <w:t>≥ 1/1</w:t>
      </w:r>
      <w:r w:rsidR="00657B24" w:rsidRPr="00374521">
        <w:rPr>
          <w:rFonts w:eastAsia="Arial Unicode MS"/>
          <w:sz w:val="22"/>
          <w:szCs w:val="22"/>
        </w:rPr>
        <w:t xml:space="preserve"> </w:t>
      </w:r>
      <w:r w:rsidRPr="00374521">
        <w:rPr>
          <w:rFonts w:eastAsia="Arial Unicode MS"/>
          <w:sz w:val="22"/>
          <w:szCs w:val="22"/>
        </w:rPr>
        <w:t xml:space="preserve">000, </w:t>
      </w:r>
      <w:r w:rsidR="00657B24" w:rsidRPr="00374521">
        <w:rPr>
          <w:rFonts w:eastAsia="Arial Unicode MS"/>
          <w:sz w:val="22"/>
          <w:szCs w:val="22"/>
        </w:rPr>
        <w:t xml:space="preserve">&lt; </w:t>
      </w:r>
      <w:r w:rsidRPr="00374521">
        <w:rPr>
          <w:rFonts w:eastAsia="Arial Unicode MS"/>
          <w:sz w:val="22"/>
          <w:szCs w:val="22"/>
        </w:rPr>
        <w:t>1/100</w:t>
      </w:r>
    </w:p>
    <w:p w14:paraId="6A323336" w14:textId="77777777" w:rsidR="00556DD0" w:rsidRPr="00374521" w:rsidRDefault="00556DD0" w:rsidP="00374521">
      <w:pPr>
        <w:tabs>
          <w:tab w:val="left" w:pos="1440"/>
        </w:tabs>
        <w:rPr>
          <w:rFonts w:eastAsia="Arial Unicode MS"/>
          <w:sz w:val="22"/>
          <w:szCs w:val="22"/>
        </w:rPr>
      </w:pPr>
      <w:r w:rsidRPr="00374521">
        <w:rPr>
          <w:rFonts w:eastAsia="Arial Unicode MS"/>
          <w:sz w:val="22"/>
          <w:szCs w:val="22"/>
        </w:rPr>
        <w:t>Rzadko</w:t>
      </w:r>
      <w:r w:rsidRPr="00374521">
        <w:rPr>
          <w:rFonts w:eastAsia="Arial Unicode MS"/>
          <w:sz w:val="22"/>
          <w:szCs w:val="22"/>
        </w:rPr>
        <w:tab/>
        <w:t>≥ 1/10</w:t>
      </w:r>
      <w:r w:rsidR="00657B24" w:rsidRPr="00374521">
        <w:rPr>
          <w:rFonts w:eastAsia="Arial Unicode MS"/>
          <w:sz w:val="22"/>
          <w:szCs w:val="22"/>
        </w:rPr>
        <w:t xml:space="preserve"> </w:t>
      </w:r>
      <w:r w:rsidRPr="00374521">
        <w:rPr>
          <w:rFonts w:eastAsia="Arial Unicode MS"/>
          <w:sz w:val="22"/>
          <w:szCs w:val="22"/>
        </w:rPr>
        <w:t xml:space="preserve">000, </w:t>
      </w:r>
      <w:r w:rsidR="00657B24" w:rsidRPr="00374521">
        <w:rPr>
          <w:rFonts w:eastAsia="Arial Unicode MS"/>
          <w:sz w:val="22"/>
          <w:szCs w:val="22"/>
        </w:rPr>
        <w:t xml:space="preserve">&lt; </w:t>
      </w:r>
      <w:r w:rsidRPr="00374521">
        <w:rPr>
          <w:rFonts w:eastAsia="Arial Unicode MS"/>
          <w:sz w:val="22"/>
          <w:szCs w:val="22"/>
        </w:rPr>
        <w:t>1/1</w:t>
      </w:r>
      <w:r w:rsidR="00657B24" w:rsidRPr="00374521">
        <w:rPr>
          <w:rFonts w:eastAsia="Arial Unicode MS"/>
          <w:sz w:val="22"/>
          <w:szCs w:val="22"/>
        </w:rPr>
        <w:t xml:space="preserve"> </w:t>
      </w:r>
      <w:r w:rsidRPr="00374521">
        <w:rPr>
          <w:rFonts w:eastAsia="Arial Unicode MS"/>
          <w:sz w:val="22"/>
          <w:szCs w:val="22"/>
        </w:rPr>
        <w:t>000</w:t>
      </w:r>
    </w:p>
    <w:p w14:paraId="22E39ED2" w14:textId="77777777" w:rsidR="00556DD0" w:rsidRPr="00374521" w:rsidRDefault="00556DD0" w:rsidP="00374521">
      <w:pPr>
        <w:tabs>
          <w:tab w:val="left" w:pos="1440"/>
        </w:tabs>
        <w:rPr>
          <w:rFonts w:eastAsia="Arial Unicode MS"/>
          <w:sz w:val="22"/>
          <w:szCs w:val="22"/>
        </w:rPr>
      </w:pPr>
      <w:r w:rsidRPr="00374521">
        <w:rPr>
          <w:rFonts w:eastAsia="Arial Unicode MS"/>
          <w:sz w:val="22"/>
          <w:szCs w:val="22"/>
        </w:rPr>
        <w:t>Bardzo rzadko</w:t>
      </w:r>
      <w:r w:rsidRPr="00374521">
        <w:rPr>
          <w:rFonts w:eastAsia="Arial Unicode MS"/>
          <w:sz w:val="22"/>
          <w:szCs w:val="22"/>
        </w:rPr>
        <w:tab/>
      </w:r>
      <w:r w:rsidR="00657B24" w:rsidRPr="00374521">
        <w:rPr>
          <w:rFonts w:eastAsia="Arial Unicode MS"/>
          <w:sz w:val="22"/>
          <w:szCs w:val="22"/>
        </w:rPr>
        <w:t xml:space="preserve">&lt; </w:t>
      </w:r>
      <w:r w:rsidRPr="00374521">
        <w:rPr>
          <w:rFonts w:eastAsia="Arial Unicode MS"/>
          <w:sz w:val="22"/>
          <w:szCs w:val="22"/>
        </w:rPr>
        <w:t>1/10</w:t>
      </w:r>
      <w:r w:rsidR="00657B24" w:rsidRPr="00374521">
        <w:rPr>
          <w:rFonts w:eastAsia="Arial Unicode MS"/>
          <w:sz w:val="22"/>
          <w:szCs w:val="22"/>
        </w:rPr>
        <w:t xml:space="preserve"> </w:t>
      </w:r>
      <w:r w:rsidRPr="00374521">
        <w:rPr>
          <w:rFonts w:eastAsia="Arial Unicode MS"/>
          <w:sz w:val="22"/>
          <w:szCs w:val="22"/>
        </w:rPr>
        <w:t>000</w:t>
      </w:r>
    </w:p>
    <w:p w14:paraId="1150AFF7" w14:textId="77777777" w:rsidR="00556DD0" w:rsidRPr="00374521" w:rsidRDefault="00657B24" w:rsidP="00374521">
      <w:pPr>
        <w:tabs>
          <w:tab w:val="left" w:pos="1440"/>
        </w:tabs>
        <w:rPr>
          <w:rFonts w:eastAsia="Arial Unicode MS"/>
          <w:sz w:val="22"/>
          <w:szCs w:val="22"/>
        </w:rPr>
      </w:pPr>
      <w:r w:rsidRPr="00374521">
        <w:rPr>
          <w:rFonts w:eastAsia="Arial Unicode MS"/>
          <w:sz w:val="22"/>
          <w:szCs w:val="22"/>
        </w:rPr>
        <w:t>Częstość n</w:t>
      </w:r>
      <w:r w:rsidR="00556DD0" w:rsidRPr="00374521">
        <w:rPr>
          <w:rFonts w:eastAsia="Arial Unicode MS"/>
          <w:sz w:val="22"/>
          <w:szCs w:val="22"/>
        </w:rPr>
        <w:t>ieznan</w:t>
      </w:r>
      <w:r w:rsidRPr="00374521">
        <w:rPr>
          <w:rFonts w:eastAsia="Arial Unicode MS"/>
          <w:sz w:val="22"/>
          <w:szCs w:val="22"/>
        </w:rPr>
        <w:t xml:space="preserve">a </w:t>
      </w:r>
      <w:r w:rsidR="00556DD0" w:rsidRPr="00374521">
        <w:rPr>
          <w:rFonts w:eastAsia="Arial Unicode MS"/>
          <w:sz w:val="22"/>
          <w:szCs w:val="22"/>
        </w:rPr>
        <w:t>(nie</w:t>
      </w:r>
      <w:r w:rsidRPr="00374521">
        <w:rPr>
          <w:rFonts w:eastAsia="Arial Unicode MS"/>
          <w:sz w:val="22"/>
          <w:szCs w:val="22"/>
        </w:rPr>
        <w:t xml:space="preserve"> </w:t>
      </w:r>
      <w:r w:rsidR="00556DD0" w:rsidRPr="00374521">
        <w:rPr>
          <w:rFonts w:eastAsia="Arial Unicode MS"/>
          <w:sz w:val="22"/>
          <w:szCs w:val="22"/>
        </w:rPr>
        <w:t>moż</w:t>
      </w:r>
      <w:r w:rsidRPr="00374521">
        <w:rPr>
          <w:rFonts w:eastAsia="Arial Unicode MS"/>
          <w:sz w:val="22"/>
          <w:szCs w:val="22"/>
        </w:rPr>
        <w:t>e być</w:t>
      </w:r>
      <w:r w:rsidR="00556DD0" w:rsidRPr="00374521">
        <w:rPr>
          <w:rFonts w:eastAsia="Arial Unicode MS"/>
          <w:sz w:val="22"/>
          <w:szCs w:val="22"/>
        </w:rPr>
        <w:t xml:space="preserve"> oszacowan</w:t>
      </w:r>
      <w:r w:rsidRPr="00374521">
        <w:rPr>
          <w:rFonts w:eastAsia="Arial Unicode MS"/>
          <w:sz w:val="22"/>
          <w:szCs w:val="22"/>
        </w:rPr>
        <w:t>a</w:t>
      </w:r>
      <w:r w:rsidR="00556DD0" w:rsidRPr="00374521">
        <w:rPr>
          <w:rFonts w:eastAsia="Arial Unicode MS"/>
          <w:sz w:val="22"/>
          <w:szCs w:val="22"/>
        </w:rPr>
        <w:t xml:space="preserve"> na podstawie dostępnych danych)</w:t>
      </w:r>
      <w:r w:rsidR="00034352">
        <w:rPr>
          <w:rFonts w:eastAsia="Arial Unicode MS"/>
          <w:sz w:val="22"/>
          <w:szCs w:val="22"/>
        </w:rPr>
        <w:t>.</w:t>
      </w:r>
    </w:p>
    <w:p w14:paraId="5F7B49C1" w14:textId="77777777" w:rsidR="00556DD0" w:rsidRPr="00374521" w:rsidRDefault="00556DD0" w:rsidP="00374521">
      <w:pPr>
        <w:tabs>
          <w:tab w:val="left" w:pos="1260"/>
        </w:tabs>
        <w:rPr>
          <w:sz w:val="22"/>
          <w:szCs w:val="22"/>
        </w:rPr>
      </w:pPr>
    </w:p>
    <w:p w14:paraId="17C965B4" w14:textId="77777777" w:rsidR="00556DD0" w:rsidRPr="00374521" w:rsidRDefault="00556DD0" w:rsidP="00374521">
      <w:pPr>
        <w:tabs>
          <w:tab w:val="left" w:pos="1260"/>
        </w:tabs>
        <w:rPr>
          <w:sz w:val="22"/>
          <w:szCs w:val="22"/>
        </w:rPr>
      </w:pPr>
      <w:r w:rsidRPr="00374521">
        <w:rPr>
          <w:sz w:val="22"/>
          <w:szCs w:val="22"/>
        </w:rPr>
        <w:t xml:space="preserve">W badaniach klinicznych </w:t>
      </w:r>
      <w:r w:rsidR="00657B24" w:rsidRPr="00374521">
        <w:rPr>
          <w:sz w:val="22"/>
          <w:szCs w:val="22"/>
        </w:rPr>
        <w:t>z zastosowaniem</w:t>
      </w:r>
      <w:r w:rsidRPr="00374521">
        <w:rPr>
          <w:sz w:val="22"/>
          <w:szCs w:val="22"/>
        </w:rPr>
        <w:t xml:space="preserve"> </w:t>
      </w:r>
      <w:proofErr w:type="spellStart"/>
      <w:r w:rsidRPr="00374521">
        <w:rPr>
          <w:sz w:val="22"/>
          <w:szCs w:val="22"/>
        </w:rPr>
        <w:t>losartanu</w:t>
      </w:r>
      <w:proofErr w:type="spellEnd"/>
      <w:r w:rsidRPr="00374521">
        <w:rPr>
          <w:sz w:val="22"/>
          <w:szCs w:val="22"/>
        </w:rPr>
        <w:t xml:space="preserve"> potas</w:t>
      </w:r>
      <w:r w:rsidR="00657B24" w:rsidRPr="00374521">
        <w:rPr>
          <w:sz w:val="22"/>
          <w:szCs w:val="22"/>
        </w:rPr>
        <w:t>owego</w:t>
      </w:r>
      <w:r w:rsidRPr="00374521">
        <w:rPr>
          <w:sz w:val="22"/>
          <w:szCs w:val="22"/>
        </w:rPr>
        <w:t xml:space="preserve"> i </w:t>
      </w:r>
      <w:proofErr w:type="spellStart"/>
      <w:r w:rsidRPr="00374521">
        <w:rPr>
          <w:sz w:val="22"/>
          <w:szCs w:val="22"/>
        </w:rPr>
        <w:t>hydrochlorotiazydu</w:t>
      </w:r>
      <w:proofErr w:type="spellEnd"/>
      <w:r w:rsidRPr="00374521">
        <w:rPr>
          <w:sz w:val="22"/>
          <w:szCs w:val="22"/>
        </w:rPr>
        <w:t xml:space="preserve"> nie zaobserwowano działań niepożądanych </w:t>
      </w:r>
      <w:r w:rsidR="00657B24" w:rsidRPr="00374521">
        <w:rPr>
          <w:sz w:val="22"/>
          <w:szCs w:val="22"/>
        </w:rPr>
        <w:t xml:space="preserve">swoistych dla skojarzenia tych </w:t>
      </w:r>
      <w:r w:rsidRPr="00374521">
        <w:rPr>
          <w:sz w:val="22"/>
          <w:szCs w:val="22"/>
        </w:rPr>
        <w:t>substancji</w:t>
      </w:r>
      <w:r w:rsidR="00657B24" w:rsidRPr="00374521">
        <w:rPr>
          <w:sz w:val="22"/>
          <w:szCs w:val="22"/>
        </w:rPr>
        <w:t xml:space="preserve"> czynnych</w:t>
      </w:r>
      <w:r w:rsidRPr="00374521">
        <w:rPr>
          <w:sz w:val="22"/>
          <w:szCs w:val="22"/>
        </w:rPr>
        <w:t xml:space="preserve">. Działania niepożądane ograniczyły się do tych obserwowanych </w:t>
      </w:r>
      <w:r w:rsidR="00774955" w:rsidRPr="00374521">
        <w:rPr>
          <w:sz w:val="22"/>
          <w:szCs w:val="22"/>
        </w:rPr>
        <w:t>w odniesieniu do</w:t>
      </w:r>
      <w:r w:rsidRPr="00374521">
        <w:rPr>
          <w:sz w:val="22"/>
          <w:szCs w:val="22"/>
        </w:rPr>
        <w:t xml:space="preserve"> </w:t>
      </w:r>
      <w:proofErr w:type="spellStart"/>
      <w:r w:rsidRPr="00374521">
        <w:rPr>
          <w:sz w:val="22"/>
          <w:szCs w:val="22"/>
        </w:rPr>
        <w:t>losartanu</w:t>
      </w:r>
      <w:proofErr w:type="spellEnd"/>
      <w:r w:rsidRPr="00374521">
        <w:rPr>
          <w:sz w:val="22"/>
          <w:szCs w:val="22"/>
        </w:rPr>
        <w:t xml:space="preserve"> potas</w:t>
      </w:r>
      <w:r w:rsidR="00774955" w:rsidRPr="00374521">
        <w:rPr>
          <w:sz w:val="22"/>
          <w:szCs w:val="22"/>
        </w:rPr>
        <w:t>owego</w:t>
      </w:r>
      <w:r w:rsidRPr="00374521">
        <w:rPr>
          <w:sz w:val="22"/>
          <w:szCs w:val="22"/>
        </w:rPr>
        <w:t xml:space="preserve"> i</w:t>
      </w:r>
      <w:r w:rsidR="00774955" w:rsidRPr="00374521">
        <w:rPr>
          <w:sz w:val="22"/>
          <w:szCs w:val="22"/>
        </w:rPr>
        <w:t xml:space="preserve"> (</w:t>
      </w:r>
      <w:r w:rsidRPr="00374521">
        <w:rPr>
          <w:sz w:val="22"/>
          <w:szCs w:val="22"/>
        </w:rPr>
        <w:t>lub</w:t>
      </w:r>
      <w:r w:rsidR="00774955" w:rsidRPr="00374521">
        <w:rPr>
          <w:sz w:val="22"/>
          <w:szCs w:val="22"/>
        </w:rPr>
        <w:t>)</w:t>
      </w:r>
      <w:r w:rsidRPr="00374521">
        <w:rPr>
          <w:sz w:val="22"/>
          <w:szCs w:val="22"/>
        </w:rPr>
        <w:t xml:space="preserve"> </w:t>
      </w:r>
      <w:proofErr w:type="spellStart"/>
      <w:r w:rsidRPr="00374521">
        <w:rPr>
          <w:sz w:val="22"/>
          <w:szCs w:val="22"/>
        </w:rPr>
        <w:t>hydrochlorotiazydu</w:t>
      </w:r>
      <w:proofErr w:type="spellEnd"/>
      <w:r w:rsidRPr="00374521">
        <w:rPr>
          <w:sz w:val="22"/>
          <w:szCs w:val="22"/>
        </w:rPr>
        <w:t xml:space="preserve">. </w:t>
      </w:r>
    </w:p>
    <w:p w14:paraId="244F7625" w14:textId="77777777" w:rsidR="00556DD0" w:rsidRPr="00374521" w:rsidRDefault="00556DD0" w:rsidP="00374521">
      <w:pPr>
        <w:tabs>
          <w:tab w:val="left" w:pos="1260"/>
        </w:tabs>
        <w:rPr>
          <w:sz w:val="22"/>
          <w:szCs w:val="22"/>
        </w:rPr>
      </w:pPr>
    </w:p>
    <w:p w14:paraId="1774356C" w14:textId="77777777" w:rsidR="00DA01E8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 xml:space="preserve">W kontrolowanych badaniach klinicznych dotyczących pierwotnego nadciśnienia tętniczego, </w:t>
      </w:r>
      <w:r w:rsidR="00774955" w:rsidRPr="00374521">
        <w:rPr>
          <w:sz w:val="22"/>
          <w:szCs w:val="22"/>
        </w:rPr>
        <w:t xml:space="preserve">zawroty głowy były jedynym działaniem niepożądanym związanym ze stosowaniem preparatu i występującym z częstością większą niż w przypadku placebo, u 1% lub więcej pacjentów leczonych </w:t>
      </w:r>
      <w:proofErr w:type="spellStart"/>
      <w:r w:rsidR="00774955" w:rsidRPr="00374521">
        <w:rPr>
          <w:sz w:val="22"/>
          <w:szCs w:val="22"/>
        </w:rPr>
        <w:t>losartanem</w:t>
      </w:r>
      <w:proofErr w:type="spellEnd"/>
      <w:r w:rsidR="00774955" w:rsidRPr="00374521">
        <w:rPr>
          <w:sz w:val="22"/>
          <w:szCs w:val="22"/>
        </w:rPr>
        <w:t xml:space="preserve"> po</w:t>
      </w:r>
      <w:r w:rsidR="00461821" w:rsidRPr="00374521">
        <w:rPr>
          <w:sz w:val="22"/>
          <w:szCs w:val="22"/>
        </w:rPr>
        <w:t xml:space="preserve">tasowym i </w:t>
      </w:r>
      <w:proofErr w:type="spellStart"/>
      <w:r w:rsidR="00461821" w:rsidRPr="00374521">
        <w:rPr>
          <w:sz w:val="22"/>
          <w:szCs w:val="22"/>
        </w:rPr>
        <w:t>hydrochlorotiazydem</w:t>
      </w:r>
      <w:proofErr w:type="spellEnd"/>
      <w:r w:rsidR="00461821" w:rsidRPr="00374521">
        <w:rPr>
          <w:sz w:val="22"/>
          <w:szCs w:val="22"/>
        </w:rPr>
        <w:t>.</w:t>
      </w:r>
    </w:p>
    <w:p w14:paraId="60322AC0" w14:textId="77777777" w:rsidR="00556DD0" w:rsidRPr="00374521" w:rsidRDefault="00556DD0" w:rsidP="00374521">
      <w:pPr>
        <w:tabs>
          <w:tab w:val="left" w:pos="1260"/>
        </w:tabs>
        <w:rPr>
          <w:sz w:val="22"/>
          <w:szCs w:val="22"/>
        </w:rPr>
      </w:pPr>
    </w:p>
    <w:p w14:paraId="7F9F02A1" w14:textId="77777777" w:rsidR="00556DD0" w:rsidRPr="00374521" w:rsidRDefault="00774955" w:rsidP="00374521">
      <w:pPr>
        <w:tabs>
          <w:tab w:val="left" w:pos="1260"/>
        </w:tabs>
        <w:rPr>
          <w:sz w:val="22"/>
          <w:szCs w:val="22"/>
        </w:rPr>
      </w:pPr>
      <w:r w:rsidRPr="00374521">
        <w:rPr>
          <w:sz w:val="22"/>
          <w:szCs w:val="22"/>
        </w:rPr>
        <w:t xml:space="preserve">Następujące </w:t>
      </w:r>
      <w:r w:rsidR="00556DD0" w:rsidRPr="00374521">
        <w:rPr>
          <w:sz w:val="22"/>
          <w:szCs w:val="22"/>
        </w:rPr>
        <w:t>działania niepożądane</w:t>
      </w:r>
      <w:r w:rsidRPr="00374521">
        <w:rPr>
          <w:sz w:val="22"/>
          <w:szCs w:val="22"/>
        </w:rPr>
        <w:t xml:space="preserve"> </w:t>
      </w:r>
      <w:r w:rsidR="00556DD0" w:rsidRPr="00374521">
        <w:rPr>
          <w:sz w:val="22"/>
          <w:szCs w:val="22"/>
        </w:rPr>
        <w:t>zgłaszan</w:t>
      </w:r>
      <w:r w:rsidRPr="00374521">
        <w:rPr>
          <w:sz w:val="22"/>
          <w:szCs w:val="22"/>
        </w:rPr>
        <w:t>o</w:t>
      </w:r>
      <w:r w:rsidR="00556DD0" w:rsidRPr="00374521">
        <w:rPr>
          <w:sz w:val="22"/>
          <w:szCs w:val="22"/>
        </w:rPr>
        <w:t xml:space="preserve"> po wprowadzeniu </w:t>
      </w:r>
      <w:r w:rsidRPr="00374521">
        <w:rPr>
          <w:sz w:val="22"/>
          <w:szCs w:val="22"/>
        </w:rPr>
        <w:t>produktu leczniczego do sprzedaży</w:t>
      </w:r>
      <w:r w:rsidR="00556DD0" w:rsidRPr="00374521">
        <w:rPr>
          <w:sz w:val="22"/>
          <w:szCs w:val="22"/>
        </w:rPr>
        <w:t>:</w:t>
      </w:r>
    </w:p>
    <w:p w14:paraId="1234D67F" w14:textId="77777777" w:rsidR="00556DD0" w:rsidRPr="00374521" w:rsidRDefault="00556DD0" w:rsidP="00374521">
      <w:pPr>
        <w:tabs>
          <w:tab w:val="left" w:pos="1260"/>
        </w:tabs>
        <w:rPr>
          <w:sz w:val="22"/>
          <w:szCs w:val="22"/>
        </w:rPr>
      </w:pPr>
    </w:p>
    <w:p w14:paraId="1015914B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 xml:space="preserve">Zaburzenia wątroby i dróg żółciowych </w:t>
      </w:r>
    </w:p>
    <w:p w14:paraId="2673A4D8" w14:textId="77777777" w:rsidR="00556DD0" w:rsidRPr="00374521" w:rsidRDefault="00461821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Rzadko: z</w:t>
      </w:r>
      <w:r w:rsidR="00556DD0" w:rsidRPr="00374521">
        <w:rPr>
          <w:sz w:val="22"/>
          <w:szCs w:val="22"/>
        </w:rPr>
        <w:t>apalenie wątroby</w:t>
      </w:r>
    </w:p>
    <w:p w14:paraId="3D87A798" w14:textId="77777777" w:rsidR="00556DD0" w:rsidRPr="00374521" w:rsidRDefault="00556DD0" w:rsidP="00374521">
      <w:pPr>
        <w:tabs>
          <w:tab w:val="left" w:pos="1260"/>
        </w:tabs>
        <w:rPr>
          <w:sz w:val="22"/>
          <w:szCs w:val="22"/>
        </w:rPr>
      </w:pPr>
    </w:p>
    <w:p w14:paraId="183543BE" w14:textId="77777777" w:rsidR="00556DD0" w:rsidRPr="00374521" w:rsidRDefault="00556DD0" w:rsidP="00374521">
      <w:pPr>
        <w:tabs>
          <w:tab w:val="left" w:pos="1260"/>
        </w:tabs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Badania</w:t>
      </w:r>
      <w:r w:rsidR="00774955" w:rsidRPr="00374521">
        <w:rPr>
          <w:i/>
          <w:sz w:val="22"/>
          <w:szCs w:val="22"/>
        </w:rPr>
        <w:t xml:space="preserve"> diagnostyczne</w:t>
      </w:r>
    </w:p>
    <w:p w14:paraId="4E749B7A" w14:textId="77777777" w:rsidR="00556DD0" w:rsidRPr="00374521" w:rsidRDefault="00556DD0" w:rsidP="00374521">
      <w:pPr>
        <w:tabs>
          <w:tab w:val="left" w:pos="1260"/>
        </w:tabs>
        <w:rPr>
          <w:sz w:val="22"/>
          <w:szCs w:val="22"/>
        </w:rPr>
      </w:pPr>
      <w:r w:rsidRPr="00374521">
        <w:rPr>
          <w:sz w:val="22"/>
          <w:szCs w:val="22"/>
        </w:rPr>
        <w:t>Rzadk</w:t>
      </w:r>
      <w:r w:rsidR="00313BBE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>: hiperkal</w:t>
      </w:r>
      <w:r w:rsidR="00774955" w:rsidRPr="00374521">
        <w:rPr>
          <w:sz w:val="22"/>
          <w:szCs w:val="22"/>
        </w:rPr>
        <w:t>i</w:t>
      </w:r>
      <w:r w:rsidRPr="00374521">
        <w:rPr>
          <w:sz w:val="22"/>
          <w:szCs w:val="22"/>
        </w:rPr>
        <w:t xml:space="preserve">emia, </w:t>
      </w:r>
      <w:r w:rsidR="00774955" w:rsidRPr="00374521">
        <w:rPr>
          <w:sz w:val="22"/>
          <w:szCs w:val="22"/>
        </w:rPr>
        <w:t>zwiększenie aktywności</w:t>
      </w:r>
      <w:r w:rsidRPr="00374521">
        <w:rPr>
          <w:sz w:val="22"/>
          <w:szCs w:val="22"/>
        </w:rPr>
        <w:t xml:space="preserve"> </w:t>
      </w:r>
      <w:proofErr w:type="spellStart"/>
      <w:r w:rsidRPr="00374521">
        <w:rPr>
          <w:sz w:val="22"/>
          <w:szCs w:val="22"/>
        </w:rPr>
        <w:t>A</w:t>
      </w:r>
      <w:r w:rsidR="00774955" w:rsidRPr="00374521">
        <w:rPr>
          <w:sz w:val="22"/>
          <w:szCs w:val="22"/>
        </w:rPr>
        <w:t>lA</w:t>
      </w:r>
      <w:r w:rsidRPr="00374521">
        <w:rPr>
          <w:sz w:val="22"/>
          <w:szCs w:val="22"/>
        </w:rPr>
        <w:t>T</w:t>
      </w:r>
      <w:proofErr w:type="spellEnd"/>
    </w:p>
    <w:p w14:paraId="6A7D6DC9" w14:textId="77777777" w:rsidR="00556DD0" w:rsidRPr="00374521" w:rsidRDefault="00556DD0" w:rsidP="00374521">
      <w:pPr>
        <w:tabs>
          <w:tab w:val="left" w:pos="1260"/>
        </w:tabs>
        <w:rPr>
          <w:sz w:val="22"/>
          <w:szCs w:val="22"/>
        </w:rPr>
      </w:pPr>
    </w:p>
    <w:p w14:paraId="68E9A962" w14:textId="77777777" w:rsidR="00556DD0" w:rsidRPr="00374521" w:rsidRDefault="00313BBE" w:rsidP="00374521">
      <w:pPr>
        <w:tabs>
          <w:tab w:val="left" w:pos="1260"/>
        </w:tabs>
        <w:rPr>
          <w:sz w:val="22"/>
          <w:szCs w:val="22"/>
        </w:rPr>
      </w:pPr>
      <w:r w:rsidRPr="00374521">
        <w:rPr>
          <w:sz w:val="22"/>
          <w:szCs w:val="22"/>
        </w:rPr>
        <w:t>D</w:t>
      </w:r>
      <w:r w:rsidR="00556DD0" w:rsidRPr="00374521">
        <w:rPr>
          <w:sz w:val="22"/>
          <w:szCs w:val="22"/>
        </w:rPr>
        <w:t xml:space="preserve">ziałania niepożądane obserwowane </w:t>
      </w:r>
      <w:r w:rsidRPr="00374521">
        <w:rPr>
          <w:sz w:val="22"/>
          <w:szCs w:val="22"/>
        </w:rPr>
        <w:t xml:space="preserve">w odniesieniu do poszczególnych substancji czynnych, które mogą wystąpić w przypadku stosowania produktu </w:t>
      </w:r>
      <w:proofErr w:type="spellStart"/>
      <w:r w:rsidR="00EF7DC8" w:rsidRPr="00374521">
        <w:rPr>
          <w:color w:val="000000"/>
          <w:sz w:val="22"/>
          <w:szCs w:val="22"/>
        </w:rPr>
        <w:t>Presartan</w:t>
      </w:r>
      <w:proofErr w:type="spellEnd"/>
      <w:r w:rsidR="00EF7DC8" w:rsidRPr="00374521">
        <w:rPr>
          <w:color w:val="000000"/>
          <w:sz w:val="22"/>
          <w:szCs w:val="22"/>
        </w:rPr>
        <w:t xml:space="preserve"> H</w:t>
      </w:r>
      <w:r w:rsidRPr="00374521">
        <w:rPr>
          <w:sz w:val="22"/>
          <w:szCs w:val="22"/>
        </w:rPr>
        <w:t xml:space="preserve"> </w:t>
      </w:r>
      <w:r w:rsidR="00556DD0" w:rsidRPr="00374521">
        <w:rPr>
          <w:sz w:val="22"/>
          <w:szCs w:val="22"/>
        </w:rPr>
        <w:t>są następujące:</w:t>
      </w:r>
    </w:p>
    <w:p w14:paraId="67140DFC" w14:textId="77777777" w:rsidR="00556DD0" w:rsidRPr="00374521" w:rsidRDefault="00556DD0" w:rsidP="00374521">
      <w:pPr>
        <w:tabs>
          <w:tab w:val="left" w:pos="1260"/>
        </w:tabs>
        <w:rPr>
          <w:sz w:val="22"/>
          <w:szCs w:val="22"/>
        </w:rPr>
      </w:pPr>
    </w:p>
    <w:p w14:paraId="07696048" w14:textId="77777777" w:rsidR="00556DD0" w:rsidRPr="00374521" w:rsidRDefault="00556DD0" w:rsidP="00374521">
      <w:pPr>
        <w:tabs>
          <w:tab w:val="left" w:pos="1260"/>
        </w:tabs>
        <w:rPr>
          <w:sz w:val="22"/>
          <w:szCs w:val="22"/>
          <w:u w:val="single"/>
        </w:rPr>
      </w:pPr>
      <w:proofErr w:type="spellStart"/>
      <w:r w:rsidRPr="00374521">
        <w:rPr>
          <w:sz w:val="22"/>
          <w:szCs w:val="22"/>
          <w:u w:val="single"/>
        </w:rPr>
        <w:t>Losartan</w:t>
      </w:r>
      <w:proofErr w:type="spellEnd"/>
    </w:p>
    <w:p w14:paraId="709F5490" w14:textId="77777777" w:rsidR="00556DD0" w:rsidRPr="00374521" w:rsidRDefault="00556DD0" w:rsidP="00374521">
      <w:pPr>
        <w:tabs>
          <w:tab w:val="left" w:pos="1260"/>
        </w:tabs>
        <w:rPr>
          <w:sz w:val="22"/>
          <w:szCs w:val="22"/>
        </w:rPr>
      </w:pPr>
    </w:p>
    <w:p w14:paraId="2B7C112C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Zabu</w:t>
      </w:r>
      <w:r w:rsidR="00461821" w:rsidRPr="00374521">
        <w:rPr>
          <w:i/>
          <w:sz w:val="22"/>
          <w:szCs w:val="22"/>
        </w:rPr>
        <w:t>rzenia krwi i układu chłonnego</w:t>
      </w:r>
    </w:p>
    <w:p w14:paraId="51AB9E60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Niezbyt częst</w:t>
      </w:r>
      <w:r w:rsidR="00313BBE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 xml:space="preserve">: niedokrwistość, plamica </w:t>
      </w:r>
      <w:proofErr w:type="spellStart"/>
      <w:r w:rsidR="00313BBE" w:rsidRPr="00374521">
        <w:rPr>
          <w:sz w:val="22"/>
          <w:szCs w:val="22"/>
        </w:rPr>
        <w:t>Schoenleina-</w:t>
      </w:r>
      <w:r w:rsidRPr="00374521">
        <w:rPr>
          <w:sz w:val="22"/>
          <w:szCs w:val="22"/>
        </w:rPr>
        <w:t>Henoch</w:t>
      </w:r>
      <w:r w:rsidR="00313BBE" w:rsidRPr="00374521">
        <w:rPr>
          <w:sz w:val="22"/>
          <w:szCs w:val="22"/>
        </w:rPr>
        <w:t>a</w:t>
      </w:r>
      <w:proofErr w:type="spellEnd"/>
      <w:r w:rsidR="00313BBE" w:rsidRPr="00374521">
        <w:rPr>
          <w:sz w:val="22"/>
          <w:szCs w:val="22"/>
        </w:rPr>
        <w:t xml:space="preserve">, </w:t>
      </w:r>
      <w:r w:rsidRPr="00374521">
        <w:rPr>
          <w:sz w:val="22"/>
          <w:szCs w:val="22"/>
        </w:rPr>
        <w:t>wylewy krwawe, hemoliza</w:t>
      </w:r>
    </w:p>
    <w:p w14:paraId="3FE7971A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329C8C33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 xml:space="preserve">Zaburzenia układu </w:t>
      </w:r>
      <w:r w:rsidR="00313BBE" w:rsidRPr="00374521">
        <w:rPr>
          <w:i/>
          <w:sz w:val="22"/>
          <w:szCs w:val="22"/>
        </w:rPr>
        <w:t>immunologicznego</w:t>
      </w:r>
    </w:p>
    <w:p w14:paraId="3ABB4C81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ind w:left="1260" w:hanging="1260"/>
        <w:rPr>
          <w:sz w:val="22"/>
          <w:szCs w:val="22"/>
        </w:rPr>
      </w:pPr>
      <w:r w:rsidRPr="00374521">
        <w:rPr>
          <w:sz w:val="22"/>
          <w:szCs w:val="22"/>
        </w:rPr>
        <w:t>Rzadk</w:t>
      </w:r>
      <w:r w:rsidR="00313BBE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>: reakcje anafilaktyczne, obrzęk naczynioruchowy, pokrzywka</w:t>
      </w:r>
    </w:p>
    <w:p w14:paraId="3E72D1BF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</w:p>
    <w:p w14:paraId="55E560E8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 xml:space="preserve">Zaburzenia metabolizmu i odżywiania </w:t>
      </w:r>
    </w:p>
    <w:p w14:paraId="5BC379EC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  <w:u w:val="single"/>
        </w:rPr>
      </w:pPr>
      <w:r w:rsidRPr="00374521">
        <w:rPr>
          <w:sz w:val="22"/>
          <w:szCs w:val="22"/>
        </w:rPr>
        <w:t>Niezbyt częst</w:t>
      </w:r>
      <w:r w:rsidR="00313BBE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 xml:space="preserve">: anoreksja, </w:t>
      </w:r>
      <w:r w:rsidR="00313BBE" w:rsidRPr="00374521">
        <w:rPr>
          <w:sz w:val="22"/>
          <w:szCs w:val="22"/>
        </w:rPr>
        <w:t xml:space="preserve">dna </w:t>
      </w:r>
    </w:p>
    <w:p w14:paraId="7529442C" w14:textId="77777777" w:rsidR="00461821" w:rsidRPr="00374521" w:rsidRDefault="00461821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</w:p>
    <w:p w14:paraId="4B294C56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Zaburzenia psychiczne</w:t>
      </w:r>
    </w:p>
    <w:p w14:paraId="0A625EEE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Częst</w:t>
      </w:r>
      <w:r w:rsidR="00313BBE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>: bezsenność</w:t>
      </w:r>
    </w:p>
    <w:p w14:paraId="7AE08236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Niezbyt częst</w:t>
      </w:r>
      <w:r w:rsidR="00313BBE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 xml:space="preserve">: niepokój, zaburzenia lękowe, napady paniki, dezorientacja, depresja, </w:t>
      </w:r>
      <w:r w:rsidR="00461821" w:rsidRPr="00374521">
        <w:rPr>
          <w:sz w:val="22"/>
          <w:szCs w:val="22"/>
        </w:rPr>
        <w:t xml:space="preserve">niezwykłe </w:t>
      </w:r>
      <w:r w:rsidRPr="00374521">
        <w:rPr>
          <w:sz w:val="22"/>
          <w:szCs w:val="22"/>
        </w:rPr>
        <w:t>sn</w:t>
      </w:r>
      <w:r w:rsidR="00461821" w:rsidRPr="00374521">
        <w:rPr>
          <w:sz w:val="22"/>
          <w:szCs w:val="22"/>
        </w:rPr>
        <w:t>y</w:t>
      </w:r>
      <w:r w:rsidRPr="00374521">
        <w:rPr>
          <w:sz w:val="22"/>
          <w:szCs w:val="22"/>
        </w:rPr>
        <w:t xml:space="preserve">, zaburzenia snu, senność, </w:t>
      </w:r>
      <w:r w:rsidR="00313BBE" w:rsidRPr="00374521">
        <w:rPr>
          <w:sz w:val="22"/>
          <w:szCs w:val="22"/>
        </w:rPr>
        <w:t xml:space="preserve">zaburzenia </w:t>
      </w:r>
      <w:r w:rsidRPr="00374521">
        <w:rPr>
          <w:sz w:val="22"/>
          <w:szCs w:val="22"/>
        </w:rPr>
        <w:t>pamięci</w:t>
      </w:r>
    </w:p>
    <w:p w14:paraId="11F042D6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4940D0E7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Zaburzenia układu nerwowego</w:t>
      </w:r>
    </w:p>
    <w:p w14:paraId="569AFA7E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Częst</w:t>
      </w:r>
      <w:r w:rsidR="00313BBE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>: ból</w:t>
      </w:r>
      <w:r w:rsidR="00313BBE" w:rsidRPr="00374521">
        <w:rPr>
          <w:sz w:val="22"/>
          <w:szCs w:val="22"/>
        </w:rPr>
        <w:t>e</w:t>
      </w:r>
      <w:r w:rsidRPr="00374521">
        <w:rPr>
          <w:sz w:val="22"/>
          <w:szCs w:val="22"/>
        </w:rPr>
        <w:t xml:space="preserve"> głowy, zawroty głowy</w:t>
      </w:r>
    </w:p>
    <w:p w14:paraId="1288A60B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Niezbyt częst</w:t>
      </w:r>
      <w:r w:rsidR="00313BBE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>: nerwowość, p</w:t>
      </w:r>
      <w:r w:rsidR="00313BBE" w:rsidRPr="00374521">
        <w:rPr>
          <w:sz w:val="22"/>
          <w:szCs w:val="22"/>
        </w:rPr>
        <w:t>a</w:t>
      </w:r>
      <w:r w:rsidRPr="00374521">
        <w:rPr>
          <w:sz w:val="22"/>
          <w:szCs w:val="22"/>
        </w:rPr>
        <w:t>restezje, neuropatia obwodowa, drżenia, migrena, omdlenia</w:t>
      </w:r>
    </w:p>
    <w:p w14:paraId="1F56A78D" w14:textId="77777777" w:rsidR="003A30BA" w:rsidRPr="00EE1DBD" w:rsidRDefault="003A30BA" w:rsidP="003A30BA">
      <w:pPr>
        <w:ind w:left="567" w:hanging="567"/>
        <w:rPr>
          <w:sz w:val="22"/>
          <w:szCs w:val="22"/>
        </w:rPr>
      </w:pPr>
      <w:r w:rsidRPr="00EE1DBD">
        <w:rPr>
          <w:sz w:val="22"/>
          <w:szCs w:val="22"/>
        </w:rPr>
        <w:t>Częstość nieznana: zaburzenia smaku</w:t>
      </w:r>
    </w:p>
    <w:p w14:paraId="5A667E80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290FC9C5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Zaburzenia oka</w:t>
      </w:r>
    </w:p>
    <w:p w14:paraId="5DBC592A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lastRenderedPageBreak/>
        <w:t>Niezbyt częst</w:t>
      </w:r>
      <w:r w:rsidR="00313BBE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 xml:space="preserve">: </w:t>
      </w:r>
      <w:r w:rsidR="008B1253" w:rsidRPr="00374521">
        <w:rPr>
          <w:sz w:val="22"/>
          <w:szCs w:val="22"/>
        </w:rPr>
        <w:t xml:space="preserve">niewyraźne </w:t>
      </w:r>
      <w:r w:rsidRPr="00374521">
        <w:rPr>
          <w:sz w:val="22"/>
          <w:szCs w:val="22"/>
        </w:rPr>
        <w:t>widzenie, pieczenie/</w:t>
      </w:r>
      <w:r w:rsidR="00313BBE" w:rsidRPr="00374521">
        <w:rPr>
          <w:sz w:val="22"/>
          <w:szCs w:val="22"/>
        </w:rPr>
        <w:t xml:space="preserve">kłucie w </w:t>
      </w:r>
      <w:r w:rsidRPr="00374521">
        <w:rPr>
          <w:sz w:val="22"/>
          <w:szCs w:val="22"/>
        </w:rPr>
        <w:t>ocz</w:t>
      </w:r>
      <w:r w:rsidR="00313BBE" w:rsidRPr="00374521">
        <w:rPr>
          <w:sz w:val="22"/>
          <w:szCs w:val="22"/>
        </w:rPr>
        <w:t>ach</w:t>
      </w:r>
      <w:r w:rsidRPr="00374521">
        <w:rPr>
          <w:sz w:val="22"/>
          <w:szCs w:val="22"/>
        </w:rPr>
        <w:t xml:space="preserve">, zapalenie spojówek, </w:t>
      </w:r>
      <w:r w:rsidR="00FA26D8" w:rsidRPr="00374521">
        <w:rPr>
          <w:sz w:val="22"/>
          <w:szCs w:val="22"/>
        </w:rPr>
        <w:t xml:space="preserve">zmniejszenie </w:t>
      </w:r>
      <w:r w:rsidRPr="00374521">
        <w:rPr>
          <w:sz w:val="22"/>
          <w:szCs w:val="22"/>
        </w:rPr>
        <w:t>ostrości wzroku</w:t>
      </w:r>
    </w:p>
    <w:p w14:paraId="1DB58EDB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59361EEE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Zaburzenia ucha i błędnika</w:t>
      </w:r>
    </w:p>
    <w:p w14:paraId="0C4D7338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Niezbyt częst</w:t>
      </w:r>
      <w:r w:rsidR="00FA26D8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>: zawroty głowy, szum usz</w:t>
      </w:r>
      <w:r w:rsidR="00FA26D8" w:rsidRPr="00374521">
        <w:rPr>
          <w:sz w:val="22"/>
          <w:szCs w:val="22"/>
        </w:rPr>
        <w:t>ny</w:t>
      </w:r>
    </w:p>
    <w:p w14:paraId="1249EE42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39461552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Zaburzenia serca</w:t>
      </w:r>
    </w:p>
    <w:p w14:paraId="50ACBF3C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Niezbyt częst</w:t>
      </w:r>
      <w:r w:rsidR="00FA26D8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 xml:space="preserve">: niedociśnienie, niedociśnienie ortostatyczne, ból </w:t>
      </w:r>
      <w:proofErr w:type="spellStart"/>
      <w:r w:rsidR="00FA26D8" w:rsidRPr="00374521">
        <w:rPr>
          <w:sz w:val="22"/>
          <w:szCs w:val="22"/>
        </w:rPr>
        <w:t>za</w:t>
      </w:r>
      <w:r w:rsidRPr="00374521">
        <w:rPr>
          <w:sz w:val="22"/>
          <w:szCs w:val="22"/>
        </w:rPr>
        <w:t>mostk</w:t>
      </w:r>
      <w:r w:rsidR="00FA26D8" w:rsidRPr="00374521">
        <w:rPr>
          <w:sz w:val="22"/>
          <w:szCs w:val="22"/>
        </w:rPr>
        <w:t>owy</w:t>
      </w:r>
      <w:proofErr w:type="spellEnd"/>
      <w:r w:rsidRPr="00374521">
        <w:rPr>
          <w:sz w:val="22"/>
          <w:szCs w:val="22"/>
        </w:rPr>
        <w:t>, dławica piersiowa, blok przedsionkowo-komorowy II stopnia, incydent naczyniowo-mózgow</w:t>
      </w:r>
      <w:r w:rsidR="00FA26D8" w:rsidRPr="00374521">
        <w:rPr>
          <w:sz w:val="22"/>
          <w:szCs w:val="22"/>
        </w:rPr>
        <w:t>y</w:t>
      </w:r>
      <w:r w:rsidRPr="00374521">
        <w:rPr>
          <w:sz w:val="22"/>
          <w:szCs w:val="22"/>
        </w:rPr>
        <w:t xml:space="preserve">, zawał </w:t>
      </w:r>
      <w:r w:rsidR="00FA26D8" w:rsidRPr="00374521">
        <w:rPr>
          <w:sz w:val="22"/>
          <w:szCs w:val="22"/>
        </w:rPr>
        <w:t xml:space="preserve">mięśnia </w:t>
      </w:r>
      <w:r w:rsidRPr="00374521">
        <w:rPr>
          <w:sz w:val="22"/>
          <w:szCs w:val="22"/>
        </w:rPr>
        <w:t>serc</w:t>
      </w:r>
      <w:r w:rsidR="00FA26D8" w:rsidRPr="00374521">
        <w:rPr>
          <w:sz w:val="22"/>
          <w:szCs w:val="22"/>
        </w:rPr>
        <w:t>owego</w:t>
      </w:r>
      <w:r w:rsidRPr="00374521">
        <w:rPr>
          <w:sz w:val="22"/>
          <w:szCs w:val="22"/>
        </w:rPr>
        <w:t xml:space="preserve">, </w:t>
      </w:r>
      <w:r w:rsidR="00FA26D8" w:rsidRPr="00374521">
        <w:rPr>
          <w:sz w:val="22"/>
          <w:szCs w:val="22"/>
        </w:rPr>
        <w:t>kołatanie serca</w:t>
      </w:r>
      <w:r w:rsidRPr="00374521">
        <w:rPr>
          <w:sz w:val="22"/>
          <w:szCs w:val="22"/>
        </w:rPr>
        <w:t xml:space="preserve">, </w:t>
      </w:r>
      <w:r w:rsidR="00FA26D8" w:rsidRPr="00374521">
        <w:rPr>
          <w:sz w:val="22"/>
          <w:szCs w:val="22"/>
        </w:rPr>
        <w:t>zaburzenia rytmu serca</w:t>
      </w:r>
      <w:r w:rsidRPr="00374521">
        <w:rPr>
          <w:sz w:val="22"/>
          <w:szCs w:val="22"/>
        </w:rPr>
        <w:t xml:space="preserve"> (migotanie przedsionków, bradykardia zatokowa, tachykardia, tachykardia komorowa, migotanie komór)</w:t>
      </w:r>
    </w:p>
    <w:p w14:paraId="0E312F7A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0FF70429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Zaburzenia naczy</w:t>
      </w:r>
      <w:r w:rsidR="00FA26D8" w:rsidRPr="00374521">
        <w:rPr>
          <w:i/>
          <w:sz w:val="22"/>
          <w:szCs w:val="22"/>
        </w:rPr>
        <w:t>niowe</w:t>
      </w:r>
    </w:p>
    <w:p w14:paraId="12674C26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Niezbyt częst</w:t>
      </w:r>
      <w:r w:rsidR="00FA26D8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>: zapalenie naczyń</w:t>
      </w:r>
    </w:p>
    <w:p w14:paraId="1FE10A93" w14:textId="77777777" w:rsidR="006935DA" w:rsidRPr="00EE1DBD" w:rsidRDefault="006935DA" w:rsidP="006935DA">
      <w:pPr>
        <w:ind w:left="567" w:hanging="567"/>
        <w:rPr>
          <w:sz w:val="22"/>
          <w:szCs w:val="22"/>
        </w:rPr>
      </w:pPr>
      <w:r w:rsidRPr="00EE1DBD">
        <w:rPr>
          <w:sz w:val="22"/>
          <w:szCs w:val="22"/>
        </w:rPr>
        <w:t>Częstość n</w:t>
      </w:r>
      <w:r w:rsidRPr="00EE1DBD">
        <w:rPr>
          <w:rFonts w:eastAsia="Arial Unicode MS"/>
          <w:sz w:val="22"/>
          <w:szCs w:val="22"/>
        </w:rPr>
        <w:t>ieznana:</w:t>
      </w:r>
      <w:r w:rsidRPr="00EE1DBD">
        <w:rPr>
          <w:sz w:val="22"/>
          <w:szCs w:val="22"/>
        </w:rPr>
        <w:t xml:space="preserve"> objawy ortostatyczne zależne od dawki</w:t>
      </w:r>
    </w:p>
    <w:p w14:paraId="175F68CB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</w:p>
    <w:p w14:paraId="424400D9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 xml:space="preserve">Zaburzenia </w:t>
      </w:r>
      <w:r w:rsidR="00FA26D8" w:rsidRPr="00374521">
        <w:rPr>
          <w:i/>
          <w:sz w:val="22"/>
          <w:szCs w:val="22"/>
        </w:rPr>
        <w:t xml:space="preserve">układu </w:t>
      </w:r>
      <w:r w:rsidRPr="00374521">
        <w:rPr>
          <w:i/>
          <w:sz w:val="22"/>
          <w:szCs w:val="22"/>
        </w:rPr>
        <w:t>oddechowe</w:t>
      </w:r>
      <w:r w:rsidR="00FA26D8" w:rsidRPr="00374521">
        <w:rPr>
          <w:i/>
          <w:sz w:val="22"/>
          <w:szCs w:val="22"/>
        </w:rPr>
        <w:t>go</w:t>
      </w:r>
      <w:r w:rsidRPr="00374521">
        <w:rPr>
          <w:i/>
          <w:sz w:val="22"/>
          <w:szCs w:val="22"/>
        </w:rPr>
        <w:t>, klatki piersiowej i śródpiersia</w:t>
      </w:r>
    </w:p>
    <w:p w14:paraId="45E15B26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Częst</w:t>
      </w:r>
      <w:r w:rsidR="00FA26D8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 xml:space="preserve">: kaszel, </w:t>
      </w:r>
      <w:r w:rsidR="00FA26D8" w:rsidRPr="00374521">
        <w:rPr>
          <w:sz w:val="22"/>
          <w:szCs w:val="22"/>
        </w:rPr>
        <w:t>zakażenia</w:t>
      </w:r>
      <w:r w:rsidRPr="00374521">
        <w:rPr>
          <w:sz w:val="22"/>
          <w:szCs w:val="22"/>
        </w:rPr>
        <w:t xml:space="preserve"> górnych dróg oddechowych, przekrwienie błony śluzowej nosa, zapalenie zatok, zaburzenia </w:t>
      </w:r>
      <w:r w:rsidR="00FA26D8" w:rsidRPr="00374521">
        <w:rPr>
          <w:sz w:val="22"/>
          <w:szCs w:val="22"/>
        </w:rPr>
        <w:t>dotyczące</w:t>
      </w:r>
      <w:r w:rsidRPr="00374521">
        <w:rPr>
          <w:sz w:val="22"/>
          <w:szCs w:val="22"/>
        </w:rPr>
        <w:t xml:space="preserve"> zatok</w:t>
      </w:r>
    </w:p>
    <w:p w14:paraId="7172A43B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Niezbyt częst</w:t>
      </w:r>
      <w:r w:rsidR="00FA26D8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>: dolegliwości ze strony gardła, zapaleni</w:t>
      </w:r>
      <w:r w:rsidR="00FA26D8" w:rsidRPr="00374521">
        <w:rPr>
          <w:sz w:val="22"/>
          <w:szCs w:val="22"/>
        </w:rPr>
        <w:t>e</w:t>
      </w:r>
      <w:r w:rsidRPr="00374521">
        <w:rPr>
          <w:sz w:val="22"/>
          <w:szCs w:val="22"/>
        </w:rPr>
        <w:t xml:space="preserve"> gardła, zapaleni</w:t>
      </w:r>
      <w:r w:rsidR="00C43403" w:rsidRPr="00374521">
        <w:rPr>
          <w:sz w:val="22"/>
          <w:szCs w:val="22"/>
        </w:rPr>
        <w:t>e</w:t>
      </w:r>
      <w:r w:rsidRPr="00374521">
        <w:rPr>
          <w:sz w:val="22"/>
          <w:szCs w:val="22"/>
        </w:rPr>
        <w:t xml:space="preserve"> krtani, duszność, zapalenie oskrzeli, krwawienie z nosa, zapaleni</w:t>
      </w:r>
      <w:r w:rsidR="00FA26D8" w:rsidRPr="00374521">
        <w:rPr>
          <w:sz w:val="22"/>
          <w:szCs w:val="22"/>
        </w:rPr>
        <w:t>e</w:t>
      </w:r>
      <w:r w:rsidRPr="00374521">
        <w:rPr>
          <w:sz w:val="22"/>
          <w:szCs w:val="22"/>
        </w:rPr>
        <w:t xml:space="preserve"> błony śluzowej nosa, przekrwienie </w:t>
      </w:r>
      <w:r w:rsidR="00FA26D8" w:rsidRPr="00374521">
        <w:rPr>
          <w:sz w:val="22"/>
          <w:szCs w:val="22"/>
        </w:rPr>
        <w:t xml:space="preserve">błon śluzowych </w:t>
      </w:r>
      <w:r w:rsidRPr="00374521">
        <w:rPr>
          <w:sz w:val="22"/>
          <w:szCs w:val="22"/>
        </w:rPr>
        <w:t>układu oddechowego</w:t>
      </w:r>
    </w:p>
    <w:p w14:paraId="56136D0F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424BBB94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Zaburzenia żołądk</w:t>
      </w:r>
      <w:r w:rsidR="00FA26D8" w:rsidRPr="00374521">
        <w:rPr>
          <w:i/>
          <w:sz w:val="22"/>
          <w:szCs w:val="22"/>
        </w:rPr>
        <w:t xml:space="preserve">a i </w:t>
      </w:r>
      <w:r w:rsidRPr="00374521">
        <w:rPr>
          <w:i/>
          <w:sz w:val="22"/>
          <w:szCs w:val="22"/>
        </w:rPr>
        <w:t>jelit</w:t>
      </w:r>
    </w:p>
    <w:p w14:paraId="6E680284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Częst</w:t>
      </w:r>
      <w:r w:rsidR="00FA26D8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 xml:space="preserve">: ból brzucha, nudności, biegunka, </w:t>
      </w:r>
      <w:r w:rsidR="00FA26D8" w:rsidRPr="00374521">
        <w:rPr>
          <w:sz w:val="22"/>
          <w:szCs w:val="22"/>
        </w:rPr>
        <w:t>niestrawność</w:t>
      </w:r>
    </w:p>
    <w:p w14:paraId="2735756B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Niezbyt częst</w:t>
      </w:r>
      <w:r w:rsidR="00FA26D8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 xml:space="preserve">: zaparcia, bóle zębów, suchość </w:t>
      </w:r>
      <w:r w:rsidR="00FA26D8" w:rsidRPr="00374521">
        <w:rPr>
          <w:sz w:val="22"/>
          <w:szCs w:val="22"/>
        </w:rPr>
        <w:t>błony śluzowej</w:t>
      </w:r>
      <w:r w:rsidRPr="00374521">
        <w:rPr>
          <w:sz w:val="22"/>
          <w:szCs w:val="22"/>
        </w:rPr>
        <w:t xml:space="preserve"> jam</w:t>
      </w:r>
      <w:r w:rsidR="00FA26D8" w:rsidRPr="00374521">
        <w:rPr>
          <w:sz w:val="22"/>
          <w:szCs w:val="22"/>
        </w:rPr>
        <w:t>y</w:t>
      </w:r>
      <w:r w:rsidRPr="00374521">
        <w:rPr>
          <w:sz w:val="22"/>
          <w:szCs w:val="22"/>
        </w:rPr>
        <w:t xml:space="preserve"> ustnej, wzdęcia, zapalenie błony śluzowej żołądka, wymioty</w:t>
      </w:r>
    </w:p>
    <w:p w14:paraId="48E66043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</w:p>
    <w:p w14:paraId="4907D4BD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 xml:space="preserve">Zaburzenia wątroby i dróg żółciowych </w:t>
      </w:r>
    </w:p>
    <w:p w14:paraId="4C792DCD" w14:textId="77777777" w:rsidR="00556DD0" w:rsidRPr="00374521" w:rsidRDefault="00782CBC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Częstość n</w:t>
      </w:r>
      <w:r w:rsidR="00556DD0" w:rsidRPr="00374521">
        <w:rPr>
          <w:sz w:val="22"/>
          <w:szCs w:val="22"/>
        </w:rPr>
        <w:t>ieznan</w:t>
      </w:r>
      <w:r w:rsidRPr="00374521">
        <w:rPr>
          <w:sz w:val="22"/>
          <w:szCs w:val="22"/>
        </w:rPr>
        <w:t>a</w:t>
      </w:r>
      <w:r w:rsidR="00556DD0" w:rsidRPr="00374521">
        <w:rPr>
          <w:sz w:val="22"/>
          <w:szCs w:val="22"/>
        </w:rPr>
        <w:t xml:space="preserve">: </w:t>
      </w:r>
      <w:r w:rsidRPr="00374521">
        <w:rPr>
          <w:sz w:val="22"/>
          <w:szCs w:val="22"/>
        </w:rPr>
        <w:t>zaburzenia czynności</w:t>
      </w:r>
      <w:r w:rsidR="00556DD0" w:rsidRPr="00374521">
        <w:rPr>
          <w:sz w:val="22"/>
          <w:szCs w:val="22"/>
        </w:rPr>
        <w:t xml:space="preserve"> wątroby</w:t>
      </w:r>
    </w:p>
    <w:p w14:paraId="5FDEF4D3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</w:p>
    <w:p w14:paraId="07633D50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Zaburzenia skóry i tkan</w:t>
      </w:r>
      <w:r w:rsidR="00034352">
        <w:rPr>
          <w:i/>
          <w:sz w:val="22"/>
          <w:szCs w:val="22"/>
        </w:rPr>
        <w:t>k</w:t>
      </w:r>
      <w:r w:rsidRPr="00374521">
        <w:rPr>
          <w:i/>
          <w:sz w:val="22"/>
          <w:szCs w:val="22"/>
        </w:rPr>
        <w:t>i podskórnej</w:t>
      </w:r>
    </w:p>
    <w:p w14:paraId="0533E6CE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Niezbyt częst</w:t>
      </w:r>
      <w:r w:rsidR="00782CBC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 xml:space="preserve">: łysienie, zapalenie skóry, suchość skóry, rumień, </w:t>
      </w:r>
      <w:r w:rsidR="00461821" w:rsidRPr="00374521">
        <w:rPr>
          <w:sz w:val="22"/>
          <w:szCs w:val="22"/>
        </w:rPr>
        <w:t>uderzenia gorąca z</w:t>
      </w:r>
      <w:r w:rsidR="00782CBC" w:rsidRPr="00374521">
        <w:rPr>
          <w:sz w:val="22"/>
          <w:szCs w:val="22"/>
        </w:rPr>
        <w:t xml:space="preserve"> zaczerwienienie</w:t>
      </w:r>
      <w:r w:rsidR="00461821" w:rsidRPr="00374521">
        <w:rPr>
          <w:sz w:val="22"/>
          <w:szCs w:val="22"/>
        </w:rPr>
        <w:t>m</w:t>
      </w:r>
      <w:r w:rsidRPr="00374521">
        <w:rPr>
          <w:sz w:val="22"/>
          <w:szCs w:val="22"/>
        </w:rPr>
        <w:t xml:space="preserve">, nadwrażliwość na światło, świąd, wysypka, pokrzywka, </w:t>
      </w:r>
      <w:r w:rsidR="00782CBC" w:rsidRPr="00374521">
        <w:rPr>
          <w:sz w:val="22"/>
          <w:szCs w:val="22"/>
        </w:rPr>
        <w:t xml:space="preserve">nasilone </w:t>
      </w:r>
      <w:r w:rsidRPr="00374521">
        <w:rPr>
          <w:sz w:val="22"/>
          <w:szCs w:val="22"/>
        </w:rPr>
        <w:t>po</w:t>
      </w:r>
      <w:r w:rsidR="00782CBC" w:rsidRPr="00374521">
        <w:rPr>
          <w:sz w:val="22"/>
          <w:szCs w:val="22"/>
        </w:rPr>
        <w:t>cenie się</w:t>
      </w:r>
    </w:p>
    <w:p w14:paraId="332A1DEA" w14:textId="77777777" w:rsidR="006935DA" w:rsidRPr="00EE1DBD" w:rsidRDefault="006935DA" w:rsidP="006935DA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EE1DBD">
        <w:rPr>
          <w:sz w:val="22"/>
          <w:szCs w:val="22"/>
        </w:rPr>
        <w:t>Częstość nieznana: toczeń rumieniowaty skórny</w:t>
      </w:r>
    </w:p>
    <w:p w14:paraId="71CA72DF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</w:p>
    <w:p w14:paraId="7EA5BF2E" w14:textId="77777777" w:rsidR="00782CBC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i/>
          <w:sz w:val="22"/>
          <w:szCs w:val="22"/>
        </w:rPr>
        <w:t>Zaburzenia mięśniowo-szkieletowe</w:t>
      </w:r>
      <w:r w:rsidR="00782CBC" w:rsidRPr="00374521">
        <w:rPr>
          <w:i/>
          <w:sz w:val="22"/>
          <w:szCs w:val="22"/>
        </w:rPr>
        <w:t xml:space="preserve"> i</w:t>
      </w:r>
      <w:r w:rsidRPr="00374521">
        <w:rPr>
          <w:i/>
          <w:sz w:val="22"/>
          <w:szCs w:val="22"/>
        </w:rPr>
        <w:t xml:space="preserve"> tkanki łącznej </w:t>
      </w:r>
    </w:p>
    <w:p w14:paraId="37A456C0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Częst</w:t>
      </w:r>
      <w:r w:rsidR="00782CBC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 xml:space="preserve">: </w:t>
      </w:r>
      <w:proofErr w:type="spellStart"/>
      <w:r w:rsidRPr="00374521">
        <w:rPr>
          <w:sz w:val="22"/>
          <w:szCs w:val="22"/>
        </w:rPr>
        <w:t>kurcze</w:t>
      </w:r>
      <w:proofErr w:type="spellEnd"/>
      <w:r w:rsidRPr="00374521">
        <w:rPr>
          <w:sz w:val="22"/>
          <w:szCs w:val="22"/>
        </w:rPr>
        <w:t xml:space="preserve"> mięśni, ból</w:t>
      </w:r>
      <w:r w:rsidR="00DF7746" w:rsidRPr="00374521">
        <w:rPr>
          <w:sz w:val="22"/>
          <w:szCs w:val="22"/>
        </w:rPr>
        <w:t xml:space="preserve"> pleców, ból</w:t>
      </w:r>
      <w:r w:rsidRPr="00374521">
        <w:rPr>
          <w:sz w:val="22"/>
          <w:szCs w:val="22"/>
        </w:rPr>
        <w:t xml:space="preserve"> nóg, ból mięśni</w:t>
      </w:r>
    </w:p>
    <w:p w14:paraId="36A0D426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Niezbyt częst</w:t>
      </w:r>
      <w:r w:rsidR="00782CBC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>: ból ramion, obrzęk stawów, ból kolan, bóle mięśniowo-szkieletowe, ból</w:t>
      </w:r>
      <w:r w:rsidR="00DF7746" w:rsidRPr="00374521">
        <w:rPr>
          <w:sz w:val="22"/>
          <w:szCs w:val="22"/>
        </w:rPr>
        <w:t xml:space="preserve"> barków, sztywność, ból stawów, zapalenie stawów, ból</w:t>
      </w:r>
      <w:r w:rsidRPr="00374521">
        <w:rPr>
          <w:sz w:val="22"/>
          <w:szCs w:val="22"/>
        </w:rPr>
        <w:t xml:space="preserve"> bioder, </w:t>
      </w:r>
      <w:proofErr w:type="spellStart"/>
      <w:r w:rsidRPr="00374521">
        <w:rPr>
          <w:sz w:val="22"/>
          <w:szCs w:val="22"/>
        </w:rPr>
        <w:t>fibromialgia</w:t>
      </w:r>
      <w:proofErr w:type="spellEnd"/>
      <w:r w:rsidRPr="00374521">
        <w:rPr>
          <w:sz w:val="22"/>
          <w:szCs w:val="22"/>
        </w:rPr>
        <w:t>, osłabienie siły mięśniowej</w:t>
      </w:r>
    </w:p>
    <w:p w14:paraId="52F78BD2" w14:textId="77777777" w:rsidR="00556DD0" w:rsidRPr="00374521" w:rsidRDefault="0016544B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 xml:space="preserve">Częstość nieznana: </w:t>
      </w:r>
      <w:proofErr w:type="spellStart"/>
      <w:r w:rsidRPr="00374521">
        <w:rPr>
          <w:sz w:val="22"/>
          <w:szCs w:val="22"/>
        </w:rPr>
        <w:t>rabdomioliza</w:t>
      </w:r>
      <w:proofErr w:type="spellEnd"/>
    </w:p>
    <w:p w14:paraId="7DBBE535" w14:textId="77777777" w:rsidR="003B5CC4" w:rsidRDefault="003B5CC4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</w:p>
    <w:p w14:paraId="2C550E01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Zaburzenia nerek i dróg moczowych</w:t>
      </w:r>
    </w:p>
    <w:p w14:paraId="5606F7A1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Niezbyt częst</w:t>
      </w:r>
      <w:r w:rsidR="00373318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>: oddawanie moczu</w:t>
      </w:r>
      <w:r w:rsidR="00373318" w:rsidRPr="00374521">
        <w:rPr>
          <w:sz w:val="22"/>
          <w:szCs w:val="22"/>
        </w:rPr>
        <w:t xml:space="preserve"> w nocy</w:t>
      </w:r>
      <w:r w:rsidRPr="00374521">
        <w:rPr>
          <w:sz w:val="22"/>
          <w:szCs w:val="22"/>
        </w:rPr>
        <w:t xml:space="preserve">, </w:t>
      </w:r>
      <w:r w:rsidR="00373318" w:rsidRPr="00374521">
        <w:rPr>
          <w:sz w:val="22"/>
          <w:szCs w:val="22"/>
        </w:rPr>
        <w:t xml:space="preserve">częste </w:t>
      </w:r>
      <w:r w:rsidRPr="00374521">
        <w:rPr>
          <w:sz w:val="22"/>
          <w:szCs w:val="22"/>
        </w:rPr>
        <w:t>oddawani</w:t>
      </w:r>
      <w:r w:rsidR="00373318" w:rsidRPr="00374521">
        <w:rPr>
          <w:sz w:val="22"/>
          <w:szCs w:val="22"/>
        </w:rPr>
        <w:t>e</w:t>
      </w:r>
      <w:r w:rsidRPr="00374521">
        <w:rPr>
          <w:sz w:val="22"/>
          <w:szCs w:val="22"/>
        </w:rPr>
        <w:t xml:space="preserve"> moczu, </w:t>
      </w:r>
      <w:r w:rsidR="00373318" w:rsidRPr="00374521">
        <w:rPr>
          <w:sz w:val="22"/>
          <w:szCs w:val="22"/>
        </w:rPr>
        <w:t>zakażenia</w:t>
      </w:r>
      <w:r w:rsidRPr="00374521">
        <w:rPr>
          <w:sz w:val="22"/>
          <w:szCs w:val="22"/>
        </w:rPr>
        <w:t xml:space="preserve"> dróg moczowych</w:t>
      </w:r>
    </w:p>
    <w:p w14:paraId="6456CF53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Zaburzenia układu rozrodczego i piersi</w:t>
      </w:r>
    </w:p>
    <w:p w14:paraId="715C9C4F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 xml:space="preserve">Niezbyt często: </w:t>
      </w:r>
      <w:r w:rsidR="00373318" w:rsidRPr="00374521">
        <w:rPr>
          <w:sz w:val="22"/>
          <w:szCs w:val="22"/>
        </w:rPr>
        <w:t xml:space="preserve">osłabienie </w:t>
      </w:r>
      <w:r w:rsidRPr="00374521">
        <w:rPr>
          <w:sz w:val="22"/>
          <w:szCs w:val="22"/>
        </w:rPr>
        <w:t>libido, impotencja</w:t>
      </w:r>
    </w:p>
    <w:p w14:paraId="08E577E4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66351C99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Zaburzenia ogólne i stany w miejscu podania</w:t>
      </w:r>
    </w:p>
    <w:p w14:paraId="1E971152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Częst</w:t>
      </w:r>
      <w:r w:rsidR="00373318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 xml:space="preserve">: </w:t>
      </w:r>
      <w:r w:rsidR="00373318" w:rsidRPr="00374521">
        <w:rPr>
          <w:sz w:val="22"/>
          <w:szCs w:val="22"/>
        </w:rPr>
        <w:t>osłabienie</w:t>
      </w:r>
      <w:r w:rsidRPr="00374521">
        <w:rPr>
          <w:sz w:val="22"/>
          <w:szCs w:val="22"/>
        </w:rPr>
        <w:t>, zmęczenie, ból w klatce piersiowej</w:t>
      </w:r>
    </w:p>
    <w:p w14:paraId="2480344F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Niezbyt częst</w:t>
      </w:r>
      <w:r w:rsidR="00373318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>: obrzęk twarzy, gorączka</w:t>
      </w:r>
    </w:p>
    <w:p w14:paraId="6563730B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33415D9D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Badania</w:t>
      </w:r>
      <w:r w:rsidR="00373318" w:rsidRPr="00374521">
        <w:rPr>
          <w:i/>
          <w:sz w:val="22"/>
          <w:szCs w:val="22"/>
        </w:rPr>
        <w:t xml:space="preserve"> diagnostyczne</w:t>
      </w:r>
      <w:r w:rsidRPr="00374521">
        <w:rPr>
          <w:i/>
          <w:sz w:val="22"/>
          <w:szCs w:val="22"/>
        </w:rPr>
        <w:t xml:space="preserve"> </w:t>
      </w:r>
    </w:p>
    <w:p w14:paraId="6DB12A19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Częst</w:t>
      </w:r>
      <w:r w:rsidR="00373318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>: hiperkaliemia, nie</w:t>
      </w:r>
      <w:r w:rsidR="00373318" w:rsidRPr="00374521">
        <w:rPr>
          <w:sz w:val="22"/>
          <w:szCs w:val="22"/>
        </w:rPr>
        <w:t>wielkie</w:t>
      </w:r>
      <w:r w:rsidRPr="00374521">
        <w:rPr>
          <w:sz w:val="22"/>
          <w:szCs w:val="22"/>
        </w:rPr>
        <w:t xml:space="preserve"> zmniejszenie wartości hematokrytu i </w:t>
      </w:r>
      <w:r w:rsidR="00373318" w:rsidRPr="00374521">
        <w:rPr>
          <w:sz w:val="22"/>
          <w:szCs w:val="22"/>
        </w:rPr>
        <w:t xml:space="preserve">stężenia </w:t>
      </w:r>
      <w:r w:rsidRPr="00374521">
        <w:rPr>
          <w:sz w:val="22"/>
          <w:szCs w:val="22"/>
        </w:rPr>
        <w:t>hemoglobiny</w:t>
      </w:r>
    </w:p>
    <w:p w14:paraId="40A8E7A9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Niezbyt częst</w:t>
      </w:r>
      <w:r w:rsidR="00373318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>: nie</w:t>
      </w:r>
      <w:r w:rsidR="00373318" w:rsidRPr="00374521">
        <w:rPr>
          <w:sz w:val="22"/>
          <w:szCs w:val="22"/>
        </w:rPr>
        <w:t xml:space="preserve">wielkie zwiększenie stężenia </w:t>
      </w:r>
      <w:r w:rsidRPr="00374521">
        <w:rPr>
          <w:sz w:val="22"/>
          <w:szCs w:val="22"/>
        </w:rPr>
        <w:t xml:space="preserve">kreatyniny i mocznika w surowicy krwi </w:t>
      </w:r>
    </w:p>
    <w:p w14:paraId="2ACC0B7F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Bardzo rzadk</w:t>
      </w:r>
      <w:r w:rsidR="00373318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 xml:space="preserve">: zwiększenie </w:t>
      </w:r>
      <w:r w:rsidR="00373318" w:rsidRPr="00374521">
        <w:rPr>
          <w:sz w:val="22"/>
          <w:szCs w:val="22"/>
        </w:rPr>
        <w:t xml:space="preserve">aktywności </w:t>
      </w:r>
      <w:r w:rsidRPr="00374521">
        <w:rPr>
          <w:sz w:val="22"/>
          <w:szCs w:val="22"/>
        </w:rPr>
        <w:t xml:space="preserve">enzymów wątrobowych i </w:t>
      </w:r>
      <w:r w:rsidR="00373318" w:rsidRPr="00374521">
        <w:rPr>
          <w:sz w:val="22"/>
          <w:szCs w:val="22"/>
        </w:rPr>
        <w:t xml:space="preserve">stężenia </w:t>
      </w:r>
      <w:r w:rsidRPr="00374521">
        <w:rPr>
          <w:sz w:val="22"/>
          <w:szCs w:val="22"/>
        </w:rPr>
        <w:t>bilirubiny</w:t>
      </w:r>
    </w:p>
    <w:p w14:paraId="70E1DD74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</w:p>
    <w:p w14:paraId="23F98E93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  <w:u w:val="single"/>
        </w:rPr>
      </w:pPr>
      <w:proofErr w:type="spellStart"/>
      <w:r w:rsidRPr="00374521">
        <w:rPr>
          <w:sz w:val="22"/>
          <w:szCs w:val="22"/>
          <w:u w:val="single"/>
        </w:rPr>
        <w:t>Hydrochlorotiazyd</w:t>
      </w:r>
      <w:proofErr w:type="spellEnd"/>
    </w:p>
    <w:p w14:paraId="37DF5261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</w:p>
    <w:p w14:paraId="0D6816D4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Zab</w:t>
      </w:r>
      <w:r w:rsidR="00DF7746" w:rsidRPr="00374521">
        <w:rPr>
          <w:i/>
          <w:sz w:val="22"/>
          <w:szCs w:val="22"/>
        </w:rPr>
        <w:t>urzenia krwi i układu chłonnego</w:t>
      </w:r>
      <w:r w:rsidRPr="00374521">
        <w:rPr>
          <w:i/>
          <w:sz w:val="22"/>
          <w:szCs w:val="22"/>
        </w:rPr>
        <w:t xml:space="preserve"> </w:t>
      </w:r>
    </w:p>
    <w:p w14:paraId="6D407058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Niezbyt częst</w:t>
      </w:r>
      <w:r w:rsidR="00373318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 xml:space="preserve">: agranulocytoza, niedokrwistość </w:t>
      </w:r>
      <w:proofErr w:type="spellStart"/>
      <w:r w:rsidRPr="00374521">
        <w:rPr>
          <w:sz w:val="22"/>
          <w:szCs w:val="22"/>
        </w:rPr>
        <w:t>aplastyczna</w:t>
      </w:r>
      <w:proofErr w:type="spellEnd"/>
      <w:r w:rsidRPr="00374521">
        <w:rPr>
          <w:sz w:val="22"/>
          <w:szCs w:val="22"/>
        </w:rPr>
        <w:t xml:space="preserve">, niedokrwistość hemolityczna, leukopenia, plamica, </w:t>
      </w:r>
      <w:r w:rsidR="00373318" w:rsidRPr="00374521">
        <w:rPr>
          <w:sz w:val="22"/>
          <w:szCs w:val="22"/>
        </w:rPr>
        <w:t>małopłytkowość</w:t>
      </w:r>
    </w:p>
    <w:p w14:paraId="5C22DC0C" w14:textId="77777777" w:rsidR="00373318" w:rsidRPr="00374521" w:rsidRDefault="00373318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</w:p>
    <w:p w14:paraId="4060B0C5" w14:textId="77777777" w:rsidR="00373318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 xml:space="preserve">Zaburzenia układu </w:t>
      </w:r>
      <w:r w:rsidR="00373318" w:rsidRPr="00374521">
        <w:rPr>
          <w:i/>
          <w:sz w:val="22"/>
          <w:szCs w:val="22"/>
        </w:rPr>
        <w:t>immunologicznego</w:t>
      </w:r>
    </w:p>
    <w:p w14:paraId="586A4B6F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Rzadk</w:t>
      </w:r>
      <w:r w:rsidR="00373318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>: reakcje anafilaktyczne</w:t>
      </w:r>
    </w:p>
    <w:p w14:paraId="00DCC150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</w:p>
    <w:p w14:paraId="2FF0C154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 xml:space="preserve">Zaburzenia metabolizmu i odżywiania </w:t>
      </w:r>
    </w:p>
    <w:p w14:paraId="42356DE3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Niezbyt częst</w:t>
      </w:r>
      <w:r w:rsidR="00373318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 xml:space="preserve">: anoreksja, hiperglikemia, </w:t>
      </w:r>
      <w:proofErr w:type="spellStart"/>
      <w:r w:rsidRPr="00374521">
        <w:rPr>
          <w:sz w:val="22"/>
          <w:szCs w:val="22"/>
        </w:rPr>
        <w:t>hiperurykemia</w:t>
      </w:r>
      <w:proofErr w:type="spellEnd"/>
      <w:r w:rsidRPr="00374521">
        <w:rPr>
          <w:sz w:val="22"/>
          <w:szCs w:val="22"/>
        </w:rPr>
        <w:t>, hipokaliemia, hiponatremia</w:t>
      </w:r>
    </w:p>
    <w:p w14:paraId="16C56F8D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2F553A5B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Zaburzenia psychiczne</w:t>
      </w:r>
    </w:p>
    <w:p w14:paraId="73AC8F7F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Niezbyt częst</w:t>
      </w:r>
      <w:r w:rsidR="00373318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>: bezsenność</w:t>
      </w:r>
    </w:p>
    <w:p w14:paraId="3E09DE31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1B9DDCBD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Zaburzenia układu nerwowego</w:t>
      </w:r>
    </w:p>
    <w:p w14:paraId="1229F775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Częst</w:t>
      </w:r>
      <w:r w:rsidR="00373318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>: ból głowy</w:t>
      </w:r>
    </w:p>
    <w:p w14:paraId="6F071134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7D2BDF97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Zaburzenia oka</w:t>
      </w:r>
    </w:p>
    <w:p w14:paraId="172D8CAF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Niezbyt częst</w:t>
      </w:r>
      <w:r w:rsidR="00373318" w:rsidRPr="00374521">
        <w:rPr>
          <w:sz w:val="22"/>
          <w:szCs w:val="22"/>
        </w:rPr>
        <w:t>o:</w:t>
      </w:r>
      <w:r w:rsidRPr="00374521">
        <w:rPr>
          <w:sz w:val="22"/>
          <w:szCs w:val="22"/>
        </w:rPr>
        <w:t xml:space="preserve"> </w:t>
      </w:r>
      <w:r w:rsidR="008B1253" w:rsidRPr="00374521">
        <w:rPr>
          <w:sz w:val="22"/>
          <w:szCs w:val="22"/>
        </w:rPr>
        <w:t>przemijające niewyraźne</w:t>
      </w:r>
      <w:r w:rsidRPr="00374521">
        <w:rPr>
          <w:sz w:val="22"/>
          <w:szCs w:val="22"/>
        </w:rPr>
        <w:t xml:space="preserve"> widzenie, widzenie na żółto</w:t>
      </w:r>
    </w:p>
    <w:p w14:paraId="497ACD8C" w14:textId="77777777" w:rsidR="00556DD0" w:rsidRDefault="00826FB8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Częstość nieznana: nadmiern</w:t>
      </w:r>
      <w:r w:rsidR="005F0828">
        <w:rPr>
          <w:sz w:val="22"/>
          <w:szCs w:val="22"/>
          <w:u w:val="single"/>
        </w:rPr>
        <w:t>e</w:t>
      </w:r>
      <w:r>
        <w:rPr>
          <w:sz w:val="22"/>
          <w:szCs w:val="22"/>
          <w:u w:val="single"/>
        </w:rPr>
        <w:t xml:space="preserve"> nagromadzenie płynu między naczyniówką a twardówką</w:t>
      </w:r>
    </w:p>
    <w:p w14:paraId="072C41A4" w14:textId="77777777" w:rsidR="00826FB8" w:rsidRPr="00374521" w:rsidRDefault="00826FB8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47DED285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Zaburzenia naczy</w:t>
      </w:r>
      <w:r w:rsidR="008B1253" w:rsidRPr="00374521">
        <w:rPr>
          <w:i/>
          <w:sz w:val="22"/>
          <w:szCs w:val="22"/>
        </w:rPr>
        <w:t>niowe</w:t>
      </w:r>
    </w:p>
    <w:p w14:paraId="4A3F1D05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Niezbyt częst</w:t>
      </w:r>
      <w:r w:rsidR="008B1253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>: martwicze zapalenie naczyń (zapaleni</w:t>
      </w:r>
      <w:r w:rsidR="008B1253" w:rsidRPr="00374521">
        <w:rPr>
          <w:sz w:val="22"/>
          <w:szCs w:val="22"/>
        </w:rPr>
        <w:t>e</w:t>
      </w:r>
      <w:r w:rsidRPr="00374521">
        <w:rPr>
          <w:sz w:val="22"/>
          <w:szCs w:val="22"/>
        </w:rPr>
        <w:t xml:space="preserve"> naczyń, zapalenie naczyń skóry)</w:t>
      </w:r>
    </w:p>
    <w:p w14:paraId="72492773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</w:p>
    <w:p w14:paraId="7B7B506C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 xml:space="preserve">Zaburzenia </w:t>
      </w:r>
      <w:r w:rsidR="008B1253" w:rsidRPr="00374521">
        <w:rPr>
          <w:i/>
          <w:sz w:val="22"/>
          <w:szCs w:val="22"/>
        </w:rPr>
        <w:t xml:space="preserve">układu </w:t>
      </w:r>
      <w:r w:rsidRPr="00374521">
        <w:rPr>
          <w:i/>
          <w:sz w:val="22"/>
          <w:szCs w:val="22"/>
        </w:rPr>
        <w:t>oddechowe</w:t>
      </w:r>
      <w:r w:rsidR="008B1253" w:rsidRPr="00374521">
        <w:rPr>
          <w:i/>
          <w:sz w:val="22"/>
          <w:szCs w:val="22"/>
        </w:rPr>
        <w:t>go</w:t>
      </w:r>
      <w:r w:rsidRPr="00374521">
        <w:rPr>
          <w:i/>
          <w:sz w:val="22"/>
          <w:szCs w:val="22"/>
        </w:rPr>
        <w:t>, klatki piersiowej i śródpiersia</w:t>
      </w:r>
    </w:p>
    <w:p w14:paraId="44C943EF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Niezbyt częst</w:t>
      </w:r>
      <w:r w:rsidR="008B1253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>: zaburzenia oddechowe, w tym zapalenie płuc i obrzęk płuc</w:t>
      </w:r>
    </w:p>
    <w:p w14:paraId="017FA37F" w14:textId="77777777" w:rsidR="00851F57" w:rsidRDefault="00851F57" w:rsidP="00851F57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Bardzo rzadko: Zespół ostrej niewydolności oddechowej (ARDS) (patrz punkt 4.4)</w:t>
      </w:r>
    </w:p>
    <w:p w14:paraId="783FF5AC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48C0BD1F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Zaburzenia żołądk</w:t>
      </w:r>
      <w:r w:rsidR="008B1253" w:rsidRPr="00374521">
        <w:rPr>
          <w:i/>
          <w:sz w:val="22"/>
          <w:szCs w:val="22"/>
        </w:rPr>
        <w:t xml:space="preserve">a i </w:t>
      </w:r>
      <w:r w:rsidRPr="00374521">
        <w:rPr>
          <w:i/>
          <w:sz w:val="22"/>
          <w:szCs w:val="22"/>
        </w:rPr>
        <w:t>jelit</w:t>
      </w:r>
    </w:p>
    <w:p w14:paraId="25242EFF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Niezbyt częst</w:t>
      </w:r>
      <w:r w:rsidR="008B1253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 xml:space="preserve">: zapalenie ślinianek, </w:t>
      </w:r>
      <w:r w:rsidR="00DF7746" w:rsidRPr="00374521">
        <w:rPr>
          <w:sz w:val="22"/>
          <w:szCs w:val="22"/>
        </w:rPr>
        <w:t>s</w:t>
      </w:r>
      <w:r w:rsidRPr="00374521">
        <w:rPr>
          <w:sz w:val="22"/>
          <w:szCs w:val="22"/>
        </w:rPr>
        <w:t>kurcze, podrażnienie żołądka, nudności</w:t>
      </w:r>
      <w:r w:rsidR="008B1253" w:rsidRPr="00374521">
        <w:rPr>
          <w:sz w:val="22"/>
          <w:szCs w:val="22"/>
        </w:rPr>
        <w:t>,</w:t>
      </w:r>
      <w:r w:rsidRPr="00374521">
        <w:rPr>
          <w:sz w:val="22"/>
          <w:szCs w:val="22"/>
        </w:rPr>
        <w:t xml:space="preserve"> wymioty, biegunka, zaparci</w:t>
      </w:r>
      <w:r w:rsidR="007A75FA" w:rsidRPr="00374521">
        <w:rPr>
          <w:sz w:val="22"/>
          <w:szCs w:val="22"/>
        </w:rPr>
        <w:t>e</w:t>
      </w:r>
    </w:p>
    <w:p w14:paraId="782BB337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</w:p>
    <w:p w14:paraId="3F87493B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 xml:space="preserve">Zaburzenia wątroby i dróg żółciowych </w:t>
      </w:r>
    </w:p>
    <w:p w14:paraId="441126D6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Niezbyt częst</w:t>
      </w:r>
      <w:r w:rsidR="008B1253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>: żółtaczka, (</w:t>
      </w:r>
      <w:proofErr w:type="spellStart"/>
      <w:r w:rsidRPr="00374521">
        <w:rPr>
          <w:sz w:val="22"/>
          <w:szCs w:val="22"/>
        </w:rPr>
        <w:t>cholestaza</w:t>
      </w:r>
      <w:proofErr w:type="spellEnd"/>
      <w:r w:rsidRPr="00374521">
        <w:rPr>
          <w:sz w:val="22"/>
          <w:szCs w:val="22"/>
        </w:rPr>
        <w:t xml:space="preserve"> wewnątrzwątrobowa), zapalenie trzustki</w:t>
      </w:r>
    </w:p>
    <w:p w14:paraId="610BC7BE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</w:p>
    <w:p w14:paraId="1BFAA25C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Zaburzenia skóry i tkanki podskórnej</w:t>
      </w:r>
    </w:p>
    <w:p w14:paraId="79337132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Niezbyt częst</w:t>
      </w:r>
      <w:r w:rsidR="008B1253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>: nadwrażliwość na światło, pokrzywka, toksyczn</w:t>
      </w:r>
      <w:r w:rsidR="008B1253" w:rsidRPr="00374521">
        <w:rPr>
          <w:sz w:val="22"/>
          <w:szCs w:val="22"/>
        </w:rPr>
        <w:t xml:space="preserve">e martwicze oddzielanie się </w:t>
      </w:r>
      <w:r w:rsidRPr="00374521">
        <w:rPr>
          <w:sz w:val="22"/>
          <w:szCs w:val="22"/>
        </w:rPr>
        <w:t>naskórka</w:t>
      </w:r>
    </w:p>
    <w:p w14:paraId="458A79D5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</w:p>
    <w:p w14:paraId="6C70C528" w14:textId="77777777" w:rsidR="008B1253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Zaburzenia mięśniowo-szkieletowe</w:t>
      </w:r>
      <w:r w:rsidR="008B1253" w:rsidRPr="00374521">
        <w:rPr>
          <w:i/>
          <w:sz w:val="22"/>
          <w:szCs w:val="22"/>
        </w:rPr>
        <w:t xml:space="preserve"> i</w:t>
      </w:r>
      <w:r w:rsidRPr="00374521">
        <w:rPr>
          <w:i/>
          <w:sz w:val="22"/>
          <w:szCs w:val="22"/>
        </w:rPr>
        <w:t xml:space="preserve"> tkanki łącznej </w:t>
      </w:r>
    </w:p>
    <w:p w14:paraId="3D487522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Niezbyt częst</w:t>
      </w:r>
      <w:r w:rsidR="008B1253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 xml:space="preserve">: </w:t>
      </w:r>
      <w:proofErr w:type="spellStart"/>
      <w:r w:rsidRPr="00374521">
        <w:rPr>
          <w:sz w:val="22"/>
          <w:szCs w:val="22"/>
        </w:rPr>
        <w:t>kurcze</w:t>
      </w:r>
      <w:proofErr w:type="spellEnd"/>
      <w:r w:rsidRPr="00374521">
        <w:rPr>
          <w:sz w:val="22"/>
          <w:szCs w:val="22"/>
        </w:rPr>
        <w:t xml:space="preserve"> mięśni</w:t>
      </w:r>
    </w:p>
    <w:p w14:paraId="1FC27EE2" w14:textId="77777777" w:rsidR="00FF2554" w:rsidRDefault="00FF2554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</w:p>
    <w:p w14:paraId="038A5C4D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Zaburzenia nerek i dróg moczowych</w:t>
      </w:r>
    </w:p>
    <w:p w14:paraId="6E03B24A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Niezbyt częst</w:t>
      </w:r>
      <w:r w:rsidR="008B1253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 xml:space="preserve">: </w:t>
      </w:r>
      <w:r w:rsidR="008B1253" w:rsidRPr="00374521">
        <w:rPr>
          <w:sz w:val="22"/>
          <w:szCs w:val="22"/>
        </w:rPr>
        <w:t>cukromocz</w:t>
      </w:r>
      <w:r w:rsidRPr="00374521">
        <w:rPr>
          <w:sz w:val="22"/>
          <w:szCs w:val="22"/>
        </w:rPr>
        <w:t xml:space="preserve">, śródmiąższowe </w:t>
      </w:r>
      <w:r w:rsidR="008B1253" w:rsidRPr="00374521">
        <w:rPr>
          <w:sz w:val="22"/>
          <w:szCs w:val="22"/>
        </w:rPr>
        <w:t xml:space="preserve">zapalenie </w:t>
      </w:r>
      <w:r w:rsidRPr="00374521">
        <w:rPr>
          <w:sz w:val="22"/>
          <w:szCs w:val="22"/>
        </w:rPr>
        <w:t xml:space="preserve">nerek, </w:t>
      </w:r>
      <w:r w:rsidR="008B1253" w:rsidRPr="00374521">
        <w:rPr>
          <w:sz w:val="22"/>
          <w:szCs w:val="22"/>
        </w:rPr>
        <w:t xml:space="preserve">zaburzenia </w:t>
      </w:r>
      <w:r w:rsidR="00245092" w:rsidRPr="00374521">
        <w:rPr>
          <w:sz w:val="22"/>
          <w:szCs w:val="22"/>
        </w:rPr>
        <w:t xml:space="preserve">czynności </w:t>
      </w:r>
      <w:r w:rsidRPr="00374521">
        <w:rPr>
          <w:sz w:val="22"/>
          <w:szCs w:val="22"/>
        </w:rPr>
        <w:t>nerek, niewydolność nerek</w:t>
      </w:r>
    </w:p>
    <w:p w14:paraId="1EDBA331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</w:p>
    <w:p w14:paraId="6B104E43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Zaburzenia ogólne i stany w miejscu podania</w:t>
      </w:r>
    </w:p>
    <w:p w14:paraId="6B975AC5" w14:textId="77777777" w:rsidR="00556DD0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Niezbyt częst</w:t>
      </w:r>
      <w:r w:rsidR="008B1253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>: gorączka, zawroty głowy</w:t>
      </w:r>
    </w:p>
    <w:p w14:paraId="28823047" w14:textId="77777777" w:rsidR="00DA01E8" w:rsidRDefault="00DA01E8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</w:p>
    <w:p w14:paraId="2582DF3F" w14:textId="77777777" w:rsidR="00DA01E8" w:rsidRPr="0030379E" w:rsidRDefault="00DA01E8" w:rsidP="00DA01E8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0379E">
        <w:rPr>
          <w:i/>
          <w:sz w:val="22"/>
          <w:szCs w:val="22"/>
        </w:rPr>
        <w:t xml:space="preserve">Nowotwory łagodne, złośliwe i nieokreślone (w tym torbiele i polipy) </w:t>
      </w:r>
    </w:p>
    <w:p w14:paraId="28BB4A5B" w14:textId="77777777" w:rsidR="00DA01E8" w:rsidRDefault="00DA01E8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0379E">
        <w:rPr>
          <w:sz w:val="22"/>
          <w:szCs w:val="22"/>
        </w:rPr>
        <w:t xml:space="preserve">Częstość nieznana: </w:t>
      </w:r>
      <w:proofErr w:type="spellStart"/>
      <w:r w:rsidRPr="0030379E">
        <w:rPr>
          <w:sz w:val="22"/>
          <w:szCs w:val="22"/>
        </w:rPr>
        <w:t>nieczerniakowe</w:t>
      </w:r>
      <w:proofErr w:type="spellEnd"/>
      <w:r w:rsidRPr="0030379E">
        <w:rPr>
          <w:sz w:val="22"/>
          <w:szCs w:val="22"/>
        </w:rPr>
        <w:t xml:space="preserve"> nowotwory złośliwe skóry (rak </w:t>
      </w:r>
      <w:proofErr w:type="spellStart"/>
      <w:r w:rsidRPr="0030379E">
        <w:rPr>
          <w:sz w:val="22"/>
          <w:szCs w:val="22"/>
        </w:rPr>
        <w:t>podstawnokomórkowy</w:t>
      </w:r>
      <w:proofErr w:type="spellEnd"/>
      <w:r w:rsidRPr="0030379E">
        <w:rPr>
          <w:sz w:val="22"/>
          <w:szCs w:val="22"/>
        </w:rPr>
        <w:t xml:space="preserve"> i rak </w:t>
      </w:r>
      <w:proofErr w:type="spellStart"/>
      <w:r w:rsidRPr="0030379E">
        <w:rPr>
          <w:sz w:val="22"/>
          <w:szCs w:val="22"/>
        </w:rPr>
        <w:t>kolczystokomórkowy</w:t>
      </w:r>
      <w:proofErr w:type="spellEnd"/>
      <w:r w:rsidRPr="0030379E">
        <w:rPr>
          <w:sz w:val="22"/>
          <w:szCs w:val="22"/>
        </w:rPr>
        <w:t xml:space="preserve"> skóry)</w:t>
      </w:r>
    </w:p>
    <w:p w14:paraId="34205010" w14:textId="77777777" w:rsidR="004733AA" w:rsidRDefault="004733AA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</w:p>
    <w:p w14:paraId="56AC48D5" w14:textId="77777777" w:rsidR="004733AA" w:rsidRPr="00442C28" w:rsidRDefault="004733AA" w:rsidP="004733AA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442C28">
        <w:rPr>
          <w:i/>
          <w:sz w:val="22"/>
          <w:szCs w:val="22"/>
        </w:rPr>
        <w:t>Opis wybranych działań niepożądanych</w:t>
      </w:r>
    </w:p>
    <w:p w14:paraId="2A72F71C" w14:textId="77777777" w:rsidR="004733AA" w:rsidRPr="00374521" w:rsidRDefault="004733AA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Nieczerniakowe</w:t>
      </w:r>
      <w:proofErr w:type="spellEnd"/>
      <w:r>
        <w:rPr>
          <w:sz w:val="22"/>
          <w:szCs w:val="22"/>
        </w:rPr>
        <w:t xml:space="preserve"> nowotwory złośliwe skóry. </w:t>
      </w:r>
      <w:r w:rsidRPr="002A1915">
        <w:rPr>
          <w:sz w:val="22"/>
          <w:szCs w:val="22"/>
        </w:rPr>
        <w:t>Na podstawie danych dostępnych z badań epidemiologicznych stwierdzono związek między łączną dawką HCTZ a występowaniem NMSC (patrz również punkty 4.4 i 5.1).</w:t>
      </w:r>
    </w:p>
    <w:p w14:paraId="177EBDF3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7449BF68" w14:textId="77777777" w:rsidR="008B651E" w:rsidRPr="00374521" w:rsidRDefault="008B651E" w:rsidP="00374521">
      <w:pPr>
        <w:rPr>
          <w:bCs/>
          <w:noProof/>
          <w:sz w:val="22"/>
          <w:szCs w:val="22"/>
          <w:u w:val="single"/>
        </w:rPr>
      </w:pPr>
      <w:r w:rsidRPr="00374521">
        <w:rPr>
          <w:bCs/>
          <w:noProof/>
          <w:sz w:val="22"/>
          <w:szCs w:val="22"/>
          <w:u w:val="single"/>
        </w:rPr>
        <w:t>Zgłaszanie podejrzewanych działań niepożądanych</w:t>
      </w:r>
    </w:p>
    <w:p w14:paraId="4C40F875" w14:textId="0E8DC9E6" w:rsidR="00556DD0" w:rsidRPr="00374521" w:rsidRDefault="008B651E" w:rsidP="00374521">
      <w:pPr>
        <w:rPr>
          <w:bCs/>
          <w:noProof/>
          <w:sz w:val="22"/>
          <w:szCs w:val="22"/>
        </w:rPr>
      </w:pPr>
      <w:r w:rsidRPr="00374521">
        <w:rPr>
          <w:bCs/>
          <w:noProof/>
          <w:sz w:val="22"/>
          <w:szCs w:val="22"/>
        </w:rPr>
        <w:t xml:space="preserve">Po dopuszczeniu produktu leczniczego do obrotu istotne jest zgłaszanie podejrzewanych działań niepożądanych. Umożliwia to nieprzerwane monitorowanie stosunku korzyści do ryzyka stosowania produktu leczniczego. </w:t>
      </w:r>
      <w:r w:rsidR="00961B08" w:rsidRPr="00374521">
        <w:rPr>
          <w:bCs/>
          <w:noProof/>
          <w:sz w:val="22"/>
          <w:szCs w:val="22"/>
        </w:rPr>
        <w:t xml:space="preserve">Osoby należące do fachowego personelu medycznego powinny zgłaszać wszelkie podejrzewane działania niepożądane za pośrednictwem krajowego systemu zgłaszania do Departamentu Monitorowania Niepożądanych Działań Produktów Leczniczych Urzędu Rejestracji Produktów Leczniczych, Wyrobów Medycznych i Produktów Biobójczych, </w:t>
      </w:r>
      <w:r w:rsidR="00961B08" w:rsidRPr="00374521">
        <w:rPr>
          <w:bCs/>
          <w:noProof/>
          <w:sz w:val="22"/>
          <w:szCs w:val="22"/>
          <w:lang w:val="pt-BR"/>
        </w:rPr>
        <w:t xml:space="preserve">Al. Jerozolimskie </w:t>
      </w:r>
      <w:smartTag w:uri="urn:schemas-microsoft-com:office:smarttags" w:element="metricconverter">
        <w:smartTagPr>
          <w:attr w:name="ProductID" w:val="181C"/>
        </w:smartTagPr>
        <w:r w:rsidR="00961B08" w:rsidRPr="00374521">
          <w:rPr>
            <w:bCs/>
            <w:noProof/>
            <w:sz w:val="22"/>
            <w:szCs w:val="22"/>
            <w:lang w:val="pt-BR"/>
          </w:rPr>
          <w:t>181C</w:t>
        </w:r>
      </w:smartTag>
      <w:r w:rsidR="00961B08" w:rsidRPr="00374521">
        <w:rPr>
          <w:bCs/>
          <w:noProof/>
          <w:sz w:val="22"/>
          <w:szCs w:val="22"/>
          <w:lang w:val="pt-BR"/>
        </w:rPr>
        <w:t xml:space="preserve">, 02-222 Warszawa, </w:t>
      </w:r>
      <w:r w:rsidR="00961B08" w:rsidRPr="00374521">
        <w:rPr>
          <w:bCs/>
          <w:noProof/>
          <w:sz w:val="22"/>
          <w:szCs w:val="22"/>
        </w:rPr>
        <w:t xml:space="preserve">tel.: + 48 22 49 21 301, faks: + 48 22 49 21 309, </w:t>
      </w:r>
      <w:r w:rsidR="00FF7082" w:rsidRPr="00AD193F">
        <w:rPr>
          <w:sz w:val="22"/>
          <w:szCs w:val="22"/>
        </w:rPr>
        <w:t>strona internetowa: </w:t>
      </w:r>
      <w:hyperlink r:id="rId7" w:history="1">
        <w:r w:rsidR="00FF7082" w:rsidRPr="00AD193F">
          <w:rPr>
            <w:rStyle w:val="Hipercze"/>
            <w:sz w:val="22"/>
            <w:szCs w:val="22"/>
          </w:rPr>
          <w:t>https://smz.ezdrowie.gov.pl</w:t>
        </w:r>
      </w:hyperlink>
    </w:p>
    <w:p w14:paraId="73888E1F" w14:textId="77777777" w:rsidR="00961B08" w:rsidRPr="00374521" w:rsidRDefault="00961B08" w:rsidP="00374521">
      <w:pPr>
        <w:rPr>
          <w:sz w:val="22"/>
          <w:szCs w:val="22"/>
          <w:u w:val="single"/>
        </w:rPr>
      </w:pPr>
    </w:p>
    <w:p w14:paraId="58C1317F" w14:textId="77777777" w:rsidR="00556DD0" w:rsidRPr="00374521" w:rsidRDefault="00E33426" w:rsidP="00374521">
      <w:pPr>
        <w:tabs>
          <w:tab w:val="left" w:pos="540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374521">
        <w:rPr>
          <w:b/>
          <w:sz w:val="22"/>
          <w:szCs w:val="22"/>
        </w:rPr>
        <w:t>4.9</w:t>
      </w:r>
      <w:r w:rsidRPr="00374521">
        <w:rPr>
          <w:b/>
          <w:sz w:val="22"/>
          <w:szCs w:val="22"/>
        </w:rPr>
        <w:tab/>
      </w:r>
      <w:r w:rsidR="00556DD0" w:rsidRPr="00374521">
        <w:rPr>
          <w:b/>
          <w:bCs/>
          <w:sz w:val="22"/>
          <w:szCs w:val="22"/>
        </w:rPr>
        <w:t>Przedawkowanie</w:t>
      </w:r>
    </w:p>
    <w:p w14:paraId="0694C742" w14:textId="77777777" w:rsidR="00556DD0" w:rsidRPr="00374521" w:rsidRDefault="00556DD0" w:rsidP="00374521">
      <w:pPr>
        <w:rPr>
          <w:bCs/>
          <w:sz w:val="22"/>
          <w:szCs w:val="22"/>
        </w:rPr>
      </w:pPr>
    </w:p>
    <w:p w14:paraId="14ACD498" w14:textId="77777777" w:rsidR="00556DD0" w:rsidRPr="00374521" w:rsidRDefault="00556DD0" w:rsidP="0037452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74521">
        <w:rPr>
          <w:sz w:val="22"/>
          <w:szCs w:val="22"/>
        </w:rPr>
        <w:t xml:space="preserve">Brak szczególnych informacji na temat postępowania w przypadku przedawkowania </w:t>
      </w:r>
      <w:r w:rsidR="008B1253" w:rsidRPr="00374521">
        <w:rPr>
          <w:sz w:val="22"/>
          <w:szCs w:val="22"/>
        </w:rPr>
        <w:t xml:space="preserve">produktu </w:t>
      </w:r>
      <w:proofErr w:type="spellStart"/>
      <w:r w:rsidR="00EF7DC8" w:rsidRPr="00374521">
        <w:rPr>
          <w:color w:val="000000"/>
          <w:sz w:val="22"/>
          <w:szCs w:val="22"/>
        </w:rPr>
        <w:t>Presartan</w:t>
      </w:r>
      <w:proofErr w:type="spellEnd"/>
      <w:r w:rsidR="00EF7DC8" w:rsidRPr="00374521">
        <w:rPr>
          <w:color w:val="000000"/>
          <w:sz w:val="22"/>
          <w:szCs w:val="22"/>
        </w:rPr>
        <w:t xml:space="preserve"> H</w:t>
      </w:r>
      <w:r w:rsidRPr="00374521">
        <w:rPr>
          <w:color w:val="000000"/>
          <w:sz w:val="22"/>
          <w:szCs w:val="22"/>
        </w:rPr>
        <w:t xml:space="preserve">. Leczenie jest objawowe i podtrzymujące. Należy </w:t>
      </w:r>
      <w:r w:rsidR="008B1253" w:rsidRPr="00374521">
        <w:rPr>
          <w:color w:val="000000"/>
          <w:sz w:val="22"/>
          <w:szCs w:val="22"/>
        </w:rPr>
        <w:t xml:space="preserve">przerwać podawanie </w:t>
      </w:r>
      <w:r w:rsidR="008B1253" w:rsidRPr="00374521">
        <w:rPr>
          <w:sz w:val="22"/>
          <w:szCs w:val="22"/>
        </w:rPr>
        <w:t xml:space="preserve">produktu </w:t>
      </w:r>
      <w:proofErr w:type="spellStart"/>
      <w:r w:rsidR="00EF7DC8" w:rsidRPr="00374521">
        <w:rPr>
          <w:color w:val="000000"/>
          <w:sz w:val="22"/>
          <w:szCs w:val="22"/>
        </w:rPr>
        <w:t>Presartan</w:t>
      </w:r>
      <w:proofErr w:type="spellEnd"/>
      <w:r w:rsidR="00EF7DC8" w:rsidRPr="00374521">
        <w:rPr>
          <w:color w:val="000000"/>
          <w:sz w:val="22"/>
          <w:szCs w:val="22"/>
        </w:rPr>
        <w:t xml:space="preserve"> H</w:t>
      </w:r>
      <w:r w:rsidRPr="00374521">
        <w:rPr>
          <w:color w:val="000000"/>
          <w:sz w:val="22"/>
          <w:szCs w:val="22"/>
        </w:rPr>
        <w:t xml:space="preserve"> i uważnie obserwować pacjenta. Zalecane postępowanie leczni</w:t>
      </w:r>
      <w:r w:rsidR="00DF7746" w:rsidRPr="00374521">
        <w:rPr>
          <w:color w:val="000000"/>
          <w:sz w:val="22"/>
          <w:szCs w:val="22"/>
        </w:rPr>
        <w:t xml:space="preserve">cze obejmuje wywołanie wymiotów, </w:t>
      </w:r>
      <w:r w:rsidR="008B1253" w:rsidRPr="00374521">
        <w:rPr>
          <w:color w:val="000000"/>
          <w:sz w:val="22"/>
          <w:szCs w:val="22"/>
        </w:rPr>
        <w:t xml:space="preserve">jeśli </w:t>
      </w:r>
      <w:r w:rsidRPr="00374521">
        <w:rPr>
          <w:color w:val="000000"/>
          <w:sz w:val="22"/>
          <w:szCs w:val="22"/>
        </w:rPr>
        <w:t>przedawkowani</w:t>
      </w:r>
      <w:r w:rsidR="008B1253" w:rsidRPr="00374521">
        <w:rPr>
          <w:color w:val="000000"/>
          <w:sz w:val="22"/>
          <w:szCs w:val="22"/>
        </w:rPr>
        <w:t>e</w:t>
      </w:r>
      <w:r w:rsidR="0008681C" w:rsidRPr="00374521">
        <w:rPr>
          <w:color w:val="000000"/>
          <w:sz w:val="22"/>
          <w:szCs w:val="22"/>
        </w:rPr>
        <w:t xml:space="preserve"> nastąpiło niedawno</w:t>
      </w:r>
      <w:r w:rsidRPr="00374521">
        <w:rPr>
          <w:color w:val="000000"/>
          <w:sz w:val="22"/>
          <w:szCs w:val="22"/>
        </w:rPr>
        <w:t xml:space="preserve">, </w:t>
      </w:r>
      <w:r w:rsidR="0008681C" w:rsidRPr="00374521">
        <w:rPr>
          <w:color w:val="000000"/>
          <w:sz w:val="22"/>
          <w:szCs w:val="22"/>
        </w:rPr>
        <w:t>wyrównanie zaburzeń wodno-</w:t>
      </w:r>
      <w:r w:rsidRPr="00374521">
        <w:rPr>
          <w:color w:val="000000"/>
          <w:sz w:val="22"/>
          <w:szCs w:val="22"/>
        </w:rPr>
        <w:t>elektrolitow</w:t>
      </w:r>
      <w:r w:rsidR="0008681C" w:rsidRPr="00374521">
        <w:rPr>
          <w:color w:val="000000"/>
          <w:sz w:val="22"/>
          <w:szCs w:val="22"/>
        </w:rPr>
        <w:t>ych</w:t>
      </w:r>
      <w:r w:rsidRPr="00374521">
        <w:rPr>
          <w:color w:val="000000"/>
          <w:sz w:val="22"/>
          <w:szCs w:val="22"/>
        </w:rPr>
        <w:t xml:space="preserve"> </w:t>
      </w:r>
      <w:r w:rsidR="0008681C" w:rsidRPr="00374521">
        <w:rPr>
          <w:color w:val="000000"/>
          <w:sz w:val="22"/>
          <w:szCs w:val="22"/>
        </w:rPr>
        <w:t xml:space="preserve">oraz leczenie śpiączki wątrobowej </w:t>
      </w:r>
      <w:r w:rsidRPr="00374521">
        <w:rPr>
          <w:color w:val="000000"/>
          <w:sz w:val="22"/>
          <w:szCs w:val="22"/>
        </w:rPr>
        <w:t xml:space="preserve">i niedociśnienia </w:t>
      </w:r>
      <w:r w:rsidR="00DF7746" w:rsidRPr="00374521">
        <w:rPr>
          <w:color w:val="000000"/>
          <w:sz w:val="22"/>
          <w:szCs w:val="22"/>
        </w:rPr>
        <w:t>przy użyciu ustalonych</w:t>
      </w:r>
      <w:r w:rsidRPr="00374521">
        <w:rPr>
          <w:color w:val="000000"/>
          <w:sz w:val="22"/>
          <w:szCs w:val="22"/>
        </w:rPr>
        <w:t xml:space="preserve"> metod</w:t>
      </w:r>
      <w:r w:rsidR="00DF7746" w:rsidRPr="00374521">
        <w:rPr>
          <w:color w:val="000000"/>
          <w:sz w:val="22"/>
          <w:szCs w:val="22"/>
        </w:rPr>
        <w:t xml:space="preserve"> postępowania</w:t>
      </w:r>
      <w:r w:rsidRPr="00374521">
        <w:rPr>
          <w:color w:val="000000"/>
          <w:sz w:val="22"/>
          <w:szCs w:val="22"/>
        </w:rPr>
        <w:t>.</w:t>
      </w:r>
    </w:p>
    <w:p w14:paraId="456485BD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3C6B782E" w14:textId="77777777" w:rsidR="00556DD0" w:rsidRPr="00374521" w:rsidRDefault="00556DD0" w:rsidP="00374521">
      <w:pPr>
        <w:autoSpaceDE w:val="0"/>
        <w:autoSpaceDN w:val="0"/>
        <w:adjustRightInd w:val="0"/>
        <w:rPr>
          <w:iCs/>
          <w:sz w:val="22"/>
          <w:szCs w:val="22"/>
          <w:u w:val="single"/>
        </w:rPr>
      </w:pPr>
      <w:proofErr w:type="spellStart"/>
      <w:r w:rsidRPr="00374521">
        <w:rPr>
          <w:iCs/>
          <w:sz w:val="22"/>
          <w:szCs w:val="22"/>
          <w:u w:val="single"/>
        </w:rPr>
        <w:t>Losartan</w:t>
      </w:r>
      <w:proofErr w:type="spellEnd"/>
    </w:p>
    <w:p w14:paraId="01EE525C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Dane dotyczące przedawkowania u ludzi są ograniczone. Najbardziej prawdopodobnymi objawami przedawkowania są niedociśnienie i tachykardia, chociaż może również wystąpić bradykardia w wyniku pobudzenia układu przywspółczulnego (</w:t>
      </w:r>
      <w:r w:rsidR="0008681C" w:rsidRPr="00374521">
        <w:rPr>
          <w:sz w:val="22"/>
          <w:szCs w:val="22"/>
        </w:rPr>
        <w:t xml:space="preserve">nerwu </w:t>
      </w:r>
      <w:r w:rsidRPr="00374521">
        <w:rPr>
          <w:sz w:val="22"/>
          <w:szCs w:val="22"/>
        </w:rPr>
        <w:t>błędnego). W przypadku wystąpienia niedociśnienia objawowego, nale</w:t>
      </w:r>
      <w:r w:rsidR="00DF7746" w:rsidRPr="00374521">
        <w:rPr>
          <w:sz w:val="22"/>
          <w:szCs w:val="22"/>
        </w:rPr>
        <w:t>ży zastosować leczenie wspomagające</w:t>
      </w:r>
      <w:r w:rsidRPr="00374521">
        <w:rPr>
          <w:sz w:val="22"/>
          <w:szCs w:val="22"/>
        </w:rPr>
        <w:t xml:space="preserve">. </w:t>
      </w:r>
    </w:p>
    <w:p w14:paraId="2EDA3823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04A870B6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 xml:space="preserve">Ani </w:t>
      </w:r>
      <w:proofErr w:type="spellStart"/>
      <w:r w:rsidRPr="00374521">
        <w:rPr>
          <w:sz w:val="22"/>
          <w:szCs w:val="22"/>
        </w:rPr>
        <w:t>losartanu</w:t>
      </w:r>
      <w:proofErr w:type="spellEnd"/>
      <w:r w:rsidR="0008681C" w:rsidRPr="00374521">
        <w:rPr>
          <w:sz w:val="22"/>
          <w:szCs w:val="22"/>
        </w:rPr>
        <w:t>,</w:t>
      </w:r>
      <w:r w:rsidRPr="00374521">
        <w:rPr>
          <w:sz w:val="22"/>
          <w:szCs w:val="22"/>
        </w:rPr>
        <w:t xml:space="preserve"> ani jego </w:t>
      </w:r>
      <w:r w:rsidR="0008681C" w:rsidRPr="00374521">
        <w:rPr>
          <w:sz w:val="22"/>
          <w:szCs w:val="22"/>
        </w:rPr>
        <w:t xml:space="preserve">czynnego </w:t>
      </w:r>
      <w:r w:rsidRPr="00374521">
        <w:rPr>
          <w:sz w:val="22"/>
          <w:szCs w:val="22"/>
        </w:rPr>
        <w:t>metabolit</w:t>
      </w:r>
      <w:r w:rsidR="0008681C" w:rsidRPr="00374521">
        <w:rPr>
          <w:sz w:val="22"/>
          <w:szCs w:val="22"/>
        </w:rPr>
        <w:t>u</w:t>
      </w:r>
      <w:r w:rsidRPr="00374521">
        <w:rPr>
          <w:sz w:val="22"/>
          <w:szCs w:val="22"/>
        </w:rPr>
        <w:t xml:space="preserve"> nie można usunąć z or</w:t>
      </w:r>
      <w:r w:rsidR="00DF7746" w:rsidRPr="00374521">
        <w:rPr>
          <w:sz w:val="22"/>
          <w:szCs w:val="22"/>
        </w:rPr>
        <w:t>ganizmu za pomocą hemodializy.</w:t>
      </w:r>
    </w:p>
    <w:p w14:paraId="4CF8A000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791F0E71" w14:textId="77777777" w:rsidR="00556DD0" w:rsidRPr="00374521" w:rsidRDefault="00556DD0" w:rsidP="00374521">
      <w:pPr>
        <w:autoSpaceDE w:val="0"/>
        <w:autoSpaceDN w:val="0"/>
        <w:adjustRightInd w:val="0"/>
        <w:rPr>
          <w:iCs/>
          <w:sz w:val="22"/>
          <w:szCs w:val="22"/>
          <w:u w:val="single"/>
        </w:rPr>
      </w:pPr>
      <w:proofErr w:type="spellStart"/>
      <w:r w:rsidRPr="00374521">
        <w:rPr>
          <w:iCs/>
          <w:sz w:val="22"/>
          <w:szCs w:val="22"/>
          <w:u w:val="single"/>
        </w:rPr>
        <w:t>Hydrochlorotiazyd</w:t>
      </w:r>
      <w:proofErr w:type="spellEnd"/>
    </w:p>
    <w:p w14:paraId="3779FB37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Najczęściej obserwowan</w:t>
      </w:r>
      <w:r w:rsidR="0008681C" w:rsidRPr="00374521">
        <w:rPr>
          <w:sz w:val="22"/>
          <w:szCs w:val="22"/>
        </w:rPr>
        <w:t>e objawy przedmiotowe i podmiotowe są spowodowane niedoborem elektrolitów</w:t>
      </w:r>
      <w:r w:rsidRPr="00374521">
        <w:rPr>
          <w:sz w:val="22"/>
          <w:szCs w:val="22"/>
        </w:rPr>
        <w:t xml:space="preserve"> (hipokaliemia, hipochloremia, hiponatremia) i odwodnieniem w wyniku </w:t>
      </w:r>
      <w:r w:rsidR="0008681C" w:rsidRPr="00374521">
        <w:rPr>
          <w:sz w:val="22"/>
          <w:szCs w:val="22"/>
        </w:rPr>
        <w:t xml:space="preserve">nasilonej </w:t>
      </w:r>
      <w:r w:rsidRPr="00374521">
        <w:rPr>
          <w:sz w:val="22"/>
          <w:szCs w:val="22"/>
        </w:rPr>
        <w:t xml:space="preserve">diurezy. </w:t>
      </w:r>
      <w:r w:rsidR="0008681C" w:rsidRPr="00374521">
        <w:rPr>
          <w:sz w:val="22"/>
          <w:szCs w:val="22"/>
        </w:rPr>
        <w:t>W przypadku jednoczesnego</w:t>
      </w:r>
      <w:r w:rsidRPr="00374521">
        <w:rPr>
          <w:sz w:val="22"/>
          <w:szCs w:val="22"/>
        </w:rPr>
        <w:t xml:space="preserve"> przyjm</w:t>
      </w:r>
      <w:r w:rsidR="0008681C" w:rsidRPr="00374521">
        <w:rPr>
          <w:sz w:val="22"/>
          <w:szCs w:val="22"/>
        </w:rPr>
        <w:t>owania</w:t>
      </w:r>
      <w:r w:rsidRPr="00374521">
        <w:rPr>
          <w:sz w:val="22"/>
          <w:szCs w:val="22"/>
        </w:rPr>
        <w:t xml:space="preserve"> </w:t>
      </w:r>
      <w:proofErr w:type="spellStart"/>
      <w:r w:rsidRPr="00374521">
        <w:rPr>
          <w:sz w:val="22"/>
          <w:szCs w:val="22"/>
        </w:rPr>
        <w:t>digoksyn</w:t>
      </w:r>
      <w:r w:rsidR="0008681C" w:rsidRPr="00374521">
        <w:rPr>
          <w:sz w:val="22"/>
          <w:szCs w:val="22"/>
        </w:rPr>
        <w:t>y</w:t>
      </w:r>
      <w:proofErr w:type="spellEnd"/>
      <w:r w:rsidRPr="00374521">
        <w:rPr>
          <w:sz w:val="22"/>
          <w:szCs w:val="22"/>
        </w:rPr>
        <w:t xml:space="preserve">, hipokaliemia może spowodować zaburzenia rytmu serca. </w:t>
      </w:r>
    </w:p>
    <w:p w14:paraId="5DA731B0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722A1C6E" w14:textId="77777777" w:rsidR="00556DD0" w:rsidRPr="00374521" w:rsidRDefault="00AD35BA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Nie określono s</w:t>
      </w:r>
      <w:r w:rsidR="00556DD0" w:rsidRPr="00374521">
        <w:rPr>
          <w:sz w:val="22"/>
          <w:szCs w:val="22"/>
        </w:rPr>
        <w:t>top</w:t>
      </w:r>
      <w:r w:rsidRPr="00374521">
        <w:rPr>
          <w:sz w:val="22"/>
          <w:szCs w:val="22"/>
        </w:rPr>
        <w:t>nia</w:t>
      </w:r>
      <w:r w:rsidR="00556DD0" w:rsidRPr="00374521">
        <w:rPr>
          <w:sz w:val="22"/>
          <w:szCs w:val="22"/>
        </w:rPr>
        <w:t xml:space="preserve"> eliminacji </w:t>
      </w:r>
      <w:proofErr w:type="spellStart"/>
      <w:r w:rsidR="00556DD0" w:rsidRPr="00374521">
        <w:rPr>
          <w:sz w:val="22"/>
          <w:szCs w:val="22"/>
        </w:rPr>
        <w:t>hydrochlorotiazydu</w:t>
      </w:r>
      <w:proofErr w:type="spellEnd"/>
      <w:r w:rsidR="00556DD0" w:rsidRPr="00374521">
        <w:rPr>
          <w:sz w:val="22"/>
          <w:szCs w:val="22"/>
        </w:rPr>
        <w:t xml:space="preserve"> </w:t>
      </w:r>
      <w:r w:rsidRPr="00374521">
        <w:rPr>
          <w:sz w:val="22"/>
          <w:szCs w:val="22"/>
        </w:rPr>
        <w:t xml:space="preserve">za pomocą </w:t>
      </w:r>
      <w:r w:rsidR="00556DD0" w:rsidRPr="00374521">
        <w:rPr>
          <w:sz w:val="22"/>
          <w:szCs w:val="22"/>
        </w:rPr>
        <w:t xml:space="preserve">hemodializy. </w:t>
      </w:r>
    </w:p>
    <w:p w14:paraId="54918C97" w14:textId="77777777" w:rsidR="00556DD0" w:rsidRPr="00374521" w:rsidRDefault="00556DD0" w:rsidP="00374521">
      <w:pPr>
        <w:rPr>
          <w:bCs/>
          <w:sz w:val="22"/>
          <w:szCs w:val="22"/>
        </w:rPr>
      </w:pPr>
    </w:p>
    <w:p w14:paraId="6ECB5498" w14:textId="77777777" w:rsidR="00DF7746" w:rsidRPr="00374521" w:rsidRDefault="00DF7746" w:rsidP="00374521">
      <w:pPr>
        <w:rPr>
          <w:bCs/>
          <w:sz w:val="22"/>
          <w:szCs w:val="22"/>
        </w:rPr>
      </w:pPr>
    </w:p>
    <w:p w14:paraId="09793FF6" w14:textId="77777777" w:rsidR="00556DD0" w:rsidRPr="00374521" w:rsidRDefault="00556DD0" w:rsidP="00374521">
      <w:pPr>
        <w:numPr>
          <w:ilvl w:val="0"/>
          <w:numId w:val="26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rPr>
          <w:b/>
          <w:bCs/>
          <w:sz w:val="22"/>
          <w:szCs w:val="22"/>
        </w:rPr>
      </w:pPr>
      <w:r w:rsidRPr="00374521">
        <w:rPr>
          <w:b/>
          <w:sz w:val="22"/>
          <w:szCs w:val="22"/>
        </w:rPr>
        <w:t>WŁAŚCIWOŚCI FARMAKOLOGICZNE</w:t>
      </w:r>
    </w:p>
    <w:p w14:paraId="0B9773D9" w14:textId="77777777" w:rsidR="0074625D" w:rsidRPr="00374521" w:rsidRDefault="0074625D" w:rsidP="00374521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4C43F724" w14:textId="77777777" w:rsidR="00556DD0" w:rsidRPr="00374521" w:rsidRDefault="00556DD0" w:rsidP="00374521">
      <w:pPr>
        <w:tabs>
          <w:tab w:val="left" w:pos="540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374521">
        <w:rPr>
          <w:b/>
          <w:sz w:val="22"/>
          <w:szCs w:val="22"/>
        </w:rPr>
        <w:t>5.1</w:t>
      </w:r>
      <w:r w:rsidRPr="00374521">
        <w:rPr>
          <w:b/>
          <w:sz w:val="22"/>
          <w:szCs w:val="22"/>
        </w:rPr>
        <w:tab/>
        <w:t>Właściwości farmakodynamiczne</w:t>
      </w:r>
    </w:p>
    <w:p w14:paraId="666CF977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7DAB3ED1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 xml:space="preserve">Grupa farmakoterapeutyczna: </w:t>
      </w:r>
      <w:r w:rsidR="00AD35BA" w:rsidRPr="00374521">
        <w:rPr>
          <w:sz w:val="22"/>
          <w:szCs w:val="22"/>
        </w:rPr>
        <w:t xml:space="preserve">Antagoniści angiotensyny II i </w:t>
      </w:r>
      <w:proofErr w:type="spellStart"/>
      <w:r w:rsidR="00AD35BA" w:rsidRPr="00374521">
        <w:rPr>
          <w:sz w:val="22"/>
          <w:szCs w:val="22"/>
        </w:rPr>
        <w:t>diuretyki</w:t>
      </w:r>
      <w:proofErr w:type="spellEnd"/>
    </w:p>
    <w:p w14:paraId="2D95CA0B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Kod ATC: C09 DA 01</w:t>
      </w:r>
    </w:p>
    <w:p w14:paraId="6674D40C" w14:textId="77777777" w:rsidR="00556DD0" w:rsidRPr="00374521" w:rsidRDefault="00556DD0" w:rsidP="00374521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2AF7B836" w14:textId="77777777" w:rsidR="00556DD0" w:rsidRPr="00374521" w:rsidRDefault="00556DD0" w:rsidP="00374521">
      <w:pPr>
        <w:autoSpaceDE w:val="0"/>
        <w:autoSpaceDN w:val="0"/>
        <w:adjustRightInd w:val="0"/>
        <w:rPr>
          <w:iCs/>
          <w:sz w:val="22"/>
          <w:szCs w:val="22"/>
          <w:u w:val="single"/>
        </w:rPr>
      </w:pPr>
      <w:proofErr w:type="spellStart"/>
      <w:r w:rsidRPr="00374521">
        <w:rPr>
          <w:iCs/>
          <w:sz w:val="22"/>
          <w:szCs w:val="22"/>
          <w:u w:val="single"/>
        </w:rPr>
        <w:t>Losartan</w:t>
      </w:r>
      <w:proofErr w:type="spellEnd"/>
      <w:r w:rsidRPr="00374521">
        <w:rPr>
          <w:iCs/>
          <w:sz w:val="22"/>
          <w:szCs w:val="22"/>
          <w:u w:val="single"/>
        </w:rPr>
        <w:t xml:space="preserve"> - </w:t>
      </w:r>
      <w:proofErr w:type="spellStart"/>
      <w:r w:rsidR="00AD35BA" w:rsidRPr="00374521">
        <w:rPr>
          <w:iCs/>
          <w:sz w:val="22"/>
          <w:szCs w:val="22"/>
          <w:u w:val="single"/>
        </w:rPr>
        <w:t>H</w:t>
      </w:r>
      <w:r w:rsidRPr="00374521">
        <w:rPr>
          <w:iCs/>
          <w:sz w:val="22"/>
          <w:szCs w:val="22"/>
          <w:u w:val="single"/>
        </w:rPr>
        <w:t>ydrochlorotiazyd</w:t>
      </w:r>
      <w:proofErr w:type="spellEnd"/>
    </w:p>
    <w:p w14:paraId="7C62C003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 xml:space="preserve">Składniki </w:t>
      </w:r>
      <w:r w:rsidR="00AD35BA" w:rsidRPr="00374521">
        <w:rPr>
          <w:sz w:val="22"/>
          <w:szCs w:val="22"/>
        </w:rPr>
        <w:t xml:space="preserve">produktu </w:t>
      </w:r>
      <w:proofErr w:type="spellStart"/>
      <w:r w:rsidR="00EF7DC8" w:rsidRPr="00374521">
        <w:rPr>
          <w:color w:val="000000"/>
          <w:sz w:val="22"/>
          <w:szCs w:val="22"/>
        </w:rPr>
        <w:t>Presartan</w:t>
      </w:r>
      <w:proofErr w:type="spellEnd"/>
      <w:r w:rsidR="00EF7DC8" w:rsidRPr="00374521">
        <w:rPr>
          <w:color w:val="000000"/>
          <w:sz w:val="22"/>
          <w:szCs w:val="22"/>
        </w:rPr>
        <w:t xml:space="preserve"> H</w:t>
      </w:r>
      <w:r w:rsidRPr="00374521">
        <w:rPr>
          <w:color w:val="000000"/>
          <w:sz w:val="22"/>
          <w:szCs w:val="22"/>
        </w:rPr>
        <w:t xml:space="preserve"> wykazały </w:t>
      </w:r>
      <w:r w:rsidRPr="00374521">
        <w:rPr>
          <w:sz w:val="22"/>
          <w:szCs w:val="22"/>
        </w:rPr>
        <w:t xml:space="preserve">addytywny wpływ na obniżenie ciśnienia krwi, </w:t>
      </w:r>
      <w:r w:rsidR="00AD35BA" w:rsidRPr="00374521">
        <w:rPr>
          <w:sz w:val="22"/>
          <w:szCs w:val="22"/>
        </w:rPr>
        <w:t xml:space="preserve">zmniejszając </w:t>
      </w:r>
      <w:r w:rsidRPr="00374521">
        <w:rPr>
          <w:sz w:val="22"/>
          <w:szCs w:val="22"/>
        </w:rPr>
        <w:t xml:space="preserve">je </w:t>
      </w:r>
      <w:r w:rsidR="00AD35BA" w:rsidRPr="00374521">
        <w:rPr>
          <w:sz w:val="22"/>
          <w:szCs w:val="22"/>
        </w:rPr>
        <w:t xml:space="preserve">w większym stopniu </w:t>
      </w:r>
      <w:r w:rsidRPr="00374521">
        <w:rPr>
          <w:sz w:val="22"/>
          <w:szCs w:val="22"/>
        </w:rPr>
        <w:t xml:space="preserve">niż każdy ze składników osobno. </w:t>
      </w:r>
      <w:r w:rsidR="00AD35BA" w:rsidRPr="00374521">
        <w:rPr>
          <w:sz w:val="22"/>
          <w:szCs w:val="22"/>
        </w:rPr>
        <w:t xml:space="preserve">Wynika to z </w:t>
      </w:r>
      <w:r w:rsidRPr="00374521">
        <w:rPr>
          <w:sz w:val="22"/>
          <w:szCs w:val="22"/>
        </w:rPr>
        <w:t>dopełniając</w:t>
      </w:r>
      <w:r w:rsidR="007A45F6" w:rsidRPr="00374521">
        <w:rPr>
          <w:sz w:val="22"/>
          <w:szCs w:val="22"/>
        </w:rPr>
        <w:t xml:space="preserve">ego się </w:t>
      </w:r>
      <w:r w:rsidRPr="00374521">
        <w:rPr>
          <w:sz w:val="22"/>
          <w:szCs w:val="22"/>
        </w:rPr>
        <w:t>działani</w:t>
      </w:r>
      <w:r w:rsidR="003342E5" w:rsidRPr="00374521">
        <w:rPr>
          <w:sz w:val="22"/>
          <w:szCs w:val="22"/>
        </w:rPr>
        <w:t>a</w:t>
      </w:r>
      <w:r w:rsidRPr="00374521">
        <w:rPr>
          <w:sz w:val="22"/>
          <w:szCs w:val="22"/>
        </w:rPr>
        <w:t xml:space="preserve"> obu </w:t>
      </w:r>
      <w:r w:rsidR="003342E5" w:rsidRPr="00374521">
        <w:rPr>
          <w:sz w:val="22"/>
          <w:szCs w:val="22"/>
        </w:rPr>
        <w:t>składników</w:t>
      </w:r>
      <w:r w:rsidRPr="00374521">
        <w:rPr>
          <w:sz w:val="22"/>
          <w:szCs w:val="22"/>
        </w:rPr>
        <w:t xml:space="preserve">. </w:t>
      </w:r>
      <w:r w:rsidR="003342E5" w:rsidRPr="00374521">
        <w:rPr>
          <w:sz w:val="22"/>
          <w:szCs w:val="22"/>
        </w:rPr>
        <w:t>Dodatkowo, na skutek działania m</w:t>
      </w:r>
      <w:r w:rsidRPr="00374521">
        <w:rPr>
          <w:sz w:val="22"/>
          <w:szCs w:val="22"/>
        </w:rPr>
        <w:t>oczopędn</w:t>
      </w:r>
      <w:r w:rsidR="003342E5" w:rsidRPr="00374521">
        <w:rPr>
          <w:sz w:val="22"/>
          <w:szCs w:val="22"/>
        </w:rPr>
        <w:t xml:space="preserve">ego, </w:t>
      </w:r>
      <w:proofErr w:type="spellStart"/>
      <w:r w:rsidRPr="00374521">
        <w:rPr>
          <w:sz w:val="22"/>
          <w:szCs w:val="22"/>
        </w:rPr>
        <w:t>hydrochlorotiazyd</w:t>
      </w:r>
      <w:proofErr w:type="spellEnd"/>
      <w:r w:rsidRPr="00374521">
        <w:rPr>
          <w:sz w:val="22"/>
          <w:szCs w:val="22"/>
        </w:rPr>
        <w:t xml:space="preserve"> powoduje </w:t>
      </w:r>
      <w:r w:rsidR="003342E5" w:rsidRPr="00374521">
        <w:rPr>
          <w:sz w:val="22"/>
          <w:szCs w:val="22"/>
        </w:rPr>
        <w:t xml:space="preserve">zwiększenie </w:t>
      </w:r>
      <w:r w:rsidRPr="00374521">
        <w:rPr>
          <w:sz w:val="22"/>
          <w:szCs w:val="22"/>
        </w:rPr>
        <w:t xml:space="preserve">aktywności </w:t>
      </w:r>
      <w:proofErr w:type="spellStart"/>
      <w:r w:rsidRPr="00374521">
        <w:rPr>
          <w:sz w:val="22"/>
          <w:szCs w:val="22"/>
        </w:rPr>
        <w:t>reninowej</w:t>
      </w:r>
      <w:proofErr w:type="spellEnd"/>
      <w:r w:rsidRPr="00374521">
        <w:rPr>
          <w:sz w:val="22"/>
          <w:szCs w:val="22"/>
        </w:rPr>
        <w:t xml:space="preserve"> osocza</w:t>
      </w:r>
      <w:r w:rsidR="003342E5" w:rsidRPr="00374521">
        <w:rPr>
          <w:sz w:val="22"/>
          <w:szCs w:val="22"/>
        </w:rPr>
        <w:t xml:space="preserve"> i</w:t>
      </w:r>
      <w:r w:rsidRPr="00374521">
        <w:rPr>
          <w:sz w:val="22"/>
          <w:szCs w:val="22"/>
        </w:rPr>
        <w:t xml:space="preserve"> wydzielania aldosteronu </w:t>
      </w:r>
      <w:r w:rsidR="003342E5" w:rsidRPr="00374521">
        <w:rPr>
          <w:sz w:val="22"/>
          <w:szCs w:val="22"/>
        </w:rPr>
        <w:t xml:space="preserve">oraz zmniejszenie stężenia potasu w surowicy </w:t>
      </w:r>
      <w:r w:rsidRPr="00374521">
        <w:rPr>
          <w:sz w:val="22"/>
          <w:szCs w:val="22"/>
        </w:rPr>
        <w:t>i</w:t>
      </w:r>
      <w:r w:rsidR="003342E5" w:rsidRPr="00374521">
        <w:rPr>
          <w:sz w:val="22"/>
          <w:szCs w:val="22"/>
        </w:rPr>
        <w:t xml:space="preserve"> zwiększenie stężenia </w:t>
      </w:r>
      <w:r w:rsidRPr="00374521">
        <w:rPr>
          <w:sz w:val="22"/>
          <w:szCs w:val="22"/>
        </w:rPr>
        <w:t>angiotensyny II</w:t>
      </w:r>
      <w:r w:rsidR="003342E5" w:rsidRPr="00374521">
        <w:rPr>
          <w:sz w:val="22"/>
          <w:szCs w:val="22"/>
        </w:rPr>
        <w:t xml:space="preserve">. Podanie </w:t>
      </w:r>
      <w:proofErr w:type="spellStart"/>
      <w:r w:rsidR="003342E5" w:rsidRPr="00374521">
        <w:rPr>
          <w:sz w:val="22"/>
          <w:szCs w:val="22"/>
        </w:rPr>
        <w:t>losartanu</w:t>
      </w:r>
      <w:proofErr w:type="spellEnd"/>
      <w:r w:rsidRPr="00374521">
        <w:rPr>
          <w:sz w:val="22"/>
          <w:szCs w:val="22"/>
        </w:rPr>
        <w:t xml:space="preserve"> blokuje wszelkie fizjologicznie istotne działani</w:t>
      </w:r>
      <w:r w:rsidR="003342E5" w:rsidRPr="00374521">
        <w:rPr>
          <w:sz w:val="22"/>
          <w:szCs w:val="22"/>
        </w:rPr>
        <w:t>a</w:t>
      </w:r>
      <w:r w:rsidRPr="00374521">
        <w:rPr>
          <w:sz w:val="22"/>
          <w:szCs w:val="22"/>
        </w:rPr>
        <w:t xml:space="preserve"> angiotensyny II</w:t>
      </w:r>
      <w:r w:rsidR="003342E5" w:rsidRPr="00374521">
        <w:rPr>
          <w:sz w:val="22"/>
          <w:szCs w:val="22"/>
        </w:rPr>
        <w:t xml:space="preserve"> i poprzez</w:t>
      </w:r>
      <w:r w:rsidRPr="00374521">
        <w:rPr>
          <w:sz w:val="22"/>
          <w:szCs w:val="22"/>
        </w:rPr>
        <w:t xml:space="preserve"> hamowanie wydzielania aldosteronu</w:t>
      </w:r>
      <w:r w:rsidR="003342E5" w:rsidRPr="00374521">
        <w:rPr>
          <w:sz w:val="22"/>
          <w:szCs w:val="22"/>
        </w:rPr>
        <w:t xml:space="preserve"> łagodzi utratę potasu związaną ze stosowaniem </w:t>
      </w:r>
      <w:proofErr w:type="spellStart"/>
      <w:r w:rsidR="003342E5" w:rsidRPr="00374521">
        <w:rPr>
          <w:sz w:val="22"/>
          <w:szCs w:val="22"/>
        </w:rPr>
        <w:t>diuretyku</w:t>
      </w:r>
      <w:proofErr w:type="spellEnd"/>
      <w:r w:rsidRPr="00374521">
        <w:rPr>
          <w:sz w:val="22"/>
          <w:szCs w:val="22"/>
        </w:rPr>
        <w:t xml:space="preserve">. </w:t>
      </w:r>
    </w:p>
    <w:p w14:paraId="736D2F78" w14:textId="77777777" w:rsidR="003342E5" w:rsidRPr="00374521" w:rsidRDefault="003342E5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3EC2FC84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374521">
        <w:rPr>
          <w:sz w:val="22"/>
          <w:szCs w:val="22"/>
        </w:rPr>
        <w:lastRenderedPageBreak/>
        <w:t>Losartan</w:t>
      </w:r>
      <w:proofErr w:type="spellEnd"/>
      <w:r w:rsidRPr="00374521">
        <w:rPr>
          <w:sz w:val="22"/>
          <w:szCs w:val="22"/>
        </w:rPr>
        <w:t xml:space="preserve"> wy</w:t>
      </w:r>
      <w:r w:rsidR="003342E5" w:rsidRPr="00374521">
        <w:rPr>
          <w:sz w:val="22"/>
          <w:szCs w:val="22"/>
        </w:rPr>
        <w:t xml:space="preserve">kazuje łagodne </w:t>
      </w:r>
      <w:r w:rsidRPr="00374521">
        <w:rPr>
          <w:sz w:val="22"/>
          <w:szCs w:val="22"/>
        </w:rPr>
        <w:t xml:space="preserve">i przemijające </w:t>
      </w:r>
      <w:r w:rsidR="003342E5" w:rsidRPr="00374521">
        <w:rPr>
          <w:sz w:val="22"/>
          <w:szCs w:val="22"/>
        </w:rPr>
        <w:t xml:space="preserve">działanie zwiększające wydalanie </w:t>
      </w:r>
      <w:r w:rsidRPr="00374521">
        <w:rPr>
          <w:sz w:val="22"/>
          <w:szCs w:val="22"/>
        </w:rPr>
        <w:t xml:space="preserve">kwasu moczowego </w:t>
      </w:r>
      <w:r w:rsidR="003342E5" w:rsidRPr="00374521">
        <w:rPr>
          <w:sz w:val="22"/>
          <w:szCs w:val="22"/>
        </w:rPr>
        <w:t>z moczem</w:t>
      </w:r>
      <w:r w:rsidRPr="00374521">
        <w:rPr>
          <w:sz w:val="22"/>
          <w:szCs w:val="22"/>
        </w:rPr>
        <w:t xml:space="preserve">. </w:t>
      </w:r>
      <w:proofErr w:type="spellStart"/>
      <w:r w:rsidRPr="00374521">
        <w:rPr>
          <w:sz w:val="22"/>
          <w:szCs w:val="22"/>
        </w:rPr>
        <w:t>Hydrochlorotiazyd</w:t>
      </w:r>
      <w:proofErr w:type="spellEnd"/>
      <w:r w:rsidRPr="00374521">
        <w:rPr>
          <w:sz w:val="22"/>
          <w:szCs w:val="22"/>
        </w:rPr>
        <w:t xml:space="preserve"> powoduje </w:t>
      </w:r>
      <w:r w:rsidR="003342E5" w:rsidRPr="00374521">
        <w:rPr>
          <w:sz w:val="22"/>
          <w:szCs w:val="22"/>
        </w:rPr>
        <w:t>niewielkie zwiększenie stężenia</w:t>
      </w:r>
      <w:r w:rsidRPr="00374521">
        <w:rPr>
          <w:sz w:val="22"/>
          <w:szCs w:val="22"/>
        </w:rPr>
        <w:t xml:space="preserve"> kwasu moczowego; </w:t>
      </w:r>
      <w:r w:rsidR="00E509D8" w:rsidRPr="00374521">
        <w:rPr>
          <w:sz w:val="22"/>
          <w:szCs w:val="22"/>
        </w:rPr>
        <w:t xml:space="preserve">skojarzenie </w:t>
      </w:r>
      <w:proofErr w:type="spellStart"/>
      <w:r w:rsidRPr="00374521">
        <w:rPr>
          <w:sz w:val="22"/>
          <w:szCs w:val="22"/>
        </w:rPr>
        <w:t>losartan</w:t>
      </w:r>
      <w:r w:rsidR="00E509D8" w:rsidRPr="00374521">
        <w:rPr>
          <w:sz w:val="22"/>
          <w:szCs w:val="22"/>
        </w:rPr>
        <w:t>u</w:t>
      </w:r>
      <w:proofErr w:type="spellEnd"/>
      <w:r w:rsidR="00E509D8" w:rsidRPr="00374521">
        <w:rPr>
          <w:sz w:val="22"/>
          <w:szCs w:val="22"/>
        </w:rPr>
        <w:t xml:space="preserve"> i</w:t>
      </w:r>
      <w:r w:rsidRPr="00374521">
        <w:rPr>
          <w:sz w:val="22"/>
          <w:szCs w:val="22"/>
        </w:rPr>
        <w:t xml:space="preserve"> </w:t>
      </w:r>
      <w:proofErr w:type="spellStart"/>
      <w:r w:rsidRPr="00374521">
        <w:rPr>
          <w:sz w:val="22"/>
          <w:szCs w:val="22"/>
        </w:rPr>
        <w:t>hydrochlorotiazyd</w:t>
      </w:r>
      <w:r w:rsidR="00E509D8" w:rsidRPr="00374521">
        <w:rPr>
          <w:sz w:val="22"/>
          <w:szCs w:val="22"/>
        </w:rPr>
        <w:t>u</w:t>
      </w:r>
      <w:proofErr w:type="spellEnd"/>
      <w:r w:rsidRPr="00374521">
        <w:rPr>
          <w:sz w:val="22"/>
          <w:szCs w:val="22"/>
        </w:rPr>
        <w:t xml:space="preserve"> łagodz</w:t>
      </w:r>
      <w:r w:rsidR="00E509D8" w:rsidRPr="00374521">
        <w:rPr>
          <w:sz w:val="22"/>
          <w:szCs w:val="22"/>
        </w:rPr>
        <w:t>i</w:t>
      </w:r>
      <w:r w:rsidRPr="00374521">
        <w:rPr>
          <w:sz w:val="22"/>
          <w:szCs w:val="22"/>
        </w:rPr>
        <w:t xml:space="preserve"> </w:t>
      </w:r>
      <w:proofErr w:type="spellStart"/>
      <w:r w:rsidR="00E509D8" w:rsidRPr="00374521">
        <w:rPr>
          <w:sz w:val="22"/>
          <w:szCs w:val="22"/>
        </w:rPr>
        <w:t>hiperurykemię</w:t>
      </w:r>
      <w:proofErr w:type="spellEnd"/>
      <w:r w:rsidR="00E509D8" w:rsidRPr="00374521">
        <w:rPr>
          <w:sz w:val="22"/>
          <w:szCs w:val="22"/>
        </w:rPr>
        <w:t xml:space="preserve"> </w:t>
      </w:r>
      <w:r w:rsidRPr="00374521">
        <w:rPr>
          <w:sz w:val="22"/>
          <w:szCs w:val="22"/>
        </w:rPr>
        <w:t>wywoł</w:t>
      </w:r>
      <w:r w:rsidR="00E509D8" w:rsidRPr="00374521">
        <w:rPr>
          <w:sz w:val="22"/>
          <w:szCs w:val="22"/>
        </w:rPr>
        <w:t>aną</w:t>
      </w:r>
      <w:r w:rsidRPr="00374521">
        <w:rPr>
          <w:sz w:val="22"/>
          <w:szCs w:val="22"/>
        </w:rPr>
        <w:t xml:space="preserve"> przez </w:t>
      </w:r>
      <w:proofErr w:type="spellStart"/>
      <w:r w:rsidRPr="00374521">
        <w:rPr>
          <w:sz w:val="22"/>
          <w:szCs w:val="22"/>
        </w:rPr>
        <w:t>diuretyki</w:t>
      </w:r>
      <w:proofErr w:type="spellEnd"/>
      <w:r w:rsidRPr="00374521">
        <w:rPr>
          <w:sz w:val="22"/>
          <w:szCs w:val="22"/>
        </w:rPr>
        <w:t xml:space="preserve">. </w:t>
      </w:r>
    </w:p>
    <w:p w14:paraId="595E1969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0A01B999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374521">
        <w:rPr>
          <w:sz w:val="22"/>
          <w:szCs w:val="22"/>
        </w:rPr>
        <w:t>Przeciwnadciśnieniowe</w:t>
      </w:r>
      <w:proofErr w:type="spellEnd"/>
      <w:r w:rsidRPr="00374521">
        <w:rPr>
          <w:sz w:val="22"/>
          <w:szCs w:val="22"/>
        </w:rPr>
        <w:t xml:space="preserve"> działanie </w:t>
      </w:r>
      <w:r w:rsidR="00E509D8" w:rsidRPr="00374521">
        <w:rPr>
          <w:sz w:val="22"/>
          <w:szCs w:val="22"/>
        </w:rPr>
        <w:t xml:space="preserve">produktu </w:t>
      </w:r>
      <w:proofErr w:type="spellStart"/>
      <w:r w:rsidR="00EF7DC8" w:rsidRPr="00374521">
        <w:rPr>
          <w:color w:val="000000"/>
          <w:sz w:val="22"/>
          <w:szCs w:val="22"/>
        </w:rPr>
        <w:t>Presartan</w:t>
      </w:r>
      <w:proofErr w:type="spellEnd"/>
      <w:r w:rsidR="00EF7DC8" w:rsidRPr="00374521">
        <w:rPr>
          <w:color w:val="000000"/>
          <w:sz w:val="22"/>
          <w:szCs w:val="22"/>
        </w:rPr>
        <w:t xml:space="preserve"> H</w:t>
      </w:r>
      <w:r w:rsidR="00E509D8" w:rsidRPr="00374521">
        <w:rPr>
          <w:color w:val="000000"/>
          <w:sz w:val="22"/>
          <w:szCs w:val="22"/>
        </w:rPr>
        <w:t xml:space="preserve"> </w:t>
      </w:r>
      <w:r w:rsidRPr="00374521">
        <w:rPr>
          <w:sz w:val="22"/>
          <w:szCs w:val="22"/>
        </w:rPr>
        <w:t xml:space="preserve">utrzymuje się przez 24 godziny. W badaniach klinicznych </w:t>
      </w:r>
      <w:r w:rsidR="00E509D8" w:rsidRPr="00374521">
        <w:rPr>
          <w:sz w:val="22"/>
          <w:szCs w:val="22"/>
        </w:rPr>
        <w:t>trwających</w:t>
      </w:r>
      <w:r w:rsidR="007A45F6" w:rsidRPr="00374521">
        <w:rPr>
          <w:sz w:val="22"/>
          <w:szCs w:val="22"/>
        </w:rPr>
        <w:t>,</w:t>
      </w:r>
      <w:r w:rsidR="00E509D8" w:rsidRPr="00374521">
        <w:rPr>
          <w:sz w:val="22"/>
          <w:szCs w:val="22"/>
        </w:rPr>
        <w:t xml:space="preserve"> co najmniej rok, </w:t>
      </w:r>
      <w:r w:rsidRPr="00374521">
        <w:rPr>
          <w:sz w:val="22"/>
          <w:szCs w:val="22"/>
        </w:rPr>
        <w:t xml:space="preserve">działanie </w:t>
      </w:r>
      <w:proofErr w:type="spellStart"/>
      <w:r w:rsidRPr="00374521">
        <w:rPr>
          <w:sz w:val="22"/>
          <w:szCs w:val="22"/>
        </w:rPr>
        <w:t>przeciwnadc</w:t>
      </w:r>
      <w:r w:rsidR="007A45F6" w:rsidRPr="00374521">
        <w:rPr>
          <w:sz w:val="22"/>
          <w:szCs w:val="22"/>
        </w:rPr>
        <w:t>iśnieniowe</w:t>
      </w:r>
      <w:proofErr w:type="spellEnd"/>
      <w:r w:rsidR="007A45F6" w:rsidRPr="00374521">
        <w:rPr>
          <w:sz w:val="22"/>
          <w:szCs w:val="22"/>
        </w:rPr>
        <w:t xml:space="preserve"> utrzymało się w ciągu</w:t>
      </w:r>
      <w:r w:rsidRPr="00374521">
        <w:rPr>
          <w:sz w:val="22"/>
          <w:szCs w:val="22"/>
        </w:rPr>
        <w:t xml:space="preserve"> </w:t>
      </w:r>
      <w:r w:rsidR="007A45F6" w:rsidRPr="00374521">
        <w:rPr>
          <w:sz w:val="22"/>
          <w:szCs w:val="22"/>
        </w:rPr>
        <w:t>całego badania</w:t>
      </w:r>
      <w:r w:rsidRPr="00374521">
        <w:rPr>
          <w:sz w:val="22"/>
          <w:szCs w:val="22"/>
        </w:rPr>
        <w:t xml:space="preserve">. Pomimo znacznego </w:t>
      </w:r>
      <w:r w:rsidR="00E509D8" w:rsidRPr="00374521">
        <w:rPr>
          <w:sz w:val="22"/>
          <w:szCs w:val="22"/>
        </w:rPr>
        <w:t>obniżenia ciśnienia tętniczego</w:t>
      </w:r>
      <w:r w:rsidRPr="00374521">
        <w:rPr>
          <w:sz w:val="22"/>
          <w:szCs w:val="22"/>
        </w:rPr>
        <w:t xml:space="preserve">, podawanie </w:t>
      </w:r>
      <w:r w:rsidR="00E509D8" w:rsidRPr="00374521">
        <w:rPr>
          <w:sz w:val="22"/>
          <w:szCs w:val="22"/>
        </w:rPr>
        <w:t xml:space="preserve">produktu </w:t>
      </w:r>
      <w:proofErr w:type="spellStart"/>
      <w:r w:rsidR="00EF7DC8" w:rsidRPr="00374521">
        <w:rPr>
          <w:color w:val="000000"/>
          <w:sz w:val="22"/>
          <w:szCs w:val="22"/>
        </w:rPr>
        <w:t>Presartan</w:t>
      </w:r>
      <w:proofErr w:type="spellEnd"/>
      <w:r w:rsidR="00EF7DC8" w:rsidRPr="00374521">
        <w:rPr>
          <w:color w:val="000000"/>
          <w:sz w:val="22"/>
          <w:szCs w:val="22"/>
        </w:rPr>
        <w:t xml:space="preserve"> H</w:t>
      </w:r>
      <w:r w:rsidR="00E509D8" w:rsidRPr="00374521">
        <w:rPr>
          <w:color w:val="000000"/>
          <w:sz w:val="22"/>
          <w:szCs w:val="22"/>
        </w:rPr>
        <w:t xml:space="preserve"> </w:t>
      </w:r>
      <w:r w:rsidRPr="00374521">
        <w:rPr>
          <w:sz w:val="22"/>
          <w:szCs w:val="22"/>
        </w:rPr>
        <w:t>nie m</w:t>
      </w:r>
      <w:r w:rsidR="00E509D8" w:rsidRPr="00374521">
        <w:rPr>
          <w:sz w:val="22"/>
          <w:szCs w:val="22"/>
        </w:rPr>
        <w:t>a</w:t>
      </w:r>
      <w:r w:rsidRPr="00374521">
        <w:rPr>
          <w:sz w:val="22"/>
          <w:szCs w:val="22"/>
        </w:rPr>
        <w:t xml:space="preserve"> klinicznie znaczącego wpływu na </w:t>
      </w:r>
      <w:r w:rsidR="00E509D8" w:rsidRPr="00374521">
        <w:rPr>
          <w:sz w:val="22"/>
          <w:szCs w:val="22"/>
        </w:rPr>
        <w:t xml:space="preserve">częstość </w:t>
      </w:r>
      <w:r w:rsidRPr="00374521">
        <w:rPr>
          <w:sz w:val="22"/>
          <w:szCs w:val="22"/>
        </w:rPr>
        <w:t>pracy serca.</w:t>
      </w:r>
    </w:p>
    <w:p w14:paraId="7F39DDFF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W badani</w:t>
      </w:r>
      <w:r w:rsidR="00E509D8" w:rsidRPr="00374521">
        <w:rPr>
          <w:sz w:val="22"/>
          <w:szCs w:val="22"/>
        </w:rPr>
        <w:t>ach</w:t>
      </w:r>
      <w:r w:rsidRPr="00374521">
        <w:rPr>
          <w:sz w:val="22"/>
          <w:szCs w:val="22"/>
        </w:rPr>
        <w:t xml:space="preserve"> kliniczny</w:t>
      </w:r>
      <w:r w:rsidR="007A45F6" w:rsidRPr="00374521">
        <w:rPr>
          <w:sz w:val="22"/>
          <w:szCs w:val="22"/>
        </w:rPr>
        <w:t>ch</w:t>
      </w:r>
      <w:r w:rsidRPr="00374521">
        <w:rPr>
          <w:sz w:val="22"/>
          <w:szCs w:val="22"/>
        </w:rPr>
        <w:t xml:space="preserve">, po 12 tygodniach leczenia </w:t>
      </w:r>
      <w:proofErr w:type="spellStart"/>
      <w:r w:rsidRPr="00374521">
        <w:rPr>
          <w:sz w:val="22"/>
          <w:szCs w:val="22"/>
        </w:rPr>
        <w:t>losartan</w:t>
      </w:r>
      <w:r w:rsidR="00E509D8" w:rsidRPr="00374521">
        <w:rPr>
          <w:sz w:val="22"/>
          <w:szCs w:val="22"/>
        </w:rPr>
        <w:t>em</w:t>
      </w:r>
      <w:proofErr w:type="spellEnd"/>
      <w:r w:rsidR="00E509D8" w:rsidRPr="00374521">
        <w:rPr>
          <w:sz w:val="22"/>
          <w:szCs w:val="22"/>
        </w:rPr>
        <w:t xml:space="preserve"> w dawce</w:t>
      </w:r>
      <w:r w:rsidRPr="00374521">
        <w:rPr>
          <w:sz w:val="22"/>
          <w:szCs w:val="22"/>
        </w:rPr>
        <w:t xml:space="preserve"> </w:t>
      </w:r>
      <w:r w:rsidRPr="00374521">
        <w:rPr>
          <w:color w:val="000000"/>
          <w:sz w:val="22"/>
          <w:szCs w:val="22"/>
        </w:rPr>
        <w:t>50 mg</w:t>
      </w:r>
      <w:r w:rsidR="00E509D8" w:rsidRPr="00374521">
        <w:rPr>
          <w:color w:val="000000"/>
          <w:sz w:val="22"/>
          <w:szCs w:val="22"/>
        </w:rPr>
        <w:t xml:space="preserve"> i </w:t>
      </w:r>
      <w:proofErr w:type="spellStart"/>
      <w:r w:rsidRPr="00374521">
        <w:rPr>
          <w:color w:val="000000"/>
          <w:sz w:val="22"/>
          <w:szCs w:val="22"/>
        </w:rPr>
        <w:t>hydrochlorotiazyd</w:t>
      </w:r>
      <w:r w:rsidR="00E509D8" w:rsidRPr="00374521">
        <w:rPr>
          <w:color w:val="000000"/>
          <w:sz w:val="22"/>
          <w:szCs w:val="22"/>
        </w:rPr>
        <w:t>em</w:t>
      </w:r>
      <w:proofErr w:type="spellEnd"/>
      <w:r w:rsidR="00E509D8" w:rsidRPr="00374521">
        <w:rPr>
          <w:color w:val="000000"/>
          <w:sz w:val="22"/>
          <w:szCs w:val="22"/>
        </w:rPr>
        <w:t xml:space="preserve"> w dawce</w:t>
      </w:r>
      <w:r w:rsidRPr="00374521">
        <w:rPr>
          <w:color w:val="000000"/>
          <w:sz w:val="22"/>
          <w:szCs w:val="22"/>
        </w:rPr>
        <w:t xml:space="preserve"> </w:t>
      </w:r>
      <w:r w:rsidRPr="00374521">
        <w:rPr>
          <w:sz w:val="22"/>
          <w:szCs w:val="22"/>
        </w:rPr>
        <w:t xml:space="preserve">12,5 mg, spoczynkowe ciśnienie rozkurczowe ulegało </w:t>
      </w:r>
      <w:r w:rsidR="00B51FF1" w:rsidRPr="00374521">
        <w:rPr>
          <w:sz w:val="22"/>
          <w:szCs w:val="22"/>
        </w:rPr>
        <w:t>zmniejszeniu</w:t>
      </w:r>
      <w:r w:rsidRPr="00374521">
        <w:rPr>
          <w:sz w:val="22"/>
          <w:szCs w:val="22"/>
        </w:rPr>
        <w:t xml:space="preserve"> </w:t>
      </w:r>
      <w:r w:rsidR="00B51FF1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 xml:space="preserve"> 13,2 mmHg.</w:t>
      </w:r>
    </w:p>
    <w:p w14:paraId="6A068169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169F8A10" w14:textId="77777777" w:rsidR="00556DD0" w:rsidRPr="00374521" w:rsidRDefault="00B51FF1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 xml:space="preserve">Produkt </w:t>
      </w:r>
      <w:proofErr w:type="spellStart"/>
      <w:r w:rsidR="00EF7DC8" w:rsidRPr="00374521">
        <w:rPr>
          <w:color w:val="000000"/>
          <w:sz w:val="22"/>
          <w:szCs w:val="22"/>
        </w:rPr>
        <w:t>Presartan</w:t>
      </w:r>
      <w:proofErr w:type="spellEnd"/>
      <w:r w:rsidR="00EF7DC8" w:rsidRPr="00374521">
        <w:rPr>
          <w:color w:val="000000"/>
          <w:sz w:val="22"/>
          <w:szCs w:val="22"/>
        </w:rPr>
        <w:t xml:space="preserve"> H</w:t>
      </w:r>
      <w:r w:rsidRPr="00374521">
        <w:rPr>
          <w:color w:val="000000"/>
          <w:sz w:val="22"/>
          <w:szCs w:val="22"/>
        </w:rPr>
        <w:t xml:space="preserve"> </w:t>
      </w:r>
      <w:r w:rsidR="00556DD0" w:rsidRPr="00374521">
        <w:rPr>
          <w:sz w:val="22"/>
          <w:szCs w:val="22"/>
        </w:rPr>
        <w:t>skuteczn</w:t>
      </w:r>
      <w:r w:rsidRPr="00374521">
        <w:rPr>
          <w:sz w:val="22"/>
          <w:szCs w:val="22"/>
        </w:rPr>
        <w:t>ie zmniejsza ciśnienie</w:t>
      </w:r>
      <w:r w:rsidR="00556DD0" w:rsidRPr="00374521">
        <w:rPr>
          <w:sz w:val="22"/>
          <w:szCs w:val="22"/>
        </w:rPr>
        <w:t xml:space="preserve"> u mężczyzn</w:t>
      </w:r>
      <w:r w:rsidRPr="00374521">
        <w:rPr>
          <w:sz w:val="22"/>
          <w:szCs w:val="22"/>
        </w:rPr>
        <w:t xml:space="preserve"> i kobiet</w:t>
      </w:r>
      <w:r w:rsidR="00556DD0" w:rsidRPr="00374521">
        <w:rPr>
          <w:sz w:val="22"/>
          <w:szCs w:val="22"/>
        </w:rPr>
        <w:t xml:space="preserve">, </w:t>
      </w:r>
      <w:r w:rsidRPr="00374521">
        <w:rPr>
          <w:sz w:val="22"/>
          <w:szCs w:val="22"/>
        </w:rPr>
        <w:t xml:space="preserve">pacjentów rasy </w:t>
      </w:r>
      <w:r w:rsidR="00556DD0" w:rsidRPr="00374521">
        <w:rPr>
          <w:sz w:val="22"/>
          <w:szCs w:val="22"/>
        </w:rPr>
        <w:t>czarn</w:t>
      </w:r>
      <w:r w:rsidRPr="00374521">
        <w:rPr>
          <w:sz w:val="22"/>
          <w:szCs w:val="22"/>
        </w:rPr>
        <w:t>ej</w:t>
      </w:r>
      <w:r w:rsidR="00556DD0" w:rsidRPr="00374521">
        <w:rPr>
          <w:sz w:val="22"/>
          <w:szCs w:val="22"/>
        </w:rPr>
        <w:t xml:space="preserve"> i </w:t>
      </w:r>
      <w:r w:rsidRPr="00374521">
        <w:rPr>
          <w:sz w:val="22"/>
          <w:szCs w:val="22"/>
        </w:rPr>
        <w:t xml:space="preserve">pacjentów innych ras oraz </w:t>
      </w:r>
      <w:r w:rsidR="00556DD0" w:rsidRPr="00374521">
        <w:rPr>
          <w:sz w:val="22"/>
          <w:szCs w:val="22"/>
        </w:rPr>
        <w:t xml:space="preserve">u </w:t>
      </w:r>
      <w:r w:rsidRPr="00374521">
        <w:rPr>
          <w:sz w:val="22"/>
          <w:szCs w:val="22"/>
        </w:rPr>
        <w:t xml:space="preserve">osób </w:t>
      </w:r>
      <w:r w:rsidR="00556DD0" w:rsidRPr="00374521">
        <w:rPr>
          <w:sz w:val="22"/>
          <w:szCs w:val="22"/>
        </w:rPr>
        <w:t xml:space="preserve">młodszych (&lt; 65 lat) i </w:t>
      </w:r>
      <w:r w:rsidRPr="00374521">
        <w:rPr>
          <w:sz w:val="22"/>
          <w:szCs w:val="22"/>
        </w:rPr>
        <w:t xml:space="preserve">w podeszłym wieku </w:t>
      </w:r>
      <w:r w:rsidR="00556DD0" w:rsidRPr="00374521">
        <w:rPr>
          <w:sz w:val="22"/>
          <w:szCs w:val="22"/>
        </w:rPr>
        <w:t>(≥ 65 lat</w:t>
      </w:r>
      <w:r w:rsidRPr="00374521">
        <w:rPr>
          <w:sz w:val="22"/>
          <w:szCs w:val="22"/>
        </w:rPr>
        <w:t>)</w:t>
      </w:r>
      <w:r w:rsidR="00556DD0" w:rsidRPr="00374521">
        <w:rPr>
          <w:sz w:val="22"/>
          <w:szCs w:val="22"/>
        </w:rPr>
        <w:t xml:space="preserve">. </w:t>
      </w:r>
    </w:p>
    <w:p w14:paraId="01805764" w14:textId="77777777" w:rsidR="00556DD0" w:rsidRPr="00374521" w:rsidRDefault="00B51FF1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 xml:space="preserve">Produkt </w:t>
      </w:r>
      <w:proofErr w:type="spellStart"/>
      <w:r w:rsidR="00EF7DC8" w:rsidRPr="00374521">
        <w:rPr>
          <w:color w:val="000000"/>
          <w:sz w:val="22"/>
          <w:szCs w:val="22"/>
        </w:rPr>
        <w:t>Presartan</w:t>
      </w:r>
      <w:proofErr w:type="spellEnd"/>
      <w:r w:rsidR="00EF7DC8" w:rsidRPr="00374521">
        <w:rPr>
          <w:color w:val="000000"/>
          <w:sz w:val="22"/>
          <w:szCs w:val="22"/>
        </w:rPr>
        <w:t xml:space="preserve"> H</w:t>
      </w:r>
      <w:r w:rsidRPr="00374521">
        <w:rPr>
          <w:color w:val="000000"/>
          <w:sz w:val="22"/>
          <w:szCs w:val="22"/>
        </w:rPr>
        <w:t xml:space="preserve"> jest </w:t>
      </w:r>
      <w:r w:rsidRPr="00374521">
        <w:rPr>
          <w:sz w:val="22"/>
          <w:szCs w:val="22"/>
        </w:rPr>
        <w:t xml:space="preserve">skuteczny we wszystkich stopniach nadciśnienia tętniczego. </w:t>
      </w:r>
    </w:p>
    <w:p w14:paraId="33A5470F" w14:textId="77777777" w:rsidR="00556DD0" w:rsidRPr="00374521" w:rsidRDefault="00556DD0" w:rsidP="00374521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66A3D8F9" w14:textId="77777777" w:rsidR="00556DD0" w:rsidRPr="00374521" w:rsidRDefault="00556DD0" w:rsidP="00374521">
      <w:pPr>
        <w:autoSpaceDE w:val="0"/>
        <w:autoSpaceDN w:val="0"/>
        <w:adjustRightInd w:val="0"/>
        <w:rPr>
          <w:iCs/>
          <w:sz w:val="22"/>
          <w:szCs w:val="22"/>
          <w:u w:val="single"/>
        </w:rPr>
      </w:pPr>
      <w:proofErr w:type="spellStart"/>
      <w:r w:rsidRPr="00374521">
        <w:rPr>
          <w:iCs/>
          <w:sz w:val="22"/>
          <w:szCs w:val="22"/>
          <w:u w:val="single"/>
        </w:rPr>
        <w:t>Losartan</w:t>
      </w:r>
      <w:proofErr w:type="spellEnd"/>
    </w:p>
    <w:p w14:paraId="36C7BB96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374521">
        <w:rPr>
          <w:sz w:val="22"/>
          <w:szCs w:val="22"/>
        </w:rPr>
        <w:t>Losartan</w:t>
      </w:r>
      <w:proofErr w:type="spellEnd"/>
      <w:r w:rsidRPr="00374521">
        <w:rPr>
          <w:sz w:val="22"/>
          <w:szCs w:val="22"/>
        </w:rPr>
        <w:t xml:space="preserve"> jest syntetycznym, doustnym antagonistą receptora angiotensyny II</w:t>
      </w:r>
      <w:r w:rsidR="00B51FF1" w:rsidRPr="00374521">
        <w:rPr>
          <w:sz w:val="22"/>
          <w:szCs w:val="22"/>
        </w:rPr>
        <w:t xml:space="preserve"> (typu AT</w:t>
      </w:r>
      <w:r w:rsidR="00B51FF1" w:rsidRPr="00E273EE">
        <w:rPr>
          <w:sz w:val="22"/>
          <w:szCs w:val="22"/>
        </w:rPr>
        <w:t>1</w:t>
      </w:r>
      <w:r w:rsidR="00B51FF1" w:rsidRPr="00374521">
        <w:rPr>
          <w:sz w:val="22"/>
          <w:szCs w:val="22"/>
        </w:rPr>
        <w:t>).</w:t>
      </w:r>
    </w:p>
    <w:p w14:paraId="277433AC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 xml:space="preserve">Angiotensyna II, </w:t>
      </w:r>
      <w:r w:rsidR="005B69EE" w:rsidRPr="00374521">
        <w:rPr>
          <w:sz w:val="22"/>
          <w:szCs w:val="22"/>
        </w:rPr>
        <w:t>substancja</w:t>
      </w:r>
      <w:r w:rsidR="007A45F6" w:rsidRPr="00374521">
        <w:rPr>
          <w:sz w:val="22"/>
          <w:szCs w:val="22"/>
        </w:rPr>
        <w:t xml:space="preserve"> o silnym działaniu</w:t>
      </w:r>
      <w:r w:rsidRPr="00374521">
        <w:rPr>
          <w:sz w:val="22"/>
          <w:szCs w:val="22"/>
        </w:rPr>
        <w:t xml:space="preserve"> zwężając</w:t>
      </w:r>
      <w:r w:rsidR="007A45F6" w:rsidRPr="00374521">
        <w:rPr>
          <w:sz w:val="22"/>
          <w:szCs w:val="22"/>
        </w:rPr>
        <w:t>ym</w:t>
      </w:r>
      <w:r w:rsidRPr="00374521">
        <w:rPr>
          <w:sz w:val="22"/>
          <w:szCs w:val="22"/>
        </w:rPr>
        <w:t xml:space="preserve"> naczynia, jest </w:t>
      </w:r>
      <w:r w:rsidR="005B69EE" w:rsidRPr="00374521">
        <w:rPr>
          <w:sz w:val="22"/>
          <w:szCs w:val="22"/>
        </w:rPr>
        <w:t xml:space="preserve">głównym, czynnym </w:t>
      </w:r>
      <w:r w:rsidRPr="00374521">
        <w:rPr>
          <w:sz w:val="22"/>
          <w:szCs w:val="22"/>
        </w:rPr>
        <w:t xml:space="preserve">hormonem układu renina-angiotensyna oraz </w:t>
      </w:r>
      <w:r w:rsidR="005B69EE" w:rsidRPr="00374521">
        <w:rPr>
          <w:sz w:val="22"/>
          <w:szCs w:val="22"/>
        </w:rPr>
        <w:t xml:space="preserve">ważnym </w:t>
      </w:r>
      <w:r w:rsidRPr="00374521">
        <w:rPr>
          <w:sz w:val="22"/>
          <w:szCs w:val="22"/>
        </w:rPr>
        <w:t>czynnikiem</w:t>
      </w:r>
      <w:r w:rsidR="007A45F6" w:rsidRPr="00374521">
        <w:rPr>
          <w:sz w:val="22"/>
          <w:szCs w:val="22"/>
        </w:rPr>
        <w:t xml:space="preserve"> biorącym udział</w:t>
      </w:r>
      <w:r w:rsidRPr="00374521">
        <w:rPr>
          <w:sz w:val="22"/>
          <w:szCs w:val="22"/>
        </w:rPr>
        <w:t xml:space="preserve"> w patofizjologii nadciśnienia. </w:t>
      </w:r>
    </w:p>
    <w:p w14:paraId="2FEF2095" w14:textId="77777777" w:rsidR="005B69EE" w:rsidRPr="00374521" w:rsidRDefault="00556DD0" w:rsidP="00374521">
      <w:pPr>
        <w:rPr>
          <w:snapToGrid w:val="0"/>
          <w:color w:val="000000"/>
          <w:sz w:val="22"/>
          <w:szCs w:val="22"/>
        </w:rPr>
      </w:pPr>
      <w:r w:rsidRPr="00374521">
        <w:rPr>
          <w:sz w:val="22"/>
          <w:szCs w:val="22"/>
        </w:rPr>
        <w:t>Angiotensyna II wiąże się z receptorem AT</w:t>
      </w:r>
      <w:r w:rsidR="005B69EE" w:rsidRPr="00E273EE">
        <w:rPr>
          <w:sz w:val="22"/>
          <w:szCs w:val="22"/>
        </w:rPr>
        <w:t>1</w:t>
      </w:r>
      <w:r w:rsidRPr="00C006D7">
        <w:rPr>
          <w:sz w:val="22"/>
          <w:szCs w:val="22"/>
        </w:rPr>
        <w:t xml:space="preserve">, </w:t>
      </w:r>
      <w:r w:rsidRPr="00374521">
        <w:rPr>
          <w:sz w:val="22"/>
          <w:szCs w:val="22"/>
        </w:rPr>
        <w:t>który znajduje się w wielu tkankach (np. mięśnie gładkie</w:t>
      </w:r>
      <w:r w:rsidR="005B69EE" w:rsidRPr="00374521">
        <w:rPr>
          <w:sz w:val="22"/>
          <w:szCs w:val="22"/>
        </w:rPr>
        <w:t xml:space="preserve"> naczyń</w:t>
      </w:r>
      <w:r w:rsidRPr="00374521">
        <w:rPr>
          <w:sz w:val="22"/>
          <w:szCs w:val="22"/>
        </w:rPr>
        <w:t>, nadnercza, nerki i serce)</w:t>
      </w:r>
      <w:r w:rsidR="005B69EE" w:rsidRPr="00374521">
        <w:rPr>
          <w:sz w:val="22"/>
          <w:szCs w:val="22"/>
        </w:rPr>
        <w:t xml:space="preserve"> </w:t>
      </w:r>
      <w:r w:rsidR="005B69EE" w:rsidRPr="00374521">
        <w:rPr>
          <w:snapToGrid w:val="0"/>
          <w:color w:val="000000"/>
          <w:sz w:val="22"/>
          <w:szCs w:val="22"/>
        </w:rPr>
        <w:t xml:space="preserve">powodując szereg istotnych działań biologicznych, między innymi skurcz naczyń oraz uwalnianie aldosteronu. Angiotensyna II pobudza również proliferację komórek mięśni gładkich. </w:t>
      </w:r>
    </w:p>
    <w:p w14:paraId="03C1B878" w14:textId="77777777" w:rsidR="005B69EE" w:rsidRPr="00374521" w:rsidRDefault="005B69EE" w:rsidP="00374521">
      <w:pPr>
        <w:rPr>
          <w:sz w:val="22"/>
          <w:szCs w:val="22"/>
        </w:rPr>
      </w:pPr>
      <w:proofErr w:type="spellStart"/>
      <w:r w:rsidRPr="00374521">
        <w:rPr>
          <w:snapToGrid w:val="0"/>
          <w:color w:val="000000"/>
          <w:sz w:val="22"/>
          <w:szCs w:val="22"/>
        </w:rPr>
        <w:t>Losartan</w:t>
      </w:r>
      <w:proofErr w:type="spellEnd"/>
      <w:r w:rsidRPr="00374521">
        <w:rPr>
          <w:snapToGrid w:val="0"/>
          <w:color w:val="000000"/>
          <w:sz w:val="22"/>
          <w:szCs w:val="22"/>
        </w:rPr>
        <w:t xml:space="preserve"> wiąże się wybiórczo z receptorem AT</w:t>
      </w:r>
      <w:r w:rsidRPr="00E273EE">
        <w:rPr>
          <w:snapToGrid w:val="0"/>
          <w:color w:val="000000"/>
          <w:sz w:val="22"/>
          <w:szCs w:val="22"/>
        </w:rPr>
        <w:t>1</w:t>
      </w:r>
      <w:r w:rsidRPr="00C006D7">
        <w:rPr>
          <w:snapToGrid w:val="0"/>
          <w:color w:val="000000"/>
          <w:sz w:val="22"/>
          <w:szCs w:val="22"/>
        </w:rPr>
        <w:t xml:space="preserve">. </w:t>
      </w:r>
      <w:proofErr w:type="spellStart"/>
      <w:r w:rsidRPr="00374521">
        <w:rPr>
          <w:snapToGrid w:val="0"/>
          <w:color w:val="000000"/>
          <w:sz w:val="22"/>
          <w:szCs w:val="22"/>
        </w:rPr>
        <w:t>Losartan</w:t>
      </w:r>
      <w:proofErr w:type="spellEnd"/>
      <w:r w:rsidRPr="00374521">
        <w:rPr>
          <w:snapToGrid w:val="0"/>
          <w:color w:val="000000"/>
          <w:sz w:val="22"/>
          <w:szCs w:val="22"/>
        </w:rPr>
        <w:t xml:space="preserve"> i jego farmakologicznie czynny metabolit, kwas karboksylowy (E-3174) blokują </w:t>
      </w:r>
      <w:r w:rsidRPr="00374521">
        <w:rPr>
          <w:i/>
          <w:snapToGrid w:val="0"/>
          <w:color w:val="000000"/>
          <w:sz w:val="22"/>
          <w:szCs w:val="22"/>
        </w:rPr>
        <w:t>in vitro</w:t>
      </w:r>
      <w:r w:rsidRPr="00374521">
        <w:rPr>
          <w:snapToGrid w:val="0"/>
          <w:color w:val="000000"/>
          <w:sz w:val="22"/>
          <w:szCs w:val="22"/>
        </w:rPr>
        <w:t xml:space="preserve"> i </w:t>
      </w:r>
      <w:r w:rsidRPr="00374521">
        <w:rPr>
          <w:i/>
          <w:snapToGrid w:val="0"/>
          <w:color w:val="000000"/>
          <w:sz w:val="22"/>
          <w:szCs w:val="22"/>
        </w:rPr>
        <w:t>in vivo</w:t>
      </w:r>
      <w:r w:rsidRPr="00374521">
        <w:rPr>
          <w:snapToGrid w:val="0"/>
          <w:color w:val="000000"/>
          <w:sz w:val="22"/>
          <w:szCs w:val="22"/>
        </w:rPr>
        <w:t xml:space="preserve"> wszystkie fizjologicznie istotne działania angiotensyny II bez względu na jej źródło </w:t>
      </w:r>
      <w:r w:rsidR="00C766A0" w:rsidRPr="00374521">
        <w:rPr>
          <w:snapToGrid w:val="0"/>
          <w:color w:val="000000"/>
          <w:sz w:val="22"/>
          <w:szCs w:val="22"/>
        </w:rPr>
        <w:t>lub drogę</w:t>
      </w:r>
      <w:r w:rsidRPr="00374521">
        <w:rPr>
          <w:snapToGrid w:val="0"/>
          <w:color w:val="000000"/>
          <w:sz w:val="22"/>
          <w:szCs w:val="22"/>
        </w:rPr>
        <w:t xml:space="preserve"> syntezy. </w:t>
      </w:r>
    </w:p>
    <w:p w14:paraId="39CE79E2" w14:textId="77777777" w:rsidR="005B69EE" w:rsidRPr="00374521" w:rsidRDefault="005B69EE" w:rsidP="00374521">
      <w:pPr>
        <w:rPr>
          <w:sz w:val="22"/>
          <w:szCs w:val="22"/>
        </w:rPr>
      </w:pPr>
      <w:proofErr w:type="spellStart"/>
      <w:r w:rsidRPr="00374521">
        <w:rPr>
          <w:sz w:val="22"/>
          <w:szCs w:val="22"/>
        </w:rPr>
        <w:t>Losartan</w:t>
      </w:r>
      <w:proofErr w:type="spellEnd"/>
      <w:r w:rsidRPr="00374521">
        <w:rPr>
          <w:sz w:val="22"/>
          <w:szCs w:val="22"/>
        </w:rPr>
        <w:t xml:space="preserve"> nie </w:t>
      </w:r>
      <w:r w:rsidR="00C766A0" w:rsidRPr="00374521">
        <w:rPr>
          <w:sz w:val="22"/>
          <w:szCs w:val="22"/>
        </w:rPr>
        <w:t xml:space="preserve">pobudza </w:t>
      </w:r>
      <w:r w:rsidRPr="00374521">
        <w:rPr>
          <w:sz w:val="22"/>
          <w:szCs w:val="22"/>
        </w:rPr>
        <w:t xml:space="preserve">ani nie blokuje receptorów </w:t>
      </w:r>
      <w:r w:rsidR="00C766A0" w:rsidRPr="00374521">
        <w:rPr>
          <w:sz w:val="22"/>
          <w:szCs w:val="22"/>
        </w:rPr>
        <w:t>innych</w:t>
      </w:r>
      <w:r w:rsidRPr="00374521">
        <w:rPr>
          <w:sz w:val="22"/>
          <w:szCs w:val="22"/>
        </w:rPr>
        <w:t xml:space="preserve"> hormonów lub kanałów jonowych odgrywających ważną rolę w regulacji czynności układu krążenia. Ponadto, </w:t>
      </w:r>
      <w:proofErr w:type="spellStart"/>
      <w:r w:rsidRPr="00374521">
        <w:rPr>
          <w:sz w:val="22"/>
          <w:szCs w:val="22"/>
        </w:rPr>
        <w:t>losartan</w:t>
      </w:r>
      <w:proofErr w:type="spellEnd"/>
      <w:r w:rsidRPr="00374521">
        <w:rPr>
          <w:sz w:val="22"/>
          <w:szCs w:val="22"/>
        </w:rPr>
        <w:t xml:space="preserve"> nie hamuje aktywności </w:t>
      </w:r>
      <w:proofErr w:type="spellStart"/>
      <w:r w:rsidRPr="00374521">
        <w:rPr>
          <w:sz w:val="22"/>
          <w:szCs w:val="22"/>
        </w:rPr>
        <w:t>konwertazy</w:t>
      </w:r>
      <w:proofErr w:type="spellEnd"/>
      <w:r w:rsidRPr="00374521">
        <w:rPr>
          <w:sz w:val="22"/>
          <w:szCs w:val="22"/>
        </w:rPr>
        <w:t xml:space="preserve"> angiotensyny (</w:t>
      </w:r>
      <w:proofErr w:type="spellStart"/>
      <w:r w:rsidRPr="00374521">
        <w:rPr>
          <w:sz w:val="22"/>
          <w:szCs w:val="22"/>
        </w:rPr>
        <w:t>kininazy</w:t>
      </w:r>
      <w:proofErr w:type="spellEnd"/>
      <w:r w:rsidRPr="00374521">
        <w:rPr>
          <w:sz w:val="22"/>
          <w:szCs w:val="22"/>
        </w:rPr>
        <w:t xml:space="preserve"> II), enzymu, który powoduje rozkład </w:t>
      </w:r>
      <w:proofErr w:type="spellStart"/>
      <w:r w:rsidRPr="00374521">
        <w:rPr>
          <w:sz w:val="22"/>
          <w:szCs w:val="22"/>
        </w:rPr>
        <w:t>bradykininy</w:t>
      </w:r>
      <w:proofErr w:type="spellEnd"/>
      <w:r w:rsidRPr="00374521">
        <w:rPr>
          <w:sz w:val="22"/>
          <w:szCs w:val="22"/>
        </w:rPr>
        <w:t xml:space="preserve">. Dzięki temu nie nasila działań </w:t>
      </w:r>
      <w:r w:rsidR="00C766A0" w:rsidRPr="00374521">
        <w:rPr>
          <w:sz w:val="22"/>
          <w:szCs w:val="22"/>
        </w:rPr>
        <w:t xml:space="preserve">niepożądanych </w:t>
      </w:r>
      <w:r w:rsidRPr="00374521">
        <w:rPr>
          <w:sz w:val="22"/>
          <w:szCs w:val="22"/>
        </w:rPr>
        <w:t xml:space="preserve">zależnych od </w:t>
      </w:r>
      <w:proofErr w:type="spellStart"/>
      <w:r w:rsidRPr="00374521">
        <w:rPr>
          <w:sz w:val="22"/>
          <w:szCs w:val="22"/>
        </w:rPr>
        <w:t>bradykininy</w:t>
      </w:r>
      <w:proofErr w:type="spellEnd"/>
      <w:r w:rsidRPr="00374521">
        <w:rPr>
          <w:sz w:val="22"/>
          <w:szCs w:val="22"/>
        </w:rPr>
        <w:t>.</w:t>
      </w:r>
    </w:p>
    <w:p w14:paraId="4126A5F9" w14:textId="77777777" w:rsidR="005B69EE" w:rsidRPr="00374521" w:rsidRDefault="005B69EE" w:rsidP="00374521">
      <w:pPr>
        <w:rPr>
          <w:sz w:val="22"/>
          <w:szCs w:val="22"/>
        </w:rPr>
      </w:pPr>
    </w:p>
    <w:p w14:paraId="02BA1741" w14:textId="77777777" w:rsidR="00C766A0" w:rsidRPr="00374521" w:rsidRDefault="00C766A0" w:rsidP="00374521">
      <w:pPr>
        <w:rPr>
          <w:sz w:val="22"/>
          <w:szCs w:val="22"/>
        </w:rPr>
      </w:pPr>
      <w:r w:rsidRPr="00374521">
        <w:rPr>
          <w:sz w:val="22"/>
          <w:szCs w:val="22"/>
        </w:rPr>
        <w:t xml:space="preserve">Podczas stosowania </w:t>
      </w:r>
      <w:proofErr w:type="spellStart"/>
      <w:r w:rsidRPr="00374521">
        <w:rPr>
          <w:sz w:val="22"/>
          <w:szCs w:val="22"/>
        </w:rPr>
        <w:t>losartanu</w:t>
      </w:r>
      <w:proofErr w:type="spellEnd"/>
      <w:r w:rsidRPr="00374521">
        <w:rPr>
          <w:sz w:val="22"/>
          <w:szCs w:val="22"/>
        </w:rPr>
        <w:t xml:space="preserve">, zniesienie ujemnego sprzężenia zwrotnego między angiotensyną II i wydzielaniem reniny prowadzi do zwiększenia aktywności </w:t>
      </w:r>
      <w:proofErr w:type="spellStart"/>
      <w:r w:rsidRPr="00374521">
        <w:rPr>
          <w:sz w:val="22"/>
          <w:szCs w:val="22"/>
        </w:rPr>
        <w:t>reninowej</w:t>
      </w:r>
      <w:proofErr w:type="spellEnd"/>
      <w:r w:rsidRPr="00374521">
        <w:rPr>
          <w:sz w:val="22"/>
          <w:szCs w:val="22"/>
        </w:rPr>
        <w:t xml:space="preserve"> osocza. Zwiększona aktywność </w:t>
      </w:r>
      <w:proofErr w:type="spellStart"/>
      <w:r w:rsidRPr="00374521">
        <w:rPr>
          <w:sz w:val="22"/>
          <w:szCs w:val="22"/>
        </w:rPr>
        <w:t>reninowa</w:t>
      </w:r>
      <w:proofErr w:type="spellEnd"/>
      <w:r w:rsidRPr="00374521">
        <w:rPr>
          <w:sz w:val="22"/>
          <w:szCs w:val="22"/>
        </w:rPr>
        <w:t xml:space="preserve"> osocza powoduje zwiększenie stężenia angiotensyny II w osoczu. Działanie </w:t>
      </w:r>
      <w:proofErr w:type="spellStart"/>
      <w:r w:rsidRPr="00374521">
        <w:rPr>
          <w:sz w:val="22"/>
          <w:szCs w:val="22"/>
        </w:rPr>
        <w:t>przeciwnadciśnieniowe</w:t>
      </w:r>
      <w:proofErr w:type="spellEnd"/>
      <w:r w:rsidRPr="00374521">
        <w:rPr>
          <w:sz w:val="22"/>
          <w:szCs w:val="22"/>
        </w:rPr>
        <w:t xml:space="preserve"> i zmniejszone stężenie aldosteronu w osoczu utrzymują się, pomimo zwiększonego stężenia angiotensyny II, co świadczy o skutecznym zablokowaniu receptor</w:t>
      </w:r>
      <w:r w:rsidR="000D1C7E" w:rsidRPr="00374521">
        <w:rPr>
          <w:sz w:val="22"/>
          <w:szCs w:val="22"/>
        </w:rPr>
        <w:t>a</w:t>
      </w:r>
      <w:r w:rsidRPr="00374521">
        <w:rPr>
          <w:sz w:val="22"/>
          <w:szCs w:val="22"/>
        </w:rPr>
        <w:t xml:space="preserve"> </w:t>
      </w:r>
      <w:r w:rsidR="0071168D" w:rsidRPr="00C006D7">
        <w:rPr>
          <w:sz w:val="22"/>
          <w:szCs w:val="22"/>
        </w:rPr>
        <w:t>AT1</w:t>
      </w:r>
      <w:r w:rsidR="0071168D">
        <w:rPr>
          <w:sz w:val="22"/>
          <w:szCs w:val="22"/>
        </w:rPr>
        <w:t xml:space="preserve"> dla </w:t>
      </w:r>
      <w:r w:rsidRPr="00374521">
        <w:rPr>
          <w:sz w:val="22"/>
          <w:szCs w:val="22"/>
        </w:rPr>
        <w:t>angiotensyny II.</w:t>
      </w:r>
      <w:r w:rsidR="000D1C7E" w:rsidRPr="00374521">
        <w:rPr>
          <w:sz w:val="22"/>
          <w:szCs w:val="22"/>
        </w:rPr>
        <w:t xml:space="preserve"> Po przerwaniu podawania </w:t>
      </w:r>
      <w:proofErr w:type="spellStart"/>
      <w:r w:rsidR="000D1C7E" w:rsidRPr="00374521">
        <w:rPr>
          <w:sz w:val="22"/>
          <w:szCs w:val="22"/>
        </w:rPr>
        <w:t>losartanu</w:t>
      </w:r>
      <w:proofErr w:type="spellEnd"/>
      <w:r w:rsidR="000D1C7E" w:rsidRPr="00374521">
        <w:rPr>
          <w:sz w:val="22"/>
          <w:szCs w:val="22"/>
        </w:rPr>
        <w:t xml:space="preserve"> aktywność </w:t>
      </w:r>
      <w:proofErr w:type="spellStart"/>
      <w:r w:rsidR="000D1C7E" w:rsidRPr="00374521">
        <w:rPr>
          <w:sz w:val="22"/>
          <w:szCs w:val="22"/>
        </w:rPr>
        <w:t>reninowa</w:t>
      </w:r>
      <w:proofErr w:type="spellEnd"/>
      <w:r w:rsidR="000D1C7E" w:rsidRPr="00374521">
        <w:rPr>
          <w:sz w:val="22"/>
          <w:szCs w:val="22"/>
        </w:rPr>
        <w:t xml:space="preserve"> osocza i stężenie angiotensyny II w ciągu 3 dni wracają do wartości wyjściowych.</w:t>
      </w:r>
    </w:p>
    <w:p w14:paraId="381ACB44" w14:textId="77777777" w:rsidR="005B69EE" w:rsidRPr="00374521" w:rsidRDefault="000D1C7E" w:rsidP="00374521">
      <w:pPr>
        <w:rPr>
          <w:sz w:val="22"/>
          <w:szCs w:val="22"/>
        </w:rPr>
      </w:pPr>
      <w:r w:rsidRPr="00374521">
        <w:rPr>
          <w:sz w:val="22"/>
          <w:szCs w:val="22"/>
        </w:rPr>
        <w:t xml:space="preserve">Zarówno </w:t>
      </w:r>
      <w:proofErr w:type="spellStart"/>
      <w:r w:rsidRPr="00374521">
        <w:rPr>
          <w:sz w:val="22"/>
          <w:szCs w:val="22"/>
        </w:rPr>
        <w:t>losartan</w:t>
      </w:r>
      <w:proofErr w:type="spellEnd"/>
      <w:r w:rsidRPr="00374521">
        <w:rPr>
          <w:sz w:val="22"/>
          <w:szCs w:val="22"/>
        </w:rPr>
        <w:t>, jak i jego główny czynny metabolit mają znacznie większe powinowactwo do receptora A</w:t>
      </w:r>
      <w:r w:rsidRPr="00C006D7">
        <w:rPr>
          <w:sz w:val="22"/>
          <w:szCs w:val="22"/>
        </w:rPr>
        <w:t>T</w:t>
      </w:r>
      <w:r w:rsidRPr="00E273EE">
        <w:rPr>
          <w:sz w:val="22"/>
          <w:szCs w:val="22"/>
        </w:rPr>
        <w:t>1</w:t>
      </w:r>
      <w:r w:rsidRPr="00374521">
        <w:rPr>
          <w:sz w:val="22"/>
          <w:szCs w:val="22"/>
        </w:rPr>
        <w:t xml:space="preserve"> niż do receptora AT</w:t>
      </w:r>
      <w:r w:rsidRPr="00E273EE">
        <w:rPr>
          <w:sz w:val="22"/>
          <w:szCs w:val="22"/>
        </w:rPr>
        <w:t>2</w:t>
      </w:r>
      <w:r w:rsidRPr="00374521">
        <w:rPr>
          <w:sz w:val="22"/>
          <w:szCs w:val="22"/>
        </w:rPr>
        <w:t xml:space="preserve">. Czynny metabolit jest 10 – 40 razy bardziej aktywny od </w:t>
      </w:r>
      <w:proofErr w:type="spellStart"/>
      <w:r w:rsidRPr="00374521">
        <w:rPr>
          <w:sz w:val="22"/>
          <w:szCs w:val="22"/>
        </w:rPr>
        <w:t>losartanu</w:t>
      </w:r>
      <w:proofErr w:type="spellEnd"/>
      <w:r w:rsidR="00BE463F" w:rsidRPr="00374521">
        <w:rPr>
          <w:sz w:val="22"/>
          <w:szCs w:val="22"/>
        </w:rPr>
        <w:t xml:space="preserve"> w przypadku równej masy</w:t>
      </w:r>
      <w:r w:rsidR="004B3A15" w:rsidRPr="00374521">
        <w:rPr>
          <w:sz w:val="22"/>
          <w:szCs w:val="22"/>
        </w:rPr>
        <w:t xml:space="preserve"> obu substancji</w:t>
      </w:r>
      <w:r w:rsidRPr="00374521">
        <w:rPr>
          <w:sz w:val="22"/>
          <w:szCs w:val="22"/>
        </w:rPr>
        <w:t xml:space="preserve">. </w:t>
      </w:r>
    </w:p>
    <w:p w14:paraId="76F4C173" w14:textId="77777777" w:rsidR="00BE463F" w:rsidRPr="00374521" w:rsidRDefault="00BE463F" w:rsidP="00374521">
      <w:pPr>
        <w:rPr>
          <w:snapToGrid w:val="0"/>
          <w:color w:val="000000"/>
          <w:sz w:val="22"/>
          <w:szCs w:val="22"/>
        </w:rPr>
      </w:pPr>
    </w:p>
    <w:p w14:paraId="26AE5024" w14:textId="77777777" w:rsidR="005B69EE" w:rsidRPr="00374521" w:rsidRDefault="005B69EE" w:rsidP="00374521">
      <w:pPr>
        <w:rPr>
          <w:snapToGrid w:val="0"/>
          <w:color w:val="000000"/>
          <w:sz w:val="22"/>
          <w:szCs w:val="22"/>
        </w:rPr>
      </w:pPr>
      <w:r w:rsidRPr="00374521">
        <w:rPr>
          <w:snapToGrid w:val="0"/>
          <w:color w:val="000000"/>
          <w:sz w:val="22"/>
          <w:szCs w:val="22"/>
        </w:rPr>
        <w:t>W badaniu zap</w:t>
      </w:r>
      <w:r w:rsidR="004B3A15" w:rsidRPr="00374521">
        <w:rPr>
          <w:snapToGrid w:val="0"/>
          <w:color w:val="000000"/>
          <w:sz w:val="22"/>
          <w:szCs w:val="22"/>
        </w:rPr>
        <w:t>lanowanym</w:t>
      </w:r>
      <w:r w:rsidRPr="00374521">
        <w:rPr>
          <w:snapToGrid w:val="0"/>
          <w:color w:val="000000"/>
          <w:sz w:val="22"/>
          <w:szCs w:val="22"/>
        </w:rPr>
        <w:t xml:space="preserve"> w celu oceny częstości występowania kaszlu u pacjentów leczonych</w:t>
      </w:r>
      <w:r w:rsidRPr="00374521">
        <w:rPr>
          <w:i/>
          <w:iCs/>
          <w:snapToGrid w:val="0"/>
          <w:color w:val="000000"/>
          <w:sz w:val="22"/>
          <w:szCs w:val="22"/>
        </w:rPr>
        <w:t xml:space="preserve"> </w:t>
      </w:r>
      <w:proofErr w:type="spellStart"/>
      <w:r w:rsidRPr="00374521">
        <w:rPr>
          <w:iCs/>
          <w:snapToGrid w:val="0"/>
          <w:color w:val="000000"/>
          <w:sz w:val="22"/>
          <w:szCs w:val="22"/>
        </w:rPr>
        <w:t>losartanem</w:t>
      </w:r>
      <w:proofErr w:type="spellEnd"/>
      <w:r w:rsidRPr="00374521">
        <w:rPr>
          <w:i/>
          <w:iCs/>
          <w:snapToGrid w:val="0"/>
          <w:color w:val="000000"/>
          <w:sz w:val="22"/>
          <w:szCs w:val="22"/>
        </w:rPr>
        <w:t xml:space="preserve"> </w:t>
      </w:r>
      <w:r w:rsidRPr="00374521">
        <w:rPr>
          <w:snapToGrid w:val="0"/>
          <w:color w:val="000000"/>
          <w:sz w:val="22"/>
          <w:szCs w:val="22"/>
        </w:rPr>
        <w:t xml:space="preserve">w porównaniu z pacjentami otrzymującymi inhibitory </w:t>
      </w:r>
      <w:proofErr w:type="spellStart"/>
      <w:r w:rsidRPr="00374521">
        <w:rPr>
          <w:snapToGrid w:val="0"/>
          <w:color w:val="000000"/>
          <w:sz w:val="22"/>
          <w:szCs w:val="22"/>
        </w:rPr>
        <w:t>konwertazy</w:t>
      </w:r>
      <w:proofErr w:type="spellEnd"/>
      <w:r w:rsidRPr="00374521">
        <w:rPr>
          <w:snapToGrid w:val="0"/>
          <w:color w:val="000000"/>
          <w:sz w:val="22"/>
          <w:szCs w:val="22"/>
        </w:rPr>
        <w:t xml:space="preserve"> angiotensyny, częstość występowania kaszlu u pacjentów otrzymujących </w:t>
      </w:r>
      <w:proofErr w:type="spellStart"/>
      <w:r w:rsidRPr="00374521">
        <w:rPr>
          <w:snapToGrid w:val="0"/>
          <w:color w:val="000000"/>
          <w:sz w:val="22"/>
          <w:szCs w:val="22"/>
        </w:rPr>
        <w:t>losartan</w:t>
      </w:r>
      <w:proofErr w:type="spellEnd"/>
      <w:r w:rsidRPr="00374521">
        <w:rPr>
          <w:snapToGrid w:val="0"/>
          <w:color w:val="000000"/>
          <w:sz w:val="22"/>
          <w:szCs w:val="22"/>
        </w:rPr>
        <w:t xml:space="preserve"> lub </w:t>
      </w:r>
      <w:proofErr w:type="spellStart"/>
      <w:r w:rsidRPr="00374521">
        <w:rPr>
          <w:snapToGrid w:val="0"/>
          <w:color w:val="000000"/>
          <w:sz w:val="22"/>
          <w:szCs w:val="22"/>
        </w:rPr>
        <w:t>hydrochlorotiazyd</w:t>
      </w:r>
      <w:proofErr w:type="spellEnd"/>
      <w:r w:rsidRPr="00374521">
        <w:rPr>
          <w:snapToGrid w:val="0"/>
          <w:color w:val="000000"/>
          <w:sz w:val="22"/>
          <w:szCs w:val="22"/>
        </w:rPr>
        <w:t xml:space="preserve"> była podobna, a jednocześnie znacznie mniejsza niż u pacjentów leczonych inhibitorami </w:t>
      </w:r>
      <w:proofErr w:type="spellStart"/>
      <w:r w:rsidRPr="00374521">
        <w:rPr>
          <w:snapToGrid w:val="0"/>
          <w:color w:val="000000"/>
          <w:sz w:val="22"/>
          <w:szCs w:val="22"/>
        </w:rPr>
        <w:t>konwertazy</w:t>
      </w:r>
      <w:proofErr w:type="spellEnd"/>
      <w:r w:rsidRPr="00374521">
        <w:rPr>
          <w:snapToGrid w:val="0"/>
          <w:color w:val="000000"/>
          <w:sz w:val="22"/>
          <w:szCs w:val="22"/>
        </w:rPr>
        <w:t xml:space="preserve"> angiotensyny. Ponadto, całościowa analiza 16 badań z podwójnie ślepą próbą, z udziałem 4131 pacjentów wykazała, że częstość występowania kaszlu u pacjentów leczonych </w:t>
      </w:r>
      <w:proofErr w:type="spellStart"/>
      <w:r w:rsidRPr="00374521">
        <w:rPr>
          <w:iCs/>
          <w:snapToGrid w:val="0"/>
          <w:color w:val="000000"/>
          <w:sz w:val="22"/>
          <w:szCs w:val="22"/>
        </w:rPr>
        <w:t>losartanem</w:t>
      </w:r>
      <w:proofErr w:type="spellEnd"/>
      <w:r w:rsidRPr="00374521">
        <w:rPr>
          <w:snapToGrid w:val="0"/>
          <w:color w:val="000000"/>
          <w:sz w:val="22"/>
          <w:szCs w:val="22"/>
        </w:rPr>
        <w:t xml:space="preserve"> była podobna (3,1%) do zgłaszanej w grupie otrzymującej placebo (2,6%) lub </w:t>
      </w:r>
      <w:proofErr w:type="spellStart"/>
      <w:r w:rsidRPr="00374521">
        <w:rPr>
          <w:iCs/>
          <w:snapToGrid w:val="0"/>
          <w:color w:val="000000"/>
          <w:sz w:val="22"/>
          <w:szCs w:val="22"/>
        </w:rPr>
        <w:t>hydrochlorotiazyd</w:t>
      </w:r>
      <w:proofErr w:type="spellEnd"/>
      <w:r w:rsidRPr="00374521">
        <w:rPr>
          <w:iCs/>
          <w:snapToGrid w:val="0"/>
          <w:color w:val="000000"/>
          <w:sz w:val="22"/>
          <w:szCs w:val="22"/>
        </w:rPr>
        <w:t xml:space="preserve"> </w:t>
      </w:r>
      <w:r w:rsidRPr="00374521">
        <w:rPr>
          <w:snapToGrid w:val="0"/>
          <w:color w:val="000000"/>
          <w:sz w:val="22"/>
          <w:szCs w:val="22"/>
        </w:rPr>
        <w:t xml:space="preserve">(4,1%), podczas gdy w przypadku leczenia inhibitorami </w:t>
      </w:r>
      <w:proofErr w:type="spellStart"/>
      <w:r w:rsidRPr="00374521">
        <w:rPr>
          <w:snapToGrid w:val="0"/>
          <w:color w:val="000000"/>
          <w:sz w:val="22"/>
          <w:szCs w:val="22"/>
        </w:rPr>
        <w:t>konwertazy</w:t>
      </w:r>
      <w:proofErr w:type="spellEnd"/>
      <w:r w:rsidRPr="00374521">
        <w:rPr>
          <w:snapToGrid w:val="0"/>
          <w:color w:val="000000"/>
          <w:sz w:val="22"/>
          <w:szCs w:val="22"/>
        </w:rPr>
        <w:t xml:space="preserve"> angiotensyny wynosiła </w:t>
      </w:r>
      <w:r w:rsidR="004B3A15" w:rsidRPr="00374521">
        <w:rPr>
          <w:snapToGrid w:val="0"/>
          <w:color w:val="000000"/>
          <w:sz w:val="22"/>
          <w:szCs w:val="22"/>
        </w:rPr>
        <w:t>8,8%.</w:t>
      </w:r>
    </w:p>
    <w:p w14:paraId="08453632" w14:textId="77777777" w:rsidR="005B69EE" w:rsidRPr="00374521" w:rsidRDefault="005B69EE" w:rsidP="00374521">
      <w:pPr>
        <w:rPr>
          <w:sz w:val="22"/>
          <w:szCs w:val="22"/>
        </w:rPr>
      </w:pPr>
    </w:p>
    <w:p w14:paraId="623CC9B8" w14:textId="77777777" w:rsidR="005B69EE" w:rsidRPr="00374521" w:rsidRDefault="005B69EE" w:rsidP="00374521">
      <w:pPr>
        <w:rPr>
          <w:sz w:val="22"/>
          <w:szCs w:val="22"/>
        </w:rPr>
      </w:pPr>
      <w:r w:rsidRPr="00374521">
        <w:rPr>
          <w:sz w:val="22"/>
          <w:szCs w:val="22"/>
        </w:rPr>
        <w:t xml:space="preserve">U pacjentów z nadciśnieniem i białkomoczem bez współistniejącej cukrzycy, podawanie </w:t>
      </w:r>
      <w:proofErr w:type="spellStart"/>
      <w:r w:rsidRPr="00374521">
        <w:rPr>
          <w:sz w:val="22"/>
          <w:szCs w:val="22"/>
        </w:rPr>
        <w:t>losartanu</w:t>
      </w:r>
      <w:proofErr w:type="spellEnd"/>
      <w:r w:rsidRPr="00374521">
        <w:rPr>
          <w:sz w:val="22"/>
          <w:szCs w:val="22"/>
        </w:rPr>
        <w:t xml:space="preserve"> potas</w:t>
      </w:r>
      <w:r w:rsidR="004B3A15" w:rsidRPr="00374521">
        <w:rPr>
          <w:sz w:val="22"/>
          <w:szCs w:val="22"/>
        </w:rPr>
        <w:t>owego</w:t>
      </w:r>
      <w:r w:rsidRPr="00374521">
        <w:rPr>
          <w:sz w:val="22"/>
          <w:szCs w:val="22"/>
        </w:rPr>
        <w:t xml:space="preserve"> istotnie zmniejsza białkomocz, albuminurię i wydalanie frakcji </w:t>
      </w:r>
      <w:proofErr w:type="spellStart"/>
      <w:r w:rsidRPr="00374521">
        <w:rPr>
          <w:sz w:val="22"/>
          <w:szCs w:val="22"/>
        </w:rPr>
        <w:t>IgG</w:t>
      </w:r>
      <w:proofErr w:type="spellEnd"/>
      <w:r w:rsidRPr="00374521">
        <w:rPr>
          <w:sz w:val="22"/>
          <w:szCs w:val="22"/>
        </w:rPr>
        <w:t xml:space="preserve">. </w:t>
      </w:r>
      <w:proofErr w:type="spellStart"/>
      <w:r w:rsidRPr="00374521">
        <w:rPr>
          <w:sz w:val="22"/>
          <w:szCs w:val="22"/>
        </w:rPr>
        <w:t>Losartan</w:t>
      </w:r>
      <w:proofErr w:type="spellEnd"/>
      <w:r w:rsidRPr="00374521">
        <w:rPr>
          <w:sz w:val="22"/>
          <w:szCs w:val="22"/>
        </w:rPr>
        <w:t xml:space="preserve"> utrzymuje </w:t>
      </w:r>
      <w:r w:rsidRPr="00374521">
        <w:rPr>
          <w:sz w:val="22"/>
          <w:szCs w:val="22"/>
        </w:rPr>
        <w:lastRenderedPageBreak/>
        <w:t xml:space="preserve">wskaźnik przesączania kłębuszkowego i zmniejsza frakcję filtracyjną. Ogólnie </w:t>
      </w:r>
      <w:proofErr w:type="spellStart"/>
      <w:r w:rsidRPr="00374521">
        <w:rPr>
          <w:sz w:val="22"/>
          <w:szCs w:val="22"/>
        </w:rPr>
        <w:t>losartan</w:t>
      </w:r>
      <w:proofErr w:type="spellEnd"/>
      <w:r w:rsidRPr="00374521">
        <w:rPr>
          <w:sz w:val="22"/>
          <w:szCs w:val="22"/>
        </w:rPr>
        <w:t xml:space="preserve"> powoduje zmniejszenie stężenia kwasu moczowego w surowicy (zwykle &lt; 0,4 mg/dl), które utrzymuje się podczas długotrwałego leczenia.</w:t>
      </w:r>
    </w:p>
    <w:p w14:paraId="51138277" w14:textId="77777777" w:rsidR="005B69EE" w:rsidRPr="00374521" w:rsidRDefault="005B69EE" w:rsidP="00374521">
      <w:pPr>
        <w:rPr>
          <w:sz w:val="22"/>
          <w:szCs w:val="22"/>
        </w:rPr>
      </w:pPr>
    </w:p>
    <w:p w14:paraId="7480FB46" w14:textId="77777777" w:rsidR="005B69EE" w:rsidRPr="00374521" w:rsidRDefault="005B69EE" w:rsidP="00374521">
      <w:pPr>
        <w:rPr>
          <w:sz w:val="22"/>
          <w:szCs w:val="22"/>
        </w:rPr>
      </w:pPr>
      <w:proofErr w:type="spellStart"/>
      <w:r w:rsidRPr="00374521">
        <w:rPr>
          <w:sz w:val="22"/>
          <w:szCs w:val="22"/>
        </w:rPr>
        <w:t>Losartan</w:t>
      </w:r>
      <w:proofErr w:type="spellEnd"/>
      <w:r w:rsidRPr="00374521">
        <w:rPr>
          <w:sz w:val="22"/>
          <w:szCs w:val="22"/>
        </w:rPr>
        <w:t xml:space="preserve"> nie wpływa na czynność autonomicznego układu nerwowego i stężenie noradrenaliny w osoczu.</w:t>
      </w:r>
    </w:p>
    <w:p w14:paraId="1334A9CA" w14:textId="77777777" w:rsidR="004B3A15" w:rsidRPr="00374521" w:rsidRDefault="004B3A15" w:rsidP="00374521">
      <w:pPr>
        <w:pStyle w:val="Tekstpodstawowy"/>
        <w:spacing w:after="0"/>
        <w:rPr>
          <w:sz w:val="22"/>
          <w:szCs w:val="22"/>
        </w:rPr>
      </w:pPr>
    </w:p>
    <w:p w14:paraId="66625983" w14:textId="77777777" w:rsidR="005B69EE" w:rsidRPr="00374521" w:rsidRDefault="005B69EE" w:rsidP="00374521">
      <w:pPr>
        <w:pStyle w:val="Tekstpodstawowy"/>
        <w:spacing w:after="0"/>
        <w:rPr>
          <w:sz w:val="22"/>
          <w:szCs w:val="22"/>
        </w:rPr>
      </w:pPr>
      <w:r w:rsidRPr="00374521">
        <w:rPr>
          <w:sz w:val="22"/>
          <w:szCs w:val="22"/>
        </w:rPr>
        <w:t xml:space="preserve">U pacjentów z niewydolnością lewej komory serca </w:t>
      </w:r>
      <w:proofErr w:type="spellStart"/>
      <w:r w:rsidRPr="00374521">
        <w:rPr>
          <w:sz w:val="22"/>
          <w:szCs w:val="22"/>
        </w:rPr>
        <w:t>losartan</w:t>
      </w:r>
      <w:proofErr w:type="spellEnd"/>
      <w:r w:rsidRPr="00374521">
        <w:rPr>
          <w:sz w:val="22"/>
          <w:szCs w:val="22"/>
        </w:rPr>
        <w:t xml:space="preserve"> w dawkach 25 mg i 50 mg na dobę wywiera korzystne efekty hemodynamiczne i neurohormonalne charakteryzujące się odpowiednio zwiększeniem wskaźnika sercowego i zmniejszeniem ciśnienia zaklinowania </w:t>
      </w:r>
      <w:r w:rsidR="00BE463F" w:rsidRPr="00374521">
        <w:rPr>
          <w:sz w:val="22"/>
          <w:szCs w:val="22"/>
        </w:rPr>
        <w:t>w</w:t>
      </w:r>
      <w:r w:rsidR="004B3A15" w:rsidRPr="00374521">
        <w:rPr>
          <w:sz w:val="22"/>
          <w:szCs w:val="22"/>
        </w:rPr>
        <w:t xml:space="preserve"> naczyniach </w:t>
      </w:r>
      <w:r w:rsidR="000908BE" w:rsidRPr="00374521">
        <w:rPr>
          <w:sz w:val="22"/>
          <w:szCs w:val="22"/>
        </w:rPr>
        <w:t xml:space="preserve">włosowatych </w:t>
      </w:r>
      <w:r w:rsidRPr="00374521">
        <w:rPr>
          <w:sz w:val="22"/>
          <w:szCs w:val="22"/>
        </w:rPr>
        <w:t>płucn</w:t>
      </w:r>
      <w:r w:rsidR="00BE463F" w:rsidRPr="00374521">
        <w:rPr>
          <w:sz w:val="22"/>
          <w:szCs w:val="22"/>
        </w:rPr>
        <w:t>ych</w:t>
      </w:r>
      <w:r w:rsidRPr="00374521">
        <w:rPr>
          <w:sz w:val="22"/>
          <w:szCs w:val="22"/>
        </w:rPr>
        <w:t xml:space="preserve">, zmniejszeniem oporu naczyniowego, średniego ciśnienia tętniczego krwi i częstości akcji serca oraz zmniejszeniem stężenia aldosteronu i noradrenaliny we krwi krążącej. </w:t>
      </w:r>
      <w:r w:rsidR="004B3A15" w:rsidRPr="00374521">
        <w:rPr>
          <w:sz w:val="22"/>
          <w:szCs w:val="22"/>
        </w:rPr>
        <w:t>W</w:t>
      </w:r>
      <w:r w:rsidRPr="00374521">
        <w:rPr>
          <w:sz w:val="22"/>
          <w:szCs w:val="22"/>
        </w:rPr>
        <w:t xml:space="preserve"> </w:t>
      </w:r>
      <w:r w:rsidR="004B3A15" w:rsidRPr="00374521">
        <w:rPr>
          <w:sz w:val="22"/>
          <w:szCs w:val="22"/>
        </w:rPr>
        <w:t xml:space="preserve">grupie </w:t>
      </w:r>
      <w:r w:rsidRPr="00374521">
        <w:rPr>
          <w:sz w:val="22"/>
          <w:szCs w:val="22"/>
        </w:rPr>
        <w:t xml:space="preserve">pacjentów z niewydolnością serca </w:t>
      </w:r>
      <w:r w:rsidR="004B3A15" w:rsidRPr="00374521">
        <w:rPr>
          <w:sz w:val="22"/>
          <w:szCs w:val="22"/>
        </w:rPr>
        <w:t>ryzyko</w:t>
      </w:r>
      <w:r w:rsidRPr="00374521">
        <w:rPr>
          <w:sz w:val="22"/>
          <w:szCs w:val="22"/>
        </w:rPr>
        <w:t xml:space="preserve"> występowania niedociśnienia </w:t>
      </w:r>
      <w:r w:rsidR="004B3A15" w:rsidRPr="00374521">
        <w:rPr>
          <w:sz w:val="22"/>
          <w:szCs w:val="22"/>
        </w:rPr>
        <w:t xml:space="preserve">było zależne </w:t>
      </w:r>
      <w:r w:rsidRPr="00374521">
        <w:rPr>
          <w:sz w:val="22"/>
          <w:szCs w:val="22"/>
        </w:rPr>
        <w:t xml:space="preserve">od dawki. </w:t>
      </w:r>
    </w:p>
    <w:p w14:paraId="6610DA18" w14:textId="77777777" w:rsidR="005B69EE" w:rsidRPr="00374521" w:rsidRDefault="005B69EE" w:rsidP="00374521">
      <w:pPr>
        <w:pStyle w:val="Tekstpodstawowy"/>
        <w:spacing w:after="0"/>
        <w:rPr>
          <w:color w:val="000000"/>
          <w:sz w:val="22"/>
          <w:szCs w:val="22"/>
        </w:rPr>
      </w:pPr>
    </w:p>
    <w:p w14:paraId="2F8BACF3" w14:textId="77777777" w:rsidR="000908BE" w:rsidRPr="00374521" w:rsidRDefault="000908BE" w:rsidP="00374521">
      <w:pPr>
        <w:pStyle w:val="Tekstpodstawowy"/>
        <w:spacing w:after="0"/>
        <w:rPr>
          <w:color w:val="000000"/>
          <w:sz w:val="22"/>
          <w:szCs w:val="22"/>
          <w:u w:val="single"/>
        </w:rPr>
      </w:pPr>
      <w:r w:rsidRPr="00374521">
        <w:rPr>
          <w:color w:val="000000"/>
          <w:sz w:val="22"/>
          <w:szCs w:val="22"/>
          <w:u w:val="single"/>
        </w:rPr>
        <w:t>Badania dotyczące nadciśnienia tętniczego</w:t>
      </w:r>
    </w:p>
    <w:p w14:paraId="1C76C524" w14:textId="77777777" w:rsidR="000908BE" w:rsidRPr="00374521" w:rsidRDefault="005B69EE" w:rsidP="00374521">
      <w:pPr>
        <w:pStyle w:val="Tekstpodstawowy"/>
        <w:spacing w:after="0"/>
        <w:rPr>
          <w:color w:val="000000"/>
          <w:sz w:val="22"/>
          <w:szCs w:val="22"/>
        </w:rPr>
      </w:pPr>
      <w:r w:rsidRPr="00374521">
        <w:rPr>
          <w:color w:val="000000"/>
          <w:sz w:val="22"/>
          <w:szCs w:val="22"/>
        </w:rPr>
        <w:t xml:space="preserve">W </w:t>
      </w:r>
      <w:r w:rsidR="000908BE" w:rsidRPr="00374521">
        <w:rPr>
          <w:color w:val="000000"/>
          <w:sz w:val="22"/>
          <w:szCs w:val="22"/>
        </w:rPr>
        <w:t xml:space="preserve">kontrolowanych </w:t>
      </w:r>
      <w:r w:rsidRPr="00374521">
        <w:rPr>
          <w:color w:val="000000"/>
          <w:sz w:val="22"/>
          <w:szCs w:val="22"/>
        </w:rPr>
        <w:t>badaniach klinicznych</w:t>
      </w:r>
      <w:r w:rsidR="000908BE" w:rsidRPr="00374521">
        <w:rPr>
          <w:color w:val="000000"/>
          <w:sz w:val="22"/>
          <w:szCs w:val="22"/>
        </w:rPr>
        <w:t>,</w:t>
      </w:r>
      <w:r w:rsidRPr="00374521">
        <w:rPr>
          <w:color w:val="000000"/>
          <w:sz w:val="22"/>
          <w:szCs w:val="22"/>
        </w:rPr>
        <w:t xml:space="preserve"> </w:t>
      </w:r>
      <w:proofErr w:type="spellStart"/>
      <w:r w:rsidRPr="00374521">
        <w:rPr>
          <w:color w:val="000000"/>
          <w:sz w:val="22"/>
          <w:szCs w:val="22"/>
        </w:rPr>
        <w:t>losartan</w:t>
      </w:r>
      <w:proofErr w:type="spellEnd"/>
      <w:r w:rsidRPr="00374521">
        <w:rPr>
          <w:color w:val="000000"/>
          <w:sz w:val="22"/>
          <w:szCs w:val="22"/>
        </w:rPr>
        <w:t xml:space="preserve"> podawany raz na dobę pacjentom z łagodnym </w:t>
      </w:r>
      <w:r w:rsidR="001640C0" w:rsidRPr="00374521">
        <w:rPr>
          <w:color w:val="000000"/>
          <w:sz w:val="22"/>
          <w:szCs w:val="22"/>
        </w:rPr>
        <w:t>lub</w:t>
      </w:r>
      <w:r w:rsidR="000908BE" w:rsidRPr="00374521">
        <w:rPr>
          <w:color w:val="000000"/>
          <w:sz w:val="22"/>
          <w:szCs w:val="22"/>
        </w:rPr>
        <w:t xml:space="preserve"> </w:t>
      </w:r>
      <w:r w:rsidRPr="00374521">
        <w:rPr>
          <w:color w:val="000000"/>
          <w:sz w:val="22"/>
          <w:szCs w:val="22"/>
        </w:rPr>
        <w:t>umiarkowan</w:t>
      </w:r>
      <w:r w:rsidR="001640C0" w:rsidRPr="00374521">
        <w:rPr>
          <w:color w:val="000000"/>
          <w:sz w:val="22"/>
          <w:szCs w:val="22"/>
        </w:rPr>
        <w:t>ym</w:t>
      </w:r>
      <w:r w:rsidRPr="00374521">
        <w:rPr>
          <w:color w:val="000000"/>
          <w:sz w:val="22"/>
          <w:szCs w:val="22"/>
        </w:rPr>
        <w:t xml:space="preserve"> </w:t>
      </w:r>
      <w:r w:rsidR="001640C0" w:rsidRPr="00374521">
        <w:rPr>
          <w:color w:val="000000"/>
          <w:sz w:val="22"/>
          <w:szCs w:val="22"/>
        </w:rPr>
        <w:t xml:space="preserve">pierwotnym </w:t>
      </w:r>
      <w:r w:rsidRPr="00374521">
        <w:rPr>
          <w:color w:val="000000"/>
          <w:sz w:val="22"/>
          <w:szCs w:val="22"/>
        </w:rPr>
        <w:t>nadciśnieniem tętniczym powodował statystycznie znamienne obniżenie skurczowego i rozkurczowego ciśnienia tętniczego</w:t>
      </w:r>
      <w:r w:rsidR="000908BE" w:rsidRPr="00374521">
        <w:rPr>
          <w:color w:val="000000"/>
          <w:sz w:val="22"/>
          <w:szCs w:val="22"/>
        </w:rPr>
        <w:t xml:space="preserve">. </w:t>
      </w:r>
      <w:r w:rsidR="003B2AB3" w:rsidRPr="00374521">
        <w:rPr>
          <w:color w:val="000000"/>
          <w:sz w:val="22"/>
          <w:szCs w:val="22"/>
        </w:rPr>
        <w:t>Wartości</w:t>
      </w:r>
      <w:r w:rsidRPr="00374521">
        <w:rPr>
          <w:color w:val="000000"/>
          <w:sz w:val="22"/>
          <w:szCs w:val="22"/>
        </w:rPr>
        <w:t xml:space="preserve"> ciśnienia tętniczego </w:t>
      </w:r>
      <w:r w:rsidR="003B2AB3" w:rsidRPr="00374521">
        <w:rPr>
          <w:color w:val="000000"/>
          <w:sz w:val="22"/>
          <w:szCs w:val="22"/>
        </w:rPr>
        <w:t xml:space="preserve">mierzonego </w:t>
      </w:r>
      <w:r w:rsidRPr="00374521">
        <w:rPr>
          <w:color w:val="000000"/>
          <w:sz w:val="22"/>
          <w:szCs w:val="22"/>
        </w:rPr>
        <w:t>24 godziny po podaniu</w:t>
      </w:r>
      <w:r w:rsidR="000908BE" w:rsidRPr="00374521">
        <w:rPr>
          <w:color w:val="000000"/>
          <w:sz w:val="22"/>
          <w:szCs w:val="22"/>
        </w:rPr>
        <w:t>,</w:t>
      </w:r>
      <w:r w:rsidRPr="00374521">
        <w:rPr>
          <w:color w:val="000000"/>
          <w:sz w:val="22"/>
          <w:szCs w:val="22"/>
        </w:rPr>
        <w:t xml:space="preserve"> w porównaniu z </w:t>
      </w:r>
      <w:r w:rsidR="003B2AB3" w:rsidRPr="00374521">
        <w:rPr>
          <w:color w:val="000000"/>
          <w:sz w:val="22"/>
          <w:szCs w:val="22"/>
        </w:rPr>
        <w:t>wartościami osiąganymi</w:t>
      </w:r>
      <w:r w:rsidR="000908BE" w:rsidRPr="00374521">
        <w:rPr>
          <w:color w:val="000000"/>
          <w:sz w:val="22"/>
          <w:szCs w:val="22"/>
        </w:rPr>
        <w:t xml:space="preserve"> </w:t>
      </w:r>
      <w:r w:rsidRPr="00374521">
        <w:rPr>
          <w:color w:val="000000"/>
          <w:sz w:val="22"/>
          <w:szCs w:val="22"/>
        </w:rPr>
        <w:t xml:space="preserve">5 </w:t>
      </w:r>
      <w:r w:rsidR="000908BE" w:rsidRPr="00374521">
        <w:rPr>
          <w:color w:val="000000"/>
          <w:sz w:val="22"/>
          <w:szCs w:val="22"/>
        </w:rPr>
        <w:t>-</w:t>
      </w:r>
      <w:r w:rsidRPr="00374521">
        <w:rPr>
          <w:color w:val="000000"/>
          <w:sz w:val="22"/>
          <w:szCs w:val="22"/>
        </w:rPr>
        <w:t xml:space="preserve"> 6 godzin</w:t>
      </w:r>
      <w:r w:rsidR="003B2AB3" w:rsidRPr="00374521">
        <w:rPr>
          <w:color w:val="000000"/>
          <w:sz w:val="22"/>
          <w:szCs w:val="22"/>
        </w:rPr>
        <w:t xml:space="preserve"> po</w:t>
      </w:r>
      <w:r w:rsidRPr="00374521">
        <w:rPr>
          <w:color w:val="000000"/>
          <w:sz w:val="22"/>
          <w:szCs w:val="22"/>
        </w:rPr>
        <w:t xml:space="preserve"> pod</w:t>
      </w:r>
      <w:r w:rsidR="000908BE" w:rsidRPr="00374521">
        <w:rPr>
          <w:color w:val="000000"/>
          <w:sz w:val="22"/>
          <w:szCs w:val="22"/>
        </w:rPr>
        <w:t>ani</w:t>
      </w:r>
      <w:r w:rsidR="003B2AB3" w:rsidRPr="00374521">
        <w:rPr>
          <w:color w:val="000000"/>
          <w:sz w:val="22"/>
          <w:szCs w:val="22"/>
        </w:rPr>
        <w:t>u</w:t>
      </w:r>
      <w:r w:rsidRPr="00374521">
        <w:rPr>
          <w:color w:val="000000"/>
          <w:sz w:val="22"/>
          <w:szCs w:val="22"/>
        </w:rPr>
        <w:t xml:space="preserve"> </w:t>
      </w:r>
      <w:r w:rsidR="003B2AB3" w:rsidRPr="00374521">
        <w:rPr>
          <w:color w:val="000000"/>
          <w:sz w:val="22"/>
          <w:szCs w:val="22"/>
        </w:rPr>
        <w:t>ws</w:t>
      </w:r>
      <w:r w:rsidRPr="00374521">
        <w:rPr>
          <w:color w:val="000000"/>
          <w:sz w:val="22"/>
          <w:szCs w:val="22"/>
        </w:rPr>
        <w:t>kazywał</w:t>
      </w:r>
      <w:r w:rsidR="003B2AB3" w:rsidRPr="00374521">
        <w:rPr>
          <w:color w:val="000000"/>
          <w:sz w:val="22"/>
          <w:szCs w:val="22"/>
        </w:rPr>
        <w:t>y na</w:t>
      </w:r>
      <w:r w:rsidRPr="00374521">
        <w:rPr>
          <w:color w:val="000000"/>
          <w:sz w:val="22"/>
          <w:szCs w:val="22"/>
        </w:rPr>
        <w:t xml:space="preserve"> </w:t>
      </w:r>
      <w:r w:rsidR="003B2AB3" w:rsidRPr="00374521">
        <w:rPr>
          <w:color w:val="000000"/>
          <w:sz w:val="22"/>
          <w:szCs w:val="22"/>
        </w:rPr>
        <w:t xml:space="preserve">utrzymywanie </w:t>
      </w:r>
      <w:r w:rsidRPr="00374521">
        <w:rPr>
          <w:color w:val="000000"/>
          <w:sz w:val="22"/>
          <w:szCs w:val="22"/>
        </w:rPr>
        <w:t>obniż</w:t>
      </w:r>
      <w:r w:rsidR="003B2AB3" w:rsidRPr="00374521">
        <w:rPr>
          <w:color w:val="000000"/>
          <w:sz w:val="22"/>
          <w:szCs w:val="22"/>
        </w:rPr>
        <w:t>onych</w:t>
      </w:r>
      <w:r w:rsidRPr="00374521">
        <w:rPr>
          <w:color w:val="000000"/>
          <w:sz w:val="22"/>
          <w:szCs w:val="22"/>
        </w:rPr>
        <w:t xml:space="preserve"> </w:t>
      </w:r>
      <w:r w:rsidR="003B2AB3" w:rsidRPr="00374521">
        <w:rPr>
          <w:color w:val="000000"/>
          <w:sz w:val="22"/>
          <w:szCs w:val="22"/>
        </w:rPr>
        <w:t xml:space="preserve">wartości </w:t>
      </w:r>
      <w:r w:rsidRPr="00374521">
        <w:rPr>
          <w:color w:val="000000"/>
          <w:sz w:val="22"/>
          <w:szCs w:val="22"/>
        </w:rPr>
        <w:t xml:space="preserve">ciśnienia tętniczego krwi </w:t>
      </w:r>
      <w:r w:rsidR="003B2AB3" w:rsidRPr="00374521">
        <w:rPr>
          <w:color w:val="000000"/>
          <w:sz w:val="22"/>
          <w:szCs w:val="22"/>
        </w:rPr>
        <w:t>przez</w:t>
      </w:r>
      <w:r w:rsidRPr="00374521">
        <w:rPr>
          <w:color w:val="000000"/>
          <w:sz w:val="22"/>
          <w:szCs w:val="22"/>
        </w:rPr>
        <w:t xml:space="preserve"> 24 godzin</w:t>
      </w:r>
      <w:r w:rsidR="003B2AB3" w:rsidRPr="00374521">
        <w:rPr>
          <w:color w:val="000000"/>
          <w:sz w:val="22"/>
          <w:szCs w:val="22"/>
        </w:rPr>
        <w:t xml:space="preserve">y, przy zachowaniu </w:t>
      </w:r>
      <w:r w:rsidR="000908BE" w:rsidRPr="00374521">
        <w:rPr>
          <w:color w:val="000000"/>
          <w:sz w:val="22"/>
          <w:szCs w:val="22"/>
        </w:rPr>
        <w:t>naturaln</w:t>
      </w:r>
      <w:r w:rsidR="003B2AB3" w:rsidRPr="00374521">
        <w:rPr>
          <w:color w:val="000000"/>
          <w:sz w:val="22"/>
          <w:szCs w:val="22"/>
        </w:rPr>
        <w:t>ego</w:t>
      </w:r>
      <w:r w:rsidR="000908BE" w:rsidRPr="00374521">
        <w:rPr>
          <w:color w:val="000000"/>
          <w:sz w:val="22"/>
          <w:szCs w:val="22"/>
        </w:rPr>
        <w:t xml:space="preserve"> rytm</w:t>
      </w:r>
      <w:r w:rsidR="003B2AB3" w:rsidRPr="00374521">
        <w:rPr>
          <w:color w:val="000000"/>
          <w:sz w:val="22"/>
          <w:szCs w:val="22"/>
        </w:rPr>
        <w:t>u</w:t>
      </w:r>
      <w:r w:rsidR="000908BE" w:rsidRPr="00374521">
        <w:rPr>
          <w:color w:val="000000"/>
          <w:sz w:val="22"/>
          <w:szCs w:val="22"/>
        </w:rPr>
        <w:t xml:space="preserve"> dobow</w:t>
      </w:r>
      <w:r w:rsidR="003B2AB3" w:rsidRPr="00374521">
        <w:rPr>
          <w:color w:val="000000"/>
          <w:sz w:val="22"/>
          <w:szCs w:val="22"/>
        </w:rPr>
        <w:t>ego</w:t>
      </w:r>
      <w:r w:rsidRPr="00374521">
        <w:rPr>
          <w:color w:val="000000"/>
          <w:sz w:val="22"/>
          <w:szCs w:val="22"/>
        </w:rPr>
        <w:t xml:space="preserve">. Obniżenie ciśnienia tętniczego pod koniec </w:t>
      </w:r>
      <w:r w:rsidR="003B2AB3" w:rsidRPr="00374521">
        <w:rPr>
          <w:color w:val="000000"/>
          <w:sz w:val="22"/>
          <w:szCs w:val="22"/>
        </w:rPr>
        <w:t>przerwy</w:t>
      </w:r>
      <w:r w:rsidRPr="00374521">
        <w:rPr>
          <w:color w:val="000000"/>
          <w:sz w:val="22"/>
          <w:szCs w:val="22"/>
        </w:rPr>
        <w:t xml:space="preserve"> między dawkami </w:t>
      </w:r>
      <w:r w:rsidR="003B2AB3" w:rsidRPr="00374521">
        <w:rPr>
          <w:color w:val="000000"/>
          <w:sz w:val="22"/>
          <w:szCs w:val="22"/>
        </w:rPr>
        <w:t>utrzymywało się na poziomie</w:t>
      </w:r>
      <w:r w:rsidRPr="00374521">
        <w:rPr>
          <w:color w:val="000000"/>
          <w:sz w:val="22"/>
          <w:szCs w:val="22"/>
        </w:rPr>
        <w:t xml:space="preserve"> 70 </w:t>
      </w:r>
      <w:r w:rsidR="000908BE" w:rsidRPr="00374521">
        <w:rPr>
          <w:color w:val="000000"/>
          <w:sz w:val="22"/>
          <w:szCs w:val="22"/>
        </w:rPr>
        <w:t>-</w:t>
      </w:r>
      <w:r w:rsidRPr="00374521">
        <w:rPr>
          <w:color w:val="000000"/>
          <w:sz w:val="22"/>
          <w:szCs w:val="22"/>
        </w:rPr>
        <w:t xml:space="preserve"> 80%</w:t>
      </w:r>
      <w:r w:rsidR="003B2AB3" w:rsidRPr="00374521">
        <w:rPr>
          <w:color w:val="000000"/>
          <w:sz w:val="22"/>
          <w:szCs w:val="22"/>
        </w:rPr>
        <w:t xml:space="preserve"> tych wartości, które były stwierdzone</w:t>
      </w:r>
      <w:r w:rsidRPr="00374521">
        <w:rPr>
          <w:color w:val="000000"/>
          <w:sz w:val="22"/>
          <w:szCs w:val="22"/>
        </w:rPr>
        <w:t xml:space="preserve"> po 5 </w:t>
      </w:r>
      <w:r w:rsidR="000908BE" w:rsidRPr="00374521">
        <w:rPr>
          <w:color w:val="000000"/>
          <w:sz w:val="22"/>
          <w:szCs w:val="22"/>
        </w:rPr>
        <w:t>-</w:t>
      </w:r>
      <w:r w:rsidRPr="00374521">
        <w:rPr>
          <w:color w:val="000000"/>
          <w:sz w:val="22"/>
          <w:szCs w:val="22"/>
        </w:rPr>
        <w:t xml:space="preserve"> 6 godzinach od podania dawki. </w:t>
      </w:r>
    </w:p>
    <w:p w14:paraId="1375A7E9" w14:textId="77777777" w:rsidR="005B69EE" w:rsidRPr="00374521" w:rsidRDefault="003B2AB3" w:rsidP="00374521">
      <w:pPr>
        <w:pStyle w:val="Tekstpodstawowy"/>
        <w:spacing w:after="0"/>
        <w:rPr>
          <w:color w:val="000000"/>
          <w:sz w:val="22"/>
          <w:szCs w:val="22"/>
        </w:rPr>
      </w:pPr>
      <w:r w:rsidRPr="00374521">
        <w:rPr>
          <w:color w:val="000000"/>
          <w:sz w:val="22"/>
          <w:szCs w:val="22"/>
        </w:rPr>
        <w:t>Przerwanie podawania</w:t>
      </w:r>
      <w:r w:rsidR="005B69EE" w:rsidRPr="00374521">
        <w:rPr>
          <w:color w:val="000000"/>
          <w:sz w:val="22"/>
          <w:szCs w:val="22"/>
        </w:rPr>
        <w:t xml:space="preserve"> </w:t>
      </w:r>
      <w:proofErr w:type="spellStart"/>
      <w:r w:rsidR="004F6591" w:rsidRPr="00374521">
        <w:rPr>
          <w:color w:val="000000"/>
          <w:sz w:val="22"/>
          <w:szCs w:val="22"/>
        </w:rPr>
        <w:t>losartanu</w:t>
      </w:r>
      <w:proofErr w:type="spellEnd"/>
      <w:r w:rsidR="005B69EE" w:rsidRPr="00374521">
        <w:rPr>
          <w:color w:val="000000"/>
          <w:sz w:val="22"/>
          <w:szCs w:val="22"/>
        </w:rPr>
        <w:t xml:space="preserve"> pacjent</w:t>
      </w:r>
      <w:r w:rsidRPr="00374521">
        <w:rPr>
          <w:color w:val="000000"/>
          <w:sz w:val="22"/>
          <w:szCs w:val="22"/>
        </w:rPr>
        <w:t>om</w:t>
      </w:r>
      <w:r w:rsidR="005B69EE" w:rsidRPr="00374521">
        <w:rPr>
          <w:color w:val="000000"/>
          <w:sz w:val="22"/>
          <w:szCs w:val="22"/>
        </w:rPr>
        <w:t xml:space="preserve"> z nadciśnieniem tętniczym nie powodowało nagłego </w:t>
      </w:r>
      <w:r w:rsidR="004F6591" w:rsidRPr="00374521">
        <w:rPr>
          <w:color w:val="000000"/>
          <w:sz w:val="22"/>
          <w:szCs w:val="22"/>
        </w:rPr>
        <w:t xml:space="preserve">zwiększenia </w:t>
      </w:r>
      <w:r w:rsidR="005B69EE" w:rsidRPr="00374521">
        <w:rPr>
          <w:color w:val="000000"/>
          <w:sz w:val="22"/>
          <w:szCs w:val="22"/>
        </w:rPr>
        <w:t xml:space="preserve">ciśnienia tętniczego krwi (tzw. zjawiska </w:t>
      </w:r>
      <w:r w:rsidRPr="00374521">
        <w:rPr>
          <w:color w:val="000000"/>
          <w:sz w:val="22"/>
          <w:szCs w:val="22"/>
        </w:rPr>
        <w:t>„</w:t>
      </w:r>
      <w:r w:rsidR="005B69EE" w:rsidRPr="00374521">
        <w:rPr>
          <w:color w:val="000000"/>
          <w:sz w:val="22"/>
          <w:szCs w:val="22"/>
        </w:rPr>
        <w:t>odbicia</w:t>
      </w:r>
      <w:r w:rsidRPr="00374521">
        <w:rPr>
          <w:color w:val="000000"/>
          <w:sz w:val="22"/>
          <w:szCs w:val="22"/>
        </w:rPr>
        <w:t>”</w:t>
      </w:r>
      <w:r w:rsidR="005B69EE" w:rsidRPr="00374521">
        <w:rPr>
          <w:color w:val="000000"/>
          <w:sz w:val="22"/>
          <w:szCs w:val="22"/>
        </w:rPr>
        <w:t xml:space="preserve">). Stosowanie </w:t>
      </w:r>
      <w:proofErr w:type="spellStart"/>
      <w:r w:rsidR="005B69EE" w:rsidRPr="00374521">
        <w:rPr>
          <w:color w:val="000000"/>
          <w:sz w:val="22"/>
          <w:szCs w:val="22"/>
        </w:rPr>
        <w:t>losartanu</w:t>
      </w:r>
      <w:proofErr w:type="spellEnd"/>
      <w:r w:rsidR="005B69EE" w:rsidRPr="00374521">
        <w:rPr>
          <w:color w:val="000000"/>
          <w:sz w:val="22"/>
          <w:szCs w:val="22"/>
        </w:rPr>
        <w:t xml:space="preserve"> nie miało klinicznie znaczącego wpływu na częstość pracy serca pomimo istotnego działania obniżającego ciśnienie krwi.</w:t>
      </w:r>
    </w:p>
    <w:p w14:paraId="23B7411B" w14:textId="77777777" w:rsidR="004F6591" w:rsidRPr="00374521" w:rsidRDefault="004F6591" w:rsidP="00374521">
      <w:pPr>
        <w:pStyle w:val="Tekstpodstawowy"/>
        <w:spacing w:after="0"/>
        <w:rPr>
          <w:color w:val="000000"/>
          <w:sz w:val="22"/>
          <w:szCs w:val="22"/>
        </w:rPr>
      </w:pPr>
      <w:proofErr w:type="spellStart"/>
      <w:r w:rsidRPr="00374521">
        <w:rPr>
          <w:color w:val="000000"/>
          <w:sz w:val="22"/>
          <w:szCs w:val="22"/>
        </w:rPr>
        <w:t>Losartan</w:t>
      </w:r>
      <w:proofErr w:type="spellEnd"/>
      <w:r w:rsidRPr="00374521">
        <w:rPr>
          <w:color w:val="000000"/>
          <w:sz w:val="22"/>
          <w:szCs w:val="22"/>
        </w:rPr>
        <w:t xml:space="preserve"> jest w równym stopniu skuteczny u mężczyzn i kobiet, jak również </w:t>
      </w:r>
      <w:r w:rsidRPr="00374521">
        <w:rPr>
          <w:sz w:val="22"/>
          <w:szCs w:val="22"/>
        </w:rPr>
        <w:t>u pacjentów młodszych (&lt; 65 lat) i w podeszłym wieku z nadciśnieniem tętniczym.</w:t>
      </w:r>
    </w:p>
    <w:p w14:paraId="484969C5" w14:textId="77777777" w:rsidR="006453ED" w:rsidRPr="00374521" w:rsidRDefault="006453ED" w:rsidP="00374521">
      <w:pPr>
        <w:rPr>
          <w:sz w:val="22"/>
          <w:szCs w:val="22"/>
          <w:u w:val="single"/>
        </w:rPr>
      </w:pPr>
    </w:p>
    <w:p w14:paraId="436B96EA" w14:textId="77777777" w:rsidR="004F6591" w:rsidRPr="00374521" w:rsidRDefault="004F6591" w:rsidP="00374521">
      <w:pPr>
        <w:rPr>
          <w:sz w:val="22"/>
          <w:szCs w:val="22"/>
          <w:u w:val="single"/>
        </w:rPr>
      </w:pPr>
      <w:r w:rsidRPr="00374521">
        <w:rPr>
          <w:sz w:val="22"/>
          <w:szCs w:val="22"/>
          <w:u w:val="single"/>
        </w:rPr>
        <w:t>Badanie LIFE</w:t>
      </w:r>
    </w:p>
    <w:p w14:paraId="11895B83" w14:textId="77777777" w:rsidR="004F6591" w:rsidRPr="00374521" w:rsidRDefault="004F6591" w:rsidP="00374521">
      <w:pPr>
        <w:rPr>
          <w:sz w:val="22"/>
          <w:szCs w:val="22"/>
        </w:rPr>
      </w:pPr>
      <w:r w:rsidRPr="00374521">
        <w:rPr>
          <w:sz w:val="22"/>
          <w:szCs w:val="22"/>
        </w:rPr>
        <w:t xml:space="preserve">Badanie </w:t>
      </w:r>
      <w:r w:rsidRPr="00374521">
        <w:rPr>
          <w:bCs/>
          <w:sz w:val="22"/>
          <w:szCs w:val="22"/>
        </w:rPr>
        <w:t>LIFE (</w:t>
      </w:r>
      <w:proofErr w:type="spellStart"/>
      <w:r w:rsidRPr="00374521">
        <w:rPr>
          <w:sz w:val="22"/>
          <w:szCs w:val="22"/>
        </w:rPr>
        <w:t>Losartan</w:t>
      </w:r>
      <w:proofErr w:type="spellEnd"/>
      <w:r w:rsidRPr="00374521">
        <w:rPr>
          <w:sz w:val="22"/>
          <w:szCs w:val="22"/>
        </w:rPr>
        <w:t xml:space="preserve"> </w:t>
      </w:r>
      <w:proofErr w:type="spellStart"/>
      <w:r w:rsidRPr="00374521">
        <w:rPr>
          <w:sz w:val="22"/>
          <w:szCs w:val="22"/>
        </w:rPr>
        <w:t>Intervention</w:t>
      </w:r>
      <w:proofErr w:type="spellEnd"/>
      <w:r w:rsidRPr="00374521">
        <w:rPr>
          <w:sz w:val="22"/>
          <w:szCs w:val="22"/>
        </w:rPr>
        <w:t xml:space="preserve"> For </w:t>
      </w:r>
      <w:proofErr w:type="spellStart"/>
      <w:r w:rsidRPr="00374521">
        <w:rPr>
          <w:sz w:val="22"/>
          <w:szCs w:val="22"/>
        </w:rPr>
        <w:t>Endpoint</w:t>
      </w:r>
      <w:proofErr w:type="spellEnd"/>
      <w:r w:rsidRPr="00374521">
        <w:rPr>
          <w:sz w:val="22"/>
          <w:szCs w:val="22"/>
        </w:rPr>
        <w:t xml:space="preserve"> </w:t>
      </w:r>
      <w:proofErr w:type="spellStart"/>
      <w:r w:rsidRPr="00374521">
        <w:rPr>
          <w:sz w:val="22"/>
          <w:szCs w:val="22"/>
        </w:rPr>
        <w:t>reduction</w:t>
      </w:r>
      <w:proofErr w:type="spellEnd"/>
      <w:r w:rsidRPr="00374521">
        <w:rPr>
          <w:sz w:val="22"/>
          <w:szCs w:val="22"/>
        </w:rPr>
        <w:t xml:space="preserve"> in </w:t>
      </w:r>
      <w:proofErr w:type="spellStart"/>
      <w:r w:rsidRPr="00374521">
        <w:rPr>
          <w:sz w:val="22"/>
          <w:szCs w:val="22"/>
        </w:rPr>
        <w:t>hypertension</w:t>
      </w:r>
      <w:proofErr w:type="spellEnd"/>
      <w:r w:rsidRPr="00374521">
        <w:rPr>
          <w:sz w:val="22"/>
          <w:szCs w:val="22"/>
        </w:rPr>
        <w:t xml:space="preserve">) było randomizowanym badaniem z zastosowaniem potrójnie ślepej próby </w:t>
      </w:r>
      <w:r w:rsidR="0081109C" w:rsidRPr="00374521">
        <w:rPr>
          <w:sz w:val="22"/>
          <w:szCs w:val="22"/>
        </w:rPr>
        <w:t xml:space="preserve">i </w:t>
      </w:r>
      <w:r w:rsidRPr="00374521">
        <w:rPr>
          <w:sz w:val="22"/>
          <w:szCs w:val="22"/>
        </w:rPr>
        <w:t>aktywn</w:t>
      </w:r>
      <w:r w:rsidR="0081109C" w:rsidRPr="00374521">
        <w:rPr>
          <w:sz w:val="22"/>
          <w:szCs w:val="22"/>
        </w:rPr>
        <w:t>ej</w:t>
      </w:r>
      <w:r w:rsidRPr="00374521">
        <w:rPr>
          <w:sz w:val="22"/>
          <w:szCs w:val="22"/>
        </w:rPr>
        <w:t xml:space="preserve"> kontrol</w:t>
      </w:r>
      <w:r w:rsidR="0081109C" w:rsidRPr="00374521">
        <w:rPr>
          <w:sz w:val="22"/>
          <w:szCs w:val="22"/>
        </w:rPr>
        <w:t>i</w:t>
      </w:r>
      <w:r w:rsidRPr="00374521">
        <w:rPr>
          <w:sz w:val="22"/>
          <w:szCs w:val="22"/>
        </w:rPr>
        <w:t>, w którym uczestniczyło 9193 pacjentów z nadciśnieniem tętniczym w wieku od 55 do 80 lat</w:t>
      </w:r>
      <w:r w:rsidR="0081109C" w:rsidRPr="00374521">
        <w:rPr>
          <w:sz w:val="22"/>
          <w:szCs w:val="22"/>
        </w:rPr>
        <w:t>, z</w:t>
      </w:r>
      <w:r w:rsidRPr="00374521">
        <w:rPr>
          <w:sz w:val="22"/>
          <w:szCs w:val="22"/>
        </w:rPr>
        <w:t xml:space="preserve"> udokumentowanym w EKG przerostem lewej komory serca. Pacjentów </w:t>
      </w:r>
      <w:r w:rsidR="0081109C" w:rsidRPr="00374521">
        <w:rPr>
          <w:sz w:val="22"/>
          <w:szCs w:val="22"/>
        </w:rPr>
        <w:t>losowo przydzielono</w:t>
      </w:r>
      <w:r w:rsidRPr="00374521">
        <w:rPr>
          <w:sz w:val="22"/>
          <w:szCs w:val="22"/>
        </w:rPr>
        <w:t xml:space="preserve"> do grupy otrzymującej </w:t>
      </w:r>
      <w:proofErr w:type="spellStart"/>
      <w:r w:rsidR="0081109C" w:rsidRPr="00374521">
        <w:rPr>
          <w:sz w:val="22"/>
          <w:szCs w:val="22"/>
        </w:rPr>
        <w:t>losartan</w:t>
      </w:r>
      <w:proofErr w:type="spellEnd"/>
      <w:r w:rsidR="0081109C" w:rsidRPr="00374521">
        <w:rPr>
          <w:sz w:val="22"/>
          <w:szCs w:val="22"/>
        </w:rPr>
        <w:t xml:space="preserve"> </w:t>
      </w:r>
      <w:r w:rsidR="003B2AB3" w:rsidRPr="00374521">
        <w:rPr>
          <w:sz w:val="22"/>
          <w:szCs w:val="22"/>
        </w:rPr>
        <w:t xml:space="preserve">w dawce 50 mg </w:t>
      </w:r>
      <w:r w:rsidRPr="00374521">
        <w:rPr>
          <w:sz w:val="22"/>
          <w:szCs w:val="22"/>
        </w:rPr>
        <w:t xml:space="preserve">raz na dobę lub do grupy </w:t>
      </w:r>
      <w:r w:rsidR="0081109C" w:rsidRPr="00374521">
        <w:rPr>
          <w:sz w:val="22"/>
          <w:szCs w:val="22"/>
        </w:rPr>
        <w:t xml:space="preserve">otrzymującej </w:t>
      </w:r>
      <w:proofErr w:type="spellStart"/>
      <w:r w:rsidR="003B2AB3" w:rsidRPr="00374521">
        <w:rPr>
          <w:sz w:val="22"/>
          <w:szCs w:val="22"/>
        </w:rPr>
        <w:t>atenolol</w:t>
      </w:r>
      <w:proofErr w:type="spellEnd"/>
      <w:r w:rsidR="003B2AB3" w:rsidRPr="00374521">
        <w:rPr>
          <w:sz w:val="22"/>
          <w:szCs w:val="22"/>
        </w:rPr>
        <w:t xml:space="preserve"> w dawce 50 mg</w:t>
      </w:r>
      <w:r w:rsidRPr="00374521">
        <w:rPr>
          <w:sz w:val="22"/>
          <w:szCs w:val="22"/>
        </w:rPr>
        <w:t xml:space="preserve"> raz na dobę. Jeśli nie uzyskano docelowej wartości ciśnienia krwi (&lt;140/90 mmHg), najpierw dodawano </w:t>
      </w:r>
      <w:proofErr w:type="spellStart"/>
      <w:r w:rsidRPr="00374521">
        <w:rPr>
          <w:sz w:val="22"/>
          <w:szCs w:val="22"/>
        </w:rPr>
        <w:t>hydrochlorotiazyd</w:t>
      </w:r>
      <w:proofErr w:type="spellEnd"/>
      <w:r w:rsidRPr="00374521">
        <w:rPr>
          <w:sz w:val="22"/>
          <w:szCs w:val="22"/>
        </w:rPr>
        <w:t xml:space="preserve"> (12,5 mg), a następnie, w razie potrzeby, zwiększano dawkę </w:t>
      </w:r>
      <w:proofErr w:type="spellStart"/>
      <w:r w:rsidR="0081109C" w:rsidRPr="00374521">
        <w:rPr>
          <w:sz w:val="22"/>
          <w:szCs w:val="22"/>
        </w:rPr>
        <w:t>losartanu</w:t>
      </w:r>
      <w:proofErr w:type="spellEnd"/>
      <w:r w:rsidRPr="00374521">
        <w:rPr>
          <w:sz w:val="22"/>
          <w:szCs w:val="22"/>
        </w:rPr>
        <w:t xml:space="preserve"> lub </w:t>
      </w:r>
      <w:proofErr w:type="spellStart"/>
      <w:r w:rsidRPr="00374521">
        <w:rPr>
          <w:sz w:val="22"/>
          <w:szCs w:val="22"/>
        </w:rPr>
        <w:t>atenololu</w:t>
      </w:r>
      <w:proofErr w:type="spellEnd"/>
      <w:r w:rsidRPr="00374521">
        <w:rPr>
          <w:sz w:val="22"/>
          <w:szCs w:val="22"/>
        </w:rPr>
        <w:t xml:space="preserve"> do 100 mg raz na dobę. W razie konieczności, aby osiągnąć docelowe ciśnienie krwi, do schematu leczenia dodawano inne leki </w:t>
      </w:r>
      <w:proofErr w:type="spellStart"/>
      <w:r w:rsidRPr="00374521">
        <w:rPr>
          <w:sz w:val="22"/>
          <w:szCs w:val="22"/>
        </w:rPr>
        <w:t>przeciwnadciśnieniowe</w:t>
      </w:r>
      <w:proofErr w:type="spellEnd"/>
      <w:r w:rsidRPr="00374521">
        <w:rPr>
          <w:sz w:val="22"/>
          <w:szCs w:val="22"/>
        </w:rPr>
        <w:t xml:space="preserve">, z wyjątkiem inhibitorów ACE, antagonistów angiotensyny II </w:t>
      </w:r>
      <w:r w:rsidR="0081109C" w:rsidRPr="00374521">
        <w:rPr>
          <w:sz w:val="22"/>
          <w:szCs w:val="22"/>
        </w:rPr>
        <w:t>i beta</w:t>
      </w:r>
      <w:r w:rsidRPr="00374521">
        <w:rPr>
          <w:sz w:val="22"/>
          <w:szCs w:val="22"/>
        </w:rPr>
        <w:t>-</w:t>
      </w:r>
      <w:proofErr w:type="spellStart"/>
      <w:r w:rsidRPr="00374521">
        <w:rPr>
          <w:sz w:val="22"/>
          <w:szCs w:val="22"/>
        </w:rPr>
        <w:t>adrenolityków</w:t>
      </w:r>
      <w:proofErr w:type="spellEnd"/>
      <w:r w:rsidRPr="00374521">
        <w:rPr>
          <w:sz w:val="22"/>
          <w:szCs w:val="22"/>
        </w:rPr>
        <w:t xml:space="preserve">. </w:t>
      </w:r>
    </w:p>
    <w:p w14:paraId="5D887586" w14:textId="77777777" w:rsidR="004F6591" w:rsidRPr="00374521" w:rsidRDefault="004F6591" w:rsidP="00374521">
      <w:pPr>
        <w:rPr>
          <w:sz w:val="22"/>
          <w:szCs w:val="22"/>
        </w:rPr>
      </w:pPr>
    </w:p>
    <w:p w14:paraId="571173B7" w14:textId="77777777" w:rsidR="004F6591" w:rsidRPr="00374521" w:rsidRDefault="004F6591" w:rsidP="00374521">
      <w:pPr>
        <w:rPr>
          <w:sz w:val="22"/>
          <w:szCs w:val="22"/>
        </w:rPr>
      </w:pPr>
      <w:r w:rsidRPr="00374521">
        <w:rPr>
          <w:sz w:val="22"/>
          <w:szCs w:val="22"/>
        </w:rPr>
        <w:t>Średni okres obserwacji wynosił 4,8 roku.</w:t>
      </w:r>
    </w:p>
    <w:p w14:paraId="53910BBF" w14:textId="77777777" w:rsidR="004F6591" w:rsidRPr="00374521" w:rsidRDefault="004F6591" w:rsidP="00374521">
      <w:pPr>
        <w:pStyle w:val="Tekstpodstawowy"/>
        <w:spacing w:after="0"/>
        <w:rPr>
          <w:sz w:val="22"/>
          <w:szCs w:val="22"/>
        </w:rPr>
      </w:pPr>
    </w:p>
    <w:p w14:paraId="7E7C772C" w14:textId="77777777" w:rsidR="004F6591" w:rsidRPr="00374521" w:rsidRDefault="004F6591" w:rsidP="00374521">
      <w:pPr>
        <w:pStyle w:val="Tekstpodstawowy"/>
        <w:spacing w:after="0"/>
        <w:rPr>
          <w:sz w:val="22"/>
          <w:szCs w:val="22"/>
        </w:rPr>
      </w:pPr>
      <w:r w:rsidRPr="00374521">
        <w:rPr>
          <w:sz w:val="22"/>
          <w:szCs w:val="22"/>
        </w:rPr>
        <w:t>Pierwszorzędowym złożonym</w:t>
      </w:r>
      <w:r w:rsidR="003B2AB3" w:rsidRPr="00374521">
        <w:rPr>
          <w:sz w:val="22"/>
          <w:szCs w:val="22"/>
        </w:rPr>
        <w:t xml:space="preserve"> punktem końcowym były</w:t>
      </w:r>
      <w:r w:rsidRPr="00374521">
        <w:rPr>
          <w:sz w:val="22"/>
          <w:szCs w:val="22"/>
        </w:rPr>
        <w:t xml:space="preserve"> </w:t>
      </w:r>
      <w:r w:rsidR="003B2AB3" w:rsidRPr="00374521">
        <w:rPr>
          <w:sz w:val="22"/>
          <w:szCs w:val="22"/>
        </w:rPr>
        <w:t xml:space="preserve">łącznie </w:t>
      </w:r>
      <w:r w:rsidRPr="00374521">
        <w:rPr>
          <w:sz w:val="22"/>
          <w:szCs w:val="22"/>
        </w:rPr>
        <w:t>zachorowalność i śmiertelność z </w:t>
      </w:r>
      <w:r w:rsidR="003B2AB3" w:rsidRPr="00374521">
        <w:rPr>
          <w:sz w:val="22"/>
          <w:szCs w:val="22"/>
        </w:rPr>
        <w:t>przyczyn sercowo-naczyniowych</w:t>
      </w:r>
      <w:r w:rsidRPr="00374521">
        <w:rPr>
          <w:sz w:val="22"/>
          <w:szCs w:val="22"/>
        </w:rPr>
        <w:t xml:space="preserve"> </w:t>
      </w:r>
      <w:r w:rsidR="003B2AB3" w:rsidRPr="00374521">
        <w:rPr>
          <w:sz w:val="22"/>
          <w:szCs w:val="22"/>
        </w:rPr>
        <w:t xml:space="preserve">szacowane </w:t>
      </w:r>
      <w:r w:rsidRPr="00374521">
        <w:rPr>
          <w:sz w:val="22"/>
          <w:szCs w:val="22"/>
        </w:rPr>
        <w:t>jako</w:t>
      </w:r>
      <w:r w:rsidR="003B2AB3" w:rsidRPr="00374521">
        <w:rPr>
          <w:sz w:val="22"/>
          <w:szCs w:val="22"/>
        </w:rPr>
        <w:t xml:space="preserve"> sumaryczne</w:t>
      </w:r>
      <w:r w:rsidRPr="00374521">
        <w:rPr>
          <w:sz w:val="22"/>
          <w:szCs w:val="22"/>
        </w:rPr>
        <w:t xml:space="preserve"> zmniejszenie częstości występowania zgonów z p</w:t>
      </w:r>
      <w:r w:rsidR="003B2AB3" w:rsidRPr="00374521">
        <w:rPr>
          <w:sz w:val="22"/>
          <w:szCs w:val="22"/>
        </w:rPr>
        <w:t>rzyczyn</w:t>
      </w:r>
      <w:r w:rsidRPr="00374521">
        <w:rPr>
          <w:sz w:val="22"/>
          <w:szCs w:val="22"/>
        </w:rPr>
        <w:t xml:space="preserve"> serco</w:t>
      </w:r>
      <w:r w:rsidR="00932A01" w:rsidRPr="00374521">
        <w:rPr>
          <w:sz w:val="22"/>
          <w:szCs w:val="22"/>
        </w:rPr>
        <w:t>wo-naczyniowych oraz częstości występowania</w:t>
      </w:r>
      <w:r w:rsidRPr="00374521">
        <w:rPr>
          <w:sz w:val="22"/>
          <w:szCs w:val="22"/>
        </w:rPr>
        <w:t xml:space="preserve"> udarów mózgu i zawałów mięśnia sercowego. </w:t>
      </w:r>
      <w:r w:rsidR="00932A01" w:rsidRPr="00374521">
        <w:rPr>
          <w:sz w:val="22"/>
          <w:szCs w:val="22"/>
        </w:rPr>
        <w:t>Ciśnienie</w:t>
      </w:r>
      <w:r w:rsidR="0081109C" w:rsidRPr="00374521">
        <w:rPr>
          <w:sz w:val="22"/>
          <w:szCs w:val="22"/>
        </w:rPr>
        <w:t xml:space="preserve"> tętnicze było znacząco obniżone do podobnych wartości w obu grupach. L</w:t>
      </w:r>
      <w:r w:rsidRPr="00374521">
        <w:rPr>
          <w:sz w:val="22"/>
          <w:szCs w:val="22"/>
        </w:rPr>
        <w:t xml:space="preserve">eczenie </w:t>
      </w:r>
      <w:proofErr w:type="spellStart"/>
      <w:r w:rsidR="0081109C" w:rsidRPr="00374521">
        <w:rPr>
          <w:sz w:val="22"/>
          <w:szCs w:val="22"/>
        </w:rPr>
        <w:t>losartanem</w:t>
      </w:r>
      <w:proofErr w:type="spellEnd"/>
      <w:r w:rsidR="0081109C" w:rsidRPr="00374521">
        <w:rPr>
          <w:sz w:val="22"/>
          <w:szCs w:val="22"/>
        </w:rPr>
        <w:t xml:space="preserve"> </w:t>
      </w:r>
      <w:r w:rsidR="00054AC2" w:rsidRPr="00374521">
        <w:rPr>
          <w:sz w:val="22"/>
          <w:szCs w:val="22"/>
        </w:rPr>
        <w:t>powodowało</w:t>
      </w:r>
      <w:r w:rsidRPr="00374521">
        <w:rPr>
          <w:sz w:val="22"/>
          <w:szCs w:val="22"/>
        </w:rPr>
        <w:t> 13% zmniejszenie ryzyka</w:t>
      </w:r>
      <w:r w:rsidR="00932A01" w:rsidRPr="00374521">
        <w:rPr>
          <w:sz w:val="22"/>
          <w:szCs w:val="22"/>
        </w:rPr>
        <w:t xml:space="preserve"> wystąpienia u pacjenta pierwszorzędowego złożonego punktu końcowego </w:t>
      </w:r>
      <w:r w:rsidRPr="00374521">
        <w:rPr>
          <w:sz w:val="22"/>
          <w:szCs w:val="22"/>
        </w:rPr>
        <w:t>(p=0,021</w:t>
      </w:r>
      <w:r w:rsidR="00054AC2" w:rsidRPr="00374521">
        <w:rPr>
          <w:sz w:val="22"/>
          <w:szCs w:val="22"/>
        </w:rPr>
        <w:t>, 95% przedział ufności 0,77 – 0,98</w:t>
      </w:r>
      <w:r w:rsidRPr="00374521">
        <w:rPr>
          <w:sz w:val="22"/>
          <w:szCs w:val="22"/>
        </w:rPr>
        <w:t xml:space="preserve">), w porównaniu </w:t>
      </w:r>
      <w:r w:rsidR="00054AC2" w:rsidRPr="00374521">
        <w:rPr>
          <w:sz w:val="22"/>
          <w:szCs w:val="22"/>
        </w:rPr>
        <w:t>do</w:t>
      </w:r>
      <w:r w:rsidRPr="00374521">
        <w:rPr>
          <w:sz w:val="22"/>
          <w:szCs w:val="22"/>
        </w:rPr>
        <w:t xml:space="preserve"> leczeni</w:t>
      </w:r>
      <w:r w:rsidR="00054AC2" w:rsidRPr="00374521">
        <w:rPr>
          <w:sz w:val="22"/>
          <w:szCs w:val="22"/>
        </w:rPr>
        <w:t>a</w:t>
      </w:r>
      <w:r w:rsidRPr="00374521">
        <w:rPr>
          <w:sz w:val="22"/>
          <w:szCs w:val="22"/>
        </w:rPr>
        <w:t xml:space="preserve"> </w:t>
      </w:r>
      <w:proofErr w:type="spellStart"/>
      <w:r w:rsidRPr="00374521">
        <w:rPr>
          <w:sz w:val="22"/>
          <w:szCs w:val="22"/>
        </w:rPr>
        <w:t>atenololem</w:t>
      </w:r>
      <w:proofErr w:type="spellEnd"/>
      <w:r w:rsidRPr="00374521">
        <w:rPr>
          <w:sz w:val="22"/>
          <w:szCs w:val="22"/>
        </w:rPr>
        <w:t>.</w:t>
      </w:r>
      <w:r w:rsidR="00054AC2" w:rsidRPr="00374521">
        <w:rPr>
          <w:sz w:val="22"/>
          <w:szCs w:val="22"/>
        </w:rPr>
        <w:t xml:space="preserve"> Było to głównie związane ze zmniejszeniem częstości udarów. Leczenie </w:t>
      </w:r>
      <w:proofErr w:type="spellStart"/>
      <w:r w:rsidR="00054AC2" w:rsidRPr="00374521">
        <w:rPr>
          <w:sz w:val="22"/>
          <w:szCs w:val="22"/>
        </w:rPr>
        <w:t>losartanem</w:t>
      </w:r>
      <w:proofErr w:type="spellEnd"/>
      <w:r w:rsidR="00054AC2" w:rsidRPr="00374521">
        <w:rPr>
          <w:sz w:val="22"/>
          <w:szCs w:val="22"/>
        </w:rPr>
        <w:t xml:space="preserve"> zmniejsza ryzyko udaru o 25% w porównaniu do leczenia </w:t>
      </w:r>
      <w:proofErr w:type="spellStart"/>
      <w:r w:rsidR="00054AC2" w:rsidRPr="00374521">
        <w:rPr>
          <w:sz w:val="22"/>
          <w:szCs w:val="22"/>
        </w:rPr>
        <w:t>atenololem</w:t>
      </w:r>
      <w:proofErr w:type="spellEnd"/>
      <w:r w:rsidR="00054AC2" w:rsidRPr="00374521">
        <w:rPr>
          <w:sz w:val="22"/>
          <w:szCs w:val="22"/>
        </w:rPr>
        <w:t xml:space="preserve"> (p=0,001, 95% przedział ufności 0,63 – 0,89). Częstość zgonów z przyczyn sercowo–naczyniowych i </w:t>
      </w:r>
      <w:r w:rsidR="00932A01" w:rsidRPr="00374521">
        <w:rPr>
          <w:sz w:val="22"/>
          <w:szCs w:val="22"/>
        </w:rPr>
        <w:t xml:space="preserve">częstość </w:t>
      </w:r>
      <w:r w:rsidR="00054AC2" w:rsidRPr="00374521">
        <w:rPr>
          <w:sz w:val="22"/>
          <w:szCs w:val="22"/>
        </w:rPr>
        <w:t xml:space="preserve">zawałów mięśnia sercowego nie różniła się znacząco pomiędzy badanymi grupami. </w:t>
      </w:r>
    </w:p>
    <w:p w14:paraId="07F4DC8E" w14:textId="77777777" w:rsidR="007249C2" w:rsidRPr="00374521" w:rsidRDefault="007249C2" w:rsidP="00374521">
      <w:pPr>
        <w:rPr>
          <w:sz w:val="22"/>
          <w:szCs w:val="22"/>
        </w:rPr>
      </w:pPr>
    </w:p>
    <w:p w14:paraId="57BDF9F1" w14:textId="77777777" w:rsidR="00D3503F" w:rsidRPr="00374521" w:rsidRDefault="00051ED6" w:rsidP="00374521">
      <w:pPr>
        <w:rPr>
          <w:sz w:val="22"/>
          <w:szCs w:val="22"/>
        </w:rPr>
      </w:pPr>
      <w:r>
        <w:rPr>
          <w:sz w:val="22"/>
          <w:szCs w:val="22"/>
        </w:rPr>
        <w:lastRenderedPageBreak/>
        <w:t>W d</w:t>
      </w:r>
      <w:r w:rsidR="00D3503F" w:rsidRPr="00374521">
        <w:rPr>
          <w:sz w:val="22"/>
          <w:szCs w:val="22"/>
        </w:rPr>
        <w:t>w</w:t>
      </w:r>
      <w:r>
        <w:rPr>
          <w:sz w:val="22"/>
          <w:szCs w:val="22"/>
        </w:rPr>
        <w:t>óch</w:t>
      </w:r>
      <w:r w:rsidR="00D3503F" w:rsidRPr="00374521">
        <w:rPr>
          <w:sz w:val="22"/>
          <w:szCs w:val="22"/>
        </w:rPr>
        <w:t xml:space="preserve"> duż</w:t>
      </w:r>
      <w:r>
        <w:rPr>
          <w:sz w:val="22"/>
          <w:szCs w:val="22"/>
        </w:rPr>
        <w:t xml:space="preserve">ych, </w:t>
      </w:r>
      <w:r w:rsidR="00D3503F" w:rsidRPr="00374521">
        <w:rPr>
          <w:sz w:val="22"/>
          <w:szCs w:val="22"/>
        </w:rPr>
        <w:t>randomizowan</w:t>
      </w:r>
      <w:r>
        <w:rPr>
          <w:sz w:val="22"/>
          <w:szCs w:val="22"/>
        </w:rPr>
        <w:t>ych</w:t>
      </w:r>
      <w:r w:rsidR="00D3503F" w:rsidRPr="00374521">
        <w:rPr>
          <w:sz w:val="22"/>
          <w:szCs w:val="22"/>
        </w:rPr>
        <w:t>, kontrolowan</w:t>
      </w:r>
      <w:r>
        <w:rPr>
          <w:sz w:val="22"/>
          <w:szCs w:val="22"/>
        </w:rPr>
        <w:t>ych</w:t>
      </w:r>
      <w:r w:rsidR="00D3503F" w:rsidRPr="00374521">
        <w:rPr>
          <w:sz w:val="22"/>
          <w:szCs w:val="22"/>
        </w:rPr>
        <w:t xml:space="preserve"> badania</w:t>
      </w:r>
      <w:r>
        <w:rPr>
          <w:sz w:val="22"/>
          <w:szCs w:val="22"/>
        </w:rPr>
        <w:t>ch</w:t>
      </w:r>
      <w:r w:rsidR="00D3503F" w:rsidRPr="0037452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="00D3503F" w:rsidRPr="00374521">
        <w:rPr>
          <w:sz w:val="22"/>
          <w:szCs w:val="22"/>
        </w:rPr>
        <w:t xml:space="preserve">ONTARGET (ang. </w:t>
      </w:r>
      <w:proofErr w:type="spellStart"/>
      <w:r w:rsidR="00D3503F" w:rsidRPr="00741547">
        <w:rPr>
          <w:sz w:val="22"/>
          <w:szCs w:val="22"/>
          <w:lang w:val="en-US"/>
        </w:rPr>
        <w:t>ONgoing</w:t>
      </w:r>
      <w:proofErr w:type="spellEnd"/>
      <w:r w:rsidR="00D3503F" w:rsidRPr="00741547">
        <w:rPr>
          <w:sz w:val="22"/>
          <w:szCs w:val="22"/>
          <w:lang w:val="en-US"/>
        </w:rPr>
        <w:t xml:space="preserve"> </w:t>
      </w:r>
      <w:proofErr w:type="spellStart"/>
      <w:r w:rsidR="00D3503F" w:rsidRPr="00741547">
        <w:rPr>
          <w:sz w:val="22"/>
          <w:szCs w:val="22"/>
          <w:lang w:val="en-US"/>
        </w:rPr>
        <w:t>Telmistartan</w:t>
      </w:r>
      <w:proofErr w:type="spellEnd"/>
      <w:r w:rsidR="00D3503F" w:rsidRPr="00741547">
        <w:rPr>
          <w:sz w:val="22"/>
          <w:szCs w:val="22"/>
          <w:lang w:val="en-US"/>
        </w:rPr>
        <w:t xml:space="preserve"> Alone and in combination with Ramipril Global Endpoint Trial) </w:t>
      </w:r>
      <w:proofErr w:type="spellStart"/>
      <w:r w:rsidR="00D3503F" w:rsidRPr="00741547">
        <w:rPr>
          <w:sz w:val="22"/>
          <w:szCs w:val="22"/>
          <w:lang w:val="en-US"/>
        </w:rPr>
        <w:t>i</w:t>
      </w:r>
      <w:proofErr w:type="spellEnd"/>
      <w:r w:rsidR="00D3503F" w:rsidRPr="00741547">
        <w:rPr>
          <w:sz w:val="22"/>
          <w:szCs w:val="22"/>
          <w:lang w:val="en-US"/>
        </w:rPr>
        <w:t xml:space="preserve"> VA NEPHRON-D (ang. </w:t>
      </w:r>
      <w:r w:rsidR="00D3503F" w:rsidRPr="00374521">
        <w:rPr>
          <w:sz w:val="22"/>
          <w:szCs w:val="22"/>
        </w:rPr>
        <w:t xml:space="preserve">The </w:t>
      </w:r>
      <w:proofErr w:type="spellStart"/>
      <w:r w:rsidR="00D3503F" w:rsidRPr="00374521">
        <w:rPr>
          <w:sz w:val="22"/>
          <w:szCs w:val="22"/>
        </w:rPr>
        <w:t>Veterans</w:t>
      </w:r>
      <w:proofErr w:type="spellEnd"/>
      <w:r w:rsidR="00D3503F" w:rsidRPr="00374521">
        <w:rPr>
          <w:sz w:val="22"/>
          <w:szCs w:val="22"/>
        </w:rPr>
        <w:t xml:space="preserve"> </w:t>
      </w:r>
      <w:proofErr w:type="spellStart"/>
      <w:r w:rsidR="00D3503F" w:rsidRPr="00374521">
        <w:rPr>
          <w:sz w:val="22"/>
          <w:szCs w:val="22"/>
        </w:rPr>
        <w:t>Affairs</w:t>
      </w:r>
      <w:proofErr w:type="spellEnd"/>
      <w:r w:rsidR="00D3503F" w:rsidRPr="00374521">
        <w:rPr>
          <w:sz w:val="22"/>
          <w:szCs w:val="22"/>
        </w:rPr>
        <w:t xml:space="preserve"> </w:t>
      </w:r>
      <w:proofErr w:type="spellStart"/>
      <w:r w:rsidR="00D3503F" w:rsidRPr="00374521">
        <w:rPr>
          <w:sz w:val="22"/>
          <w:szCs w:val="22"/>
        </w:rPr>
        <w:t>Nefropathy</w:t>
      </w:r>
      <w:proofErr w:type="spellEnd"/>
      <w:r w:rsidR="00D3503F" w:rsidRPr="00374521">
        <w:rPr>
          <w:sz w:val="22"/>
          <w:szCs w:val="22"/>
        </w:rPr>
        <w:t xml:space="preserve"> in </w:t>
      </w:r>
      <w:proofErr w:type="spellStart"/>
      <w:r w:rsidR="00D3503F" w:rsidRPr="00374521">
        <w:rPr>
          <w:sz w:val="22"/>
          <w:szCs w:val="22"/>
        </w:rPr>
        <w:t>Diabetes</w:t>
      </w:r>
      <w:proofErr w:type="spellEnd"/>
      <w:r w:rsidR="00D3503F" w:rsidRPr="00374521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oceniano </w:t>
      </w:r>
      <w:r w:rsidR="00D3503F" w:rsidRPr="00374521">
        <w:rPr>
          <w:sz w:val="22"/>
          <w:szCs w:val="22"/>
        </w:rPr>
        <w:t>jednoczesne stosowanie inhibitora ACE z antagonist</w:t>
      </w:r>
      <w:r w:rsidR="004A64D2">
        <w:rPr>
          <w:sz w:val="22"/>
          <w:szCs w:val="22"/>
        </w:rPr>
        <w:t>ą</w:t>
      </w:r>
      <w:r w:rsidR="00D3503F" w:rsidRPr="00374521">
        <w:rPr>
          <w:sz w:val="22"/>
          <w:szCs w:val="22"/>
        </w:rPr>
        <w:t xml:space="preserve"> receptora </w:t>
      </w:r>
      <w:r w:rsidR="0071168D" w:rsidRPr="00C006D7">
        <w:rPr>
          <w:sz w:val="22"/>
          <w:szCs w:val="22"/>
        </w:rPr>
        <w:t>AT1 dla</w:t>
      </w:r>
      <w:r w:rsidR="0071168D">
        <w:rPr>
          <w:sz w:val="22"/>
          <w:szCs w:val="22"/>
        </w:rPr>
        <w:t xml:space="preserve"> </w:t>
      </w:r>
      <w:r w:rsidR="00D3503F" w:rsidRPr="00374521">
        <w:rPr>
          <w:sz w:val="22"/>
          <w:szCs w:val="22"/>
        </w:rPr>
        <w:t>angiotensyny II.</w:t>
      </w:r>
    </w:p>
    <w:p w14:paraId="2E2A81E5" w14:textId="77777777" w:rsidR="00FF2554" w:rsidRDefault="00FF2554" w:rsidP="00374521">
      <w:pPr>
        <w:rPr>
          <w:sz w:val="22"/>
          <w:szCs w:val="22"/>
        </w:rPr>
      </w:pPr>
    </w:p>
    <w:p w14:paraId="2FC604E2" w14:textId="77777777" w:rsidR="00D3503F" w:rsidRPr="00374521" w:rsidRDefault="00D3503F" w:rsidP="00374521">
      <w:pPr>
        <w:rPr>
          <w:sz w:val="22"/>
          <w:szCs w:val="22"/>
        </w:rPr>
      </w:pPr>
      <w:r w:rsidRPr="00374521">
        <w:rPr>
          <w:sz w:val="22"/>
          <w:szCs w:val="22"/>
        </w:rPr>
        <w:t xml:space="preserve">ONTARGET było </w:t>
      </w:r>
      <w:r w:rsidR="004A64D2">
        <w:rPr>
          <w:sz w:val="22"/>
          <w:szCs w:val="22"/>
        </w:rPr>
        <w:t xml:space="preserve">badaniem </w:t>
      </w:r>
      <w:r w:rsidRPr="00374521">
        <w:rPr>
          <w:sz w:val="22"/>
          <w:szCs w:val="22"/>
        </w:rPr>
        <w:t>przeprowadzon</w:t>
      </w:r>
      <w:r w:rsidR="004A64D2">
        <w:rPr>
          <w:sz w:val="22"/>
          <w:szCs w:val="22"/>
        </w:rPr>
        <w:t>ym</w:t>
      </w:r>
      <w:r w:rsidRPr="00374521">
        <w:rPr>
          <w:sz w:val="22"/>
          <w:szCs w:val="22"/>
        </w:rPr>
        <w:t xml:space="preserve"> z udziałem pacjentów z chorobami układu sercowo-naczyniowego</w:t>
      </w:r>
      <w:r w:rsidR="004A64D2">
        <w:rPr>
          <w:sz w:val="22"/>
          <w:szCs w:val="22"/>
        </w:rPr>
        <w:t xml:space="preserve"> lub </w:t>
      </w:r>
      <w:r w:rsidRPr="00374521">
        <w:rPr>
          <w:sz w:val="22"/>
          <w:szCs w:val="22"/>
        </w:rPr>
        <w:t>chorobami naczyń mózgowych w wywiadzie</w:t>
      </w:r>
      <w:r w:rsidR="004A64D2">
        <w:rPr>
          <w:sz w:val="22"/>
          <w:szCs w:val="22"/>
        </w:rPr>
        <w:t xml:space="preserve"> albo z </w:t>
      </w:r>
      <w:r w:rsidRPr="00374521">
        <w:rPr>
          <w:sz w:val="22"/>
          <w:szCs w:val="22"/>
        </w:rPr>
        <w:t xml:space="preserve">cukrzycą typu 2 z </w:t>
      </w:r>
      <w:r w:rsidR="004A64D2">
        <w:rPr>
          <w:sz w:val="22"/>
          <w:szCs w:val="22"/>
        </w:rPr>
        <w:t xml:space="preserve">potwierdzonym </w:t>
      </w:r>
      <w:r w:rsidRPr="00374521">
        <w:rPr>
          <w:sz w:val="22"/>
          <w:szCs w:val="22"/>
        </w:rPr>
        <w:t>uszkodzeni</w:t>
      </w:r>
      <w:r w:rsidR="004A64D2">
        <w:rPr>
          <w:sz w:val="22"/>
          <w:szCs w:val="22"/>
        </w:rPr>
        <w:t>e</w:t>
      </w:r>
      <w:r w:rsidRPr="00374521">
        <w:rPr>
          <w:sz w:val="22"/>
          <w:szCs w:val="22"/>
        </w:rPr>
        <w:t xml:space="preserve">m narządów docelowych. VA NEPHRON-D było </w:t>
      </w:r>
      <w:r w:rsidR="004A64D2">
        <w:rPr>
          <w:sz w:val="22"/>
          <w:szCs w:val="22"/>
        </w:rPr>
        <w:t xml:space="preserve">badaniem </w:t>
      </w:r>
      <w:r w:rsidRPr="00374521">
        <w:rPr>
          <w:sz w:val="22"/>
          <w:szCs w:val="22"/>
        </w:rPr>
        <w:t>z udziałem pacjentów z cukrzycą typu 2 oraz z nefropatią cukrzycową.</w:t>
      </w:r>
    </w:p>
    <w:p w14:paraId="5AB63202" w14:textId="77777777" w:rsidR="00BC7528" w:rsidRDefault="00BC7528" w:rsidP="00374521">
      <w:pPr>
        <w:rPr>
          <w:sz w:val="22"/>
          <w:szCs w:val="22"/>
        </w:rPr>
      </w:pPr>
    </w:p>
    <w:p w14:paraId="1AA963C0" w14:textId="77777777" w:rsidR="00D3503F" w:rsidRPr="00374521" w:rsidRDefault="00D3503F" w:rsidP="00374521">
      <w:pPr>
        <w:rPr>
          <w:sz w:val="22"/>
          <w:szCs w:val="22"/>
        </w:rPr>
      </w:pPr>
      <w:r w:rsidRPr="00374521">
        <w:rPr>
          <w:sz w:val="22"/>
          <w:szCs w:val="22"/>
        </w:rPr>
        <w:t xml:space="preserve">Badania te </w:t>
      </w:r>
      <w:r w:rsidR="004A64D2">
        <w:rPr>
          <w:sz w:val="22"/>
          <w:szCs w:val="22"/>
        </w:rPr>
        <w:t xml:space="preserve">nie </w:t>
      </w:r>
      <w:r w:rsidRPr="00374521">
        <w:rPr>
          <w:sz w:val="22"/>
          <w:szCs w:val="22"/>
        </w:rPr>
        <w:t>wykazały istotnego korzystnego wpływu na parametry nerkowe i (lub) chorobowoś</w:t>
      </w:r>
      <w:r w:rsidR="004A64D2">
        <w:rPr>
          <w:sz w:val="22"/>
          <w:szCs w:val="22"/>
        </w:rPr>
        <w:t xml:space="preserve">ć </w:t>
      </w:r>
      <w:r w:rsidRPr="00374521">
        <w:rPr>
          <w:sz w:val="22"/>
          <w:szCs w:val="22"/>
        </w:rPr>
        <w:t>oraz śmiertelnoś</w:t>
      </w:r>
      <w:r w:rsidR="004A64D2">
        <w:rPr>
          <w:sz w:val="22"/>
          <w:szCs w:val="22"/>
        </w:rPr>
        <w:t xml:space="preserve">ć z przyczyn </w:t>
      </w:r>
      <w:r w:rsidRPr="00374521">
        <w:rPr>
          <w:sz w:val="22"/>
          <w:szCs w:val="22"/>
        </w:rPr>
        <w:t>sercowo-naczyniow</w:t>
      </w:r>
      <w:r w:rsidR="004A64D2">
        <w:rPr>
          <w:sz w:val="22"/>
          <w:szCs w:val="22"/>
        </w:rPr>
        <w:t>ych</w:t>
      </w:r>
      <w:r w:rsidRPr="00374521">
        <w:rPr>
          <w:sz w:val="22"/>
          <w:szCs w:val="22"/>
        </w:rPr>
        <w:t xml:space="preserve">, </w:t>
      </w:r>
      <w:r w:rsidR="004A64D2">
        <w:rPr>
          <w:sz w:val="22"/>
          <w:szCs w:val="22"/>
        </w:rPr>
        <w:t xml:space="preserve">natomiast </w:t>
      </w:r>
      <w:r w:rsidRPr="00374521">
        <w:rPr>
          <w:sz w:val="22"/>
          <w:szCs w:val="22"/>
        </w:rPr>
        <w:t xml:space="preserve">zaobserwowano zwiększone ryzyko hiperkaliemii, ostrego uszkodzenia nerek i (lub) niedociśnienia, w porównaniu </w:t>
      </w:r>
      <w:r w:rsidR="004A64D2">
        <w:rPr>
          <w:sz w:val="22"/>
          <w:szCs w:val="22"/>
        </w:rPr>
        <w:t xml:space="preserve">do </w:t>
      </w:r>
      <w:proofErr w:type="spellStart"/>
      <w:r w:rsidRPr="00374521">
        <w:rPr>
          <w:sz w:val="22"/>
          <w:szCs w:val="22"/>
        </w:rPr>
        <w:t>monoterapi</w:t>
      </w:r>
      <w:r w:rsidR="004A64D2">
        <w:rPr>
          <w:sz w:val="22"/>
          <w:szCs w:val="22"/>
        </w:rPr>
        <w:t>i</w:t>
      </w:r>
      <w:proofErr w:type="spellEnd"/>
      <w:r w:rsidRPr="00374521">
        <w:rPr>
          <w:sz w:val="22"/>
          <w:szCs w:val="22"/>
        </w:rPr>
        <w:t xml:space="preserve">. Ze względu na podobieństwa w zakresie właściwości farmakodynamicznych, przytoczone wyniki również mają znaczenie w przypadku innych inhibitorów ACE oraz antagonistów receptora </w:t>
      </w:r>
      <w:r w:rsidR="0071168D" w:rsidRPr="00C006D7">
        <w:rPr>
          <w:sz w:val="22"/>
          <w:szCs w:val="22"/>
        </w:rPr>
        <w:t>AT1 dla</w:t>
      </w:r>
      <w:r w:rsidR="0071168D">
        <w:rPr>
          <w:sz w:val="22"/>
          <w:szCs w:val="22"/>
        </w:rPr>
        <w:t xml:space="preserve"> </w:t>
      </w:r>
      <w:r w:rsidRPr="00374521">
        <w:rPr>
          <w:sz w:val="22"/>
          <w:szCs w:val="22"/>
        </w:rPr>
        <w:t>angiotensyny II.</w:t>
      </w:r>
    </w:p>
    <w:p w14:paraId="6F647B3D" w14:textId="77777777" w:rsidR="00BC7528" w:rsidRDefault="00BC7528" w:rsidP="00374521">
      <w:pPr>
        <w:rPr>
          <w:sz w:val="22"/>
          <w:szCs w:val="22"/>
        </w:rPr>
      </w:pPr>
    </w:p>
    <w:p w14:paraId="7CD8BFBA" w14:textId="77777777" w:rsidR="00D3503F" w:rsidRPr="00374521" w:rsidRDefault="00D3503F" w:rsidP="00374521">
      <w:pPr>
        <w:rPr>
          <w:sz w:val="22"/>
          <w:szCs w:val="22"/>
        </w:rPr>
      </w:pPr>
      <w:r w:rsidRPr="00374521">
        <w:rPr>
          <w:sz w:val="22"/>
          <w:szCs w:val="22"/>
        </w:rPr>
        <w:t>Dlatego też u pacjentów z nefropatią cukrzycową nie należy jednocześnie stosować inhibitorów ACE oraz antagonistów receptora</w:t>
      </w:r>
      <w:r w:rsidR="0071168D">
        <w:rPr>
          <w:sz w:val="22"/>
          <w:szCs w:val="22"/>
        </w:rPr>
        <w:t xml:space="preserve"> </w:t>
      </w:r>
      <w:r w:rsidR="0071168D" w:rsidRPr="00C006D7">
        <w:rPr>
          <w:sz w:val="22"/>
          <w:szCs w:val="22"/>
        </w:rPr>
        <w:t>AT1 dla</w:t>
      </w:r>
      <w:r w:rsidRPr="00374521">
        <w:rPr>
          <w:sz w:val="22"/>
          <w:szCs w:val="22"/>
        </w:rPr>
        <w:t xml:space="preserve"> angiotensyny II.</w:t>
      </w:r>
    </w:p>
    <w:p w14:paraId="22404A6B" w14:textId="77777777" w:rsidR="00FF2554" w:rsidRDefault="00FF2554" w:rsidP="00374521">
      <w:pPr>
        <w:rPr>
          <w:sz w:val="22"/>
          <w:szCs w:val="22"/>
        </w:rPr>
      </w:pPr>
    </w:p>
    <w:p w14:paraId="1773AA7D" w14:textId="77777777" w:rsidR="00961B08" w:rsidRPr="00374521" w:rsidRDefault="00D3503F" w:rsidP="00374521">
      <w:pPr>
        <w:rPr>
          <w:sz w:val="22"/>
          <w:szCs w:val="22"/>
        </w:rPr>
      </w:pPr>
      <w:r w:rsidRPr="00374521">
        <w:rPr>
          <w:sz w:val="22"/>
          <w:szCs w:val="22"/>
        </w:rPr>
        <w:t xml:space="preserve">ALTITUDE (ang. </w:t>
      </w:r>
      <w:proofErr w:type="spellStart"/>
      <w:r w:rsidRPr="00374521">
        <w:rPr>
          <w:sz w:val="22"/>
          <w:szCs w:val="22"/>
        </w:rPr>
        <w:t>Aliskiren</w:t>
      </w:r>
      <w:proofErr w:type="spellEnd"/>
      <w:r w:rsidRPr="00374521">
        <w:rPr>
          <w:sz w:val="22"/>
          <w:szCs w:val="22"/>
        </w:rPr>
        <w:t xml:space="preserve"> Trial in </w:t>
      </w:r>
      <w:proofErr w:type="spellStart"/>
      <w:r w:rsidRPr="00374521">
        <w:rPr>
          <w:sz w:val="22"/>
          <w:szCs w:val="22"/>
        </w:rPr>
        <w:t>Type</w:t>
      </w:r>
      <w:proofErr w:type="spellEnd"/>
      <w:r w:rsidRPr="00374521">
        <w:rPr>
          <w:sz w:val="22"/>
          <w:szCs w:val="22"/>
        </w:rPr>
        <w:t xml:space="preserve"> 2 </w:t>
      </w:r>
      <w:proofErr w:type="spellStart"/>
      <w:r w:rsidRPr="00374521">
        <w:rPr>
          <w:sz w:val="22"/>
          <w:szCs w:val="22"/>
        </w:rPr>
        <w:t>Diabetes</w:t>
      </w:r>
      <w:proofErr w:type="spellEnd"/>
      <w:r w:rsidRPr="00374521">
        <w:rPr>
          <w:sz w:val="22"/>
          <w:szCs w:val="22"/>
        </w:rPr>
        <w:t xml:space="preserve"> Using </w:t>
      </w:r>
      <w:proofErr w:type="spellStart"/>
      <w:r w:rsidRPr="00374521">
        <w:rPr>
          <w:sz w:val="22"/>
          <w:szCs w:val="22"/>
        </w:rPr>
        <w:t>Cardiovascular</w:t>
      </w:r>
      <w:proofErr w:type="spellEnd"/>
      <w:r w:rsidRPr="00374521">
        <w:rPr>
          <w:sz w:val="22"/>
          <w:szCs w:val="22"/>
        </w:rPr>
        <w:t xml:space="preserve"> and </w:t>
      </w:r>
      <w:proofErr w:type="spellStart"/>
      <w:r w:rsidRPr="00374521">
        <w:rPr>
          <w:sz w:val="22"/>
          <w:szCs w:val="22"/>
        </w:rPr>
        <w:t>Renal</w:t>
      </w:r>
      <w:proofErr w:type="spellEnd"/>
      <w:r w:rsidRPr="00374521">
        <w:rPr>
          <w:sz w:val="22"/>
          <w:szCs w:val="22"/>
        </w:rPr>
        <w:t xml:space="preserve"> </w:t>
      </w:r>
      <w:proofErr w:type="spellStart"/>
      <w:r w:rsidRPr="00374521">
        <w:rPr>
          <w:sz w:val="22"/>
          <w:szCs w:val="22"/>
        </w:rPr>
        <w:t>Disease</w:t>
      </w:r>
      <w:proofErr w:type="spellEnd"/>
      <w:r w:rsidRPr="00374521">
        <w:rPr>
          <w:sz w:val="22"/>
          <w:szCs w:val="22"/>
        </w:rPr>
        <w:t xml:space="preserve"> </w:t>
      </w:r>
      <w:proofErr w:type="spellStart"/>
      <w:r w:rsidRPr="00374521">
        <w:rPr>
          <w:sz w:val="22"/>
          <w:szCs w:val="22"/>
        </w:rPr>
        <w:t>Endpoints</w:t>
      </w:r>
      <w:proofErr w:type="spellEnd"/>
      <w:r w:rsidRPr="00374521">
        <w:rPr>
          <w:sz w:val="22"/>
          <w:szCs w:val="22"/>
        </w:rPr>
        <w:t xml:space="preserve">) było </w:t>
      </w:r>
      <w:r w:rsidR="004A64D2">
        <w:rPr>
          <w:sz w:val="22"/>
          <w:szCs w:val="22"/>
        </w:rPr>
        <w:t xml:space="preserve">badaniem </w:t>
      </w:r>
      <w:r w:rsidRPr="00374521">
        <w:rPr>
          <w:sz w:val="22"/>
          <w:szCs w:val="22"/>
        </w:rPr>
        <w:t>zaprojektowan</w:t>
      </w:r>
      <w:r w:rsidR="004A64D2">
        <w:rPr>
          <w:sz w:val="22"/>
          <w:szCs w:val="22"/>
        </w:rPr>
        <w:t>ym</w:t>
      </w:r>
      <w:r w:rsidRPr="00374521">
        <w:rPr>
          <w:sz w:val="22"/>
          <w:szCs w:val="22"/>
        </w:rPr>
        <w:t xml:space="preserve"> w celu zbadania korzyści z dodania </w:t>
      </w:r>
      <w:proofErr w:type="spellStart"/>
      <w:r w:rsidRPr="00374521">
        <w:rPr>
          <w:sz w:val="22"/>
          <w:szCs w:val="22"/>
        </w:rPr>
        <w:t>aliskirenu</w:t>
      </w:r>
      <w:proofErr w:type="spellEnd"/>
      <w:r w:rsidRPr="00374521">
        <w:rPr>
          <w:sz w:val="22"/>
          <w:szCs w:val="22"/>
        </w:rPr>
        <w:t xml:space="preserve"> do standardowego leczenia inhibitorem ACE lub antagonistą receptora </w:t>
      </w:r>
      <w:r w:rsidR="0071168D" w:rsidRPr="00C006D7">
        <w:rPr>
          <w:sz w:val="22"/>
          <w:szCs w:val="22"/>
        </w:rPr>
        <w:t>AT1 dla</w:t>
      </w:r>
      <w:r w:rsidR="0071168D">
        <w:rPr>
          <w:sz w:val="22"/>
          <w:szCs w:val="22"/>
        </w:rPr>
        <w:t xml:space="preserve"> </w:t>
      </w:r>
      <w:r w:rsidRPr="00374521">
        <w:rPr>
          <w:sz w:val="22"/>
          <w:szCs w:val="22"/>
        </w:rPr>
        <w:t xml:space="preserve">angiotensyny II u pacjentów z cukrzycą typu 2 i przewlekłą chorobą nerek </w:t>
      </w:r>
      <w:r w:rsidR="004A64D2">
        <w:rPr>
          <w:sz w:val="22"/>
          <w:szCs w:val="22"/>
        </w:rPr>
        <w:t>i (</w:t>
      </w:r>
      <w:r w:rsidRPr="00374521">
        <w:rPr>
          <w:sz w:val="22"/>
          <w:szCs w:val="22"/>
        </w:rPr>
        <w:t>lub</w:t>
      </w:r>
      <w:r w:rsidR="004A64D2">
        <w:rPr>
          <w:sz w:val="22"/>
          <w:szCs w:val="22"/>
        </w:rPr>
        <w:t>)</w:t>
      </w:r>
      <w:r w:rsidRPr="00374521">
        <w:rPr>
          <w:sz w:val="22"/>
          <w:szCs w:val="22"/>
        </w:rPr>
        <w:t xml:space="preserve"> z chorobą układu sercowo-naczyniowego. Badanie zostało przedwcześnie przerwane z powodu zwiększonego ryzyka działań niepożądanych. Zgony </w:t>
      </w:r>
      <w:r w:rsidR="004E161D">
        <w:rPr>
          <w:sz w:val="22"/>
          <w:szCs w:val="22"/>
        </w:rPr>
        <w:t xml:space="preserve">z przyczyn </w:t>
      </w:r>
      <w:r w:rsidRPr="00374521">
        <w:rPr>
          <w:sz w:val="22"/>
          <w:szCs w:val="22"/>
        </w:rPr>
        <w:t>sercowo-naczyniow</w:t>
      </w:r>
      <w:r w:rsidR="004E161D">
        <w:rPr>
          <w:sz w:val="22"/>
          <w:szCs w:val="22"/>
        </w:rPr>
        <w:t>ych</w:t>
      </w:r>
      <w:r w:rsidRPr="00374521">
        <w:rPr>
          <w:sz w:val="22"/>
          <w:szCs w:val="22"/>
        </w:rPr>
        <w:t xml:space="preserve"> i udary mózgu występowały częściej w grupie otrzymującej </w:t>
      </w:r>
      <w:proofErr w:type="spellStart"/>
      <w:r w:rsidRPr="00374521">
        <w:rPr>
          <w:sz w:val="22"/>
          <w:szCs w:val="22"/>
        </w:rPr>
        <w:t>aliskiren</w:t>
      </w:r>
      <w:proofErr w:type="spellEnd"/>
      <w:r w:rsidR="004E161D">
        <w:rPr>
          <w:sz w:val="22"/>
          <w:szCs w:val="22"/>
        </w:rPr>
        <w:t>,</w:t>
      </w:r>
      <w:r w:rsidRPr="00374521">
        <w:rPr>
          <w:sz w:val="22"/>
          <w:szCs w:val="22"/>
        </w:rPr>
        <w:t xml:space="preserve"> w </w:t>
      </w:r>
      <w:r w:rsidR="004E161D">
        <w:rPr>
          <w:sz w:val="22"/>
          <w:szCs w:val="22"/>
        </w:rPr>
        <w:t xml:space="preserve">porównaniu </w:t>
      </w:r>
      <w:r w:rsidRPr="00374521">
        <w:rPr>
          <w:sz w:val="22"/>
          <w:szCs w:val="22"/>
        </w:rPr>
        <w:t xml:space="preserve">do grupy placebo. W grupie otrzymującej </w:t>
      </w:r>
      <w:proofErr w:type="spellStart"/>
      <w:r w:rsidRPr="00374521">
        <w:rPr>
          <w:sz w:val="22"/>
          <w:szCs w:val="22"/>
        </w:rPr>
        <w:t>aliskiren</w:t>
      </w:r>
      <w:proofErr w:type="spellEnd"/>
      <w:r w:rsidRPr="00374521">
        <w:rPr>
          <w:sz w:val="22"/>
          <w:szCs w:val="22"/>
        </w:rPr>
        <w:t xml:space="preserve"> odnotowano również częstsze występowanie zdarzeń niepożądanych, w tym ciężkich zdarzeń niepożądanych (hiperkaliemia, niedociśnienie i </w:t>
      </w:r>
      <w:r w:rsidR="004E161D">
        <w:rPr>
          <w:sz w:val="22"/>
          <w:szCs w:val="22"/>
        </w:rPr>
        <w:t>zaburzenia czynności</w:t>
      </w:r>
      <w:r w:rsidRPr="00374521">
        <w:rPr>
          <w:sz w:val="22"/>
          <w:szCs w:val="22"/>
        </w:rPr>
        <w:t xml:space="preserve"> nerek)</w:t>
      </w:r>
      <w:r w:rsidR="004E161D">
        <w:rPr>
          <w:sz w:val="22"/>
          <w:szCs w:val="22"/>
        </w:rPr>
        <w:t>, w porównaniu do</w:t>
      </w:r>
      <w:r w:rsidRPr="00374521">
        <w:rPr>
          <w:sz w:val="22"/>
          <w:szCs w:val="22"/>
        </w:rPr>
        <w:t xml:space="preserve"> grupy placebo.</w:t>
      </w:r>
    </w:p>
    <w:p w14:paraId="4B60390D" w14:textId="77777777" w:rsidR="00961B08" w:rsidRPr="00374521" w:rsidRDefault="00961B08" w:rsidP="00374521">
      <w:pPr>
        <w:pStyle w:val="Nagwek8"/>
        <w:tabs>
          <w:tab w:val="left" w:pos="6373"/>
        </w:tabs>
        <w:spacing w:before="0" w:after="0"/>
        <w:rPr>
          <w:i w:val="0"/>
          <w:iCs w:val="0"/>
          <w:sz w:val="22"/>
          <w:szCs w:val="22"/>
          <w:u w:val="single"/>
        </w:rPr>
      </w:pPr>
    </w:p>
    <w:p w14:paraId="4579980A" w14:textId="77777777" w:rsidR="005B69EE" w:rsidRPr="00374521" w:rsidRDefault="005B69EE" w:rsidP="00374521">
      <w:pPr>
        <w:pStyle w:val="Nagwek8"/>
        <w:tabs>
          <w:tab w:val="left" w:pos="6373"/>
        </w:tabs>
        <w:spacing w:before="0" w:after="0"/>
        <w:rPr>
          <w:bCs/>
          <w:i w:val="0"/>
          <w:iCs w:val="0"/>
          <w:sz w:val="22"/>
          <w:szCs w:val="22"/>
          <w:u w:val="single"/>
        </w:rPr>
      </w:pPr>
      <w:proofErr w:type="spellStart"/>
      <w:r w:rsidRPr="00374521">
        <w:rPr>
          <w:i w:val="0"/>
          <w:iCs w:val="0"/>
          <w:sz w:val="22"/>
          <w:szCs w:val="22"/>
          <w:u w:val="single"/>
        </w:rPr>
        <w:t>Hydrochlorotiazyd</w:t>
      </w:r>
      <w:proofErr w:type="spellEnd"/>
    </w:p>
    <w:p w14:paraId="64CA9C2F" w14:textId="77777777" w:rsidR="00646636" w:rsidRPr="00374521" w:rsidRDefault="0048539F" w:rsidP="00374521">
      <w:pPr>
        <w:tabs>
          <w:tab w:val="left" w:pos="6373"/>
        </w:tabs>
        <w:rPr>
          <w:sz w:val="22"/>
          <w:szCs w:val="22"/>
        </w:rPr>
      </w:pPr>
      <w:proofErr w:type="spellStart"/>
      <w:r w:rsidRPr="00374521">
        <w:rPr>
          <w:bCs/>
          <w:snapToGrid w:val="0"/>
          <w:color w:val="000000"/>
          <w:sz w:val="22"/>
          <w:szCs w:val="22"/>
        </w:rPr>
        <w:t>Hydrochlorotiazyd</w:t>
      </w:r>
      <w:proofErr w:type="spellEnd"/>
      <w:r w:rsidRPr="00374521">
        <w:rPr>
          <w:bCs/>
          <w:snapToGrid w:val="0"/>
          <w:color w:val="000000"/>
          <w:sz w:val="22"/>
          <w:szCs w:val="22"/>
        </w:rPr>
        <w:t xml:space="preserve"> jest </w:t>
      </w:r>
      <w:proofErr w:type="spellStart"/>
      <w:r w:rsidRPr="00374521">
        <w:rPr>
          <w:bCs/>
          <w:snapToGrid w:val="0"/>
          <w:color w:val="000000"/>
          <w:sz w:val="22"/>
          <w:szCs w:val="22"/>
        </w:rPr>
        <w:t>tiazydowym</w:t>
      </w:r>
      <w:proofErr w:type="spellEnd"/>
      <w:r w:rsidRPr="00374521">
        <w:rPr>
          <w:bCs/>
          <w:snapToGrid w:val="0"/>
          <w:color w:val="000000"/>
          <w:sz w:val="22"/>
          <w:szCs w:val="22"/>
        </w:rPr>
        <w:t xml:space="preserve"> lekiem moczopędnym. M</w:t>
      </w:r>
      <w:r w:rsidR="005B69EE" w:rsidRPr="00374521">
        <w:rPr>
          <w:bCs/>
          <w:snapToGrid w:val="0"/>
          <w:color w:val="000000"/>
          <w:sz w:val="22"/>
          <w:szCs w:val="22"/>
        </w:rPr>
        <w:t xml:space="preserve">echanizm działania </w:t>
      </w:r>
      <w:proofErr w:type="spellStart"/>
      <w:r w:rsidRPr="00374521">
        <w:rPr>
          <w:bCs/>
          <w:snapToGrid w:val="0"/>
          <w:color w:val="000000"/>
          <w:sz w:val="22"/>
          <w:szCs w:val="22"/>
        </w:rPr>
        <w:t>przeciwnadciśnieniowego</w:t>
      </w:r>
      <w:proofErr w:type="spellEnd"/>
      <w:r w:rsidRPr="00374521">
        <w:rPr>
          <w:bCs/>
          <w:snapToGrid w:val="0"/>
          <w:color w:val="000000"/>
          <w:sz w:val="22"/>
          <w:szCs w:val="22"/>
        </w:rPr>
        <w:t xml:space="preserve"> </w:t>
      </w:r>
      <w:proofErr w:type="spellStart"/>
      <w:r w:rsidRPr="00374521">
        <w:rPr>
          <w:bCs/>
          <w:snapToGrid w:val="0"/>
          <w:color w:val="000000"/>
          <w:sz w:val="22"/>
          <w:szCs w:val="22"/>
        </w:rPr>
        <w:t>diuretyków</w:t>
      </w:r>
      <w:proofErr w:type="spellEnd"/>
      <w:r w:rsidRPr="00374521">
        <w:rPr>
          <w:bCs/>
          <w:snapToGrid w:val="0"/>
          <w:color w:val="000000"/>
          <w:sz w:val="22"/>
          <w:szCs w:val="22"/>
        </w:rPr>
        <w:t xml:space="preserve"> </w:t>
      </w:r>
      <w:proofErr w:type="spellStart"/>
      <w:r w:rsidR="005B69EE" w:rsidRPr="00374521">
        <w:rPr>
          <w:bCs/>
          <w:snapToGrid w:val="0"/>
          <w:color w:val="000000"/>
          <w:sz w:val="22"/>
          <w:szCs w:val="22"/>
        </w:rPr>
        <w:t>tiazyd</w:t>
      </w:r>
      <w:r w:rsidRPr="00374521">
        <w:rPr>
          <w:bCs/>
          <w:snapToGrid w:val="0"/>
          <w:color w:val="000000"/>
          <w:sz w:val="22"/>
          <w:szCs w:val="22"/>
        </w:rPr>
        <w:t>owych</w:t>
      </w:r>
      <w:proofErr w:type="spellEnd"/>
      <w:r w:rsidRPr="00374521">
        <w:rPr>
          <w:bCs/>
          <w:snapToGrid w:val="0"/>
          <w:color w:val="000000"/>
          <w:sz w:val="22"/>
          <w:szCs w:val="22"/>
        </w:rPr>
        <w:t xml:space="preserve"> nie został w pełni poznany. </w:t>
      </w:r>
      <w:proofErr w:type="spellStart"/>
      <w:r w:rsidR="005B69EE" w:rsidRPr="00374521">
        <w:rPr>
          <w:bCs/>
          <w:snapToGrid w:val="0"/>
          <w:color w:val="000000"/>
          <w:sz w:val="22"/>
          <w:szCs w:val="22"/>
        </w:rPr>
        <w:t>Tiazydy</w:t>
      </w:r>
      <w:proofErr w:type="spellEnd"/>
      <w:r w:rsidR="005B69EE" w:rsidRPr="00374521">
        <w:rPr>
          <w:bCs/>
          <w:snapToGrid w:val="0"/>
          <w:color w:val="000000"/>
          <w:sz w:val="22"/>
          <w:szCs w:val="22"/>
        </w:rPr>
        <w:t xml:space="preserve"> </w:t>
      </w:r>
      <w:r w:rsidRPr="00374521">
        <w:rPr>
          <w:bCs/>
          <w:snapToGrid w:val="0"/>
          <w:color w:val="000000"/>
          <w:sz w:val="22"/>
          <w:szCs w:val="22"/>
        </w:rPr>
        <w:t xml:space="preserve">wpływają na wchłanianie zwrotne elektrolitów w kanalikach nerkowych </w:t>
      </w:r>
      <w:r w:rsidR="005B69EE" w:rsidRPr="00374521">
        <w:rPr>
          <w:bCs/>
          <w:snapToGrid w:val="0"/>
          <w:color w:val="000000"/>
          <w:sz w:val="22"/>
          <w:szCs w:val="22"/>
        </w:rPr>
        <w:t>zwiększ</w:t>
      </w:r>
      <w:r w:rsidRPr="00374521">
        <w:rPr>
          <w:bCs/>
          <w:snapToGrid w:val="0"/>
          <w:color w:val="000000"/>
          <w:sz w:val="22"/>
          <w:szCs w:val="22"/>
        </w:rPr>
        <w:t>ając</w:t>
      </w:r>
      <w:r w:rsidR="005B69EE" w:rsidRPr="00374521">
        <w:rPr>
          <w:bCs/>
          <w:snapToGrid w:val="0"/>
          <w:color w:val="000000"/>
          <w:sz w:val="22"/>
          <w:szCs w:val="22"/>
        </w:rPr>
        <w:t xml:space="preserve"> wydalanie sodu i chlorków w </w:t>
      </w:r>
      <w:r w:rsidRPr="00374521">
        <w:rPr>
          <w:bCs/>
          <w:snapToGrid w:val="0"/>
          <w:color w:val="000000"/>
          <w:sz w:val="22"/>
          <w:szCs w:val="22"/>
        </w:rPr>
        <w:t xml:space="preserve">przybliżeniu w </w:t>
      </w:r>
      <w:r w:rsidR="005B69EE" w:rsidRPr="00374521">
        <w:rPr>
          <w:bCs/>
          <w:snapToGrid w:val="0"/>
          <w:color w:val="000000"/>
          <w:sz w:val="22"/>
          <w:szCs w:val="22"/>
        </w:rPr>
        <w:t xml:space="preserve">równych ilościach. </w:t>
      </w:r>
      <w:r w:rsidRPr="00374521">
        <w:rPr>
          <w:bCs/>
          <w:snapToGrid w:val="0"/>
          <w:color w:val="000000"/>
          <w:sz w:val="22"/>
          <w:szCs w:val="22"/>
        </w:rPr>
        <w:t xml:space="preserve">Moczopędne działanie </w:t>
      </w:r>
      <w:proofErr w:type="spellStart"/>
      <w:r w:rsidRPr="00374521">
        <w:rPr>
          <w:bCs/>
          <w:snapToGrid w:val="0"/>
          <w:color w:val="000000"/>
          <w:sz w:val="22"/>
          <w:szCs w:val="22"/>
        </w:rPr>
        <w:t>hydrochlorotiazydu</w:t>
      </w:r>
      <w:proofErr w:type="spellEnd"/>
      <w:r w:rsidRPr="00374521">
        <w:rPr>
          <w:bCs/>
          <w:snapToGrid w:val="0"/>
          <w:color w:val="000000"/>
          <w:sz w:val="22"/>
          <w:szCs w:val="22"/>
        </w:rPr>
        <w:t xml:space="preserve"> zmniejsza objętość osocza, zwiększa aktywność </w:t>
      </w:r>
      <w:proofErr w:type="spellStart"/>
      <w:r w:rsidRPr="00374521">
        <w:rPr>
          <w:bCs/>
          <w:snapToGrid w:val="0"/>
          <w:color w:val="000000"/>
          <w:sz w:val="22"/>
          <w:szCs w:val="22"/>
        </w:rPr>
        <w:t>reninową</w:t>
      </w:r>
      <w:proofErr w:type="spellEnd"/>
      <w:r w:rsidRPr="00374521">
        <w:rPr>
          <w:bCs/>
          <w:snapToGrid w:val="0"/>
          <w:color w:val="000000"/>
          <w:sz w:val="22"/>
          <w:szCs w:val="22"/>
        </w:rPr>
        <w:t xml:space="preserve"> osocza i zwiększa wydzielanie aldosteronu powodując zwiększone wydalanie p</w:t>
      </w:r>
      <w:r w:rsidR="00932A01" w:rsidRPr="00374521">
        <w:rPr>
          <w:bCs/>
          <w:snapToGrid w:val="0"/>
          <w:color w:val="000000"/>
          <w:sz w:val="22"/>
          <w:szCs w:val="22"/>
        </w:rPr>
        <w:t>otasu i dwuwęglanów z moczem, oraz</w:t>
      </w:r>
      <w:r w:rsidRPr="00374521">
        <w:rPr>
          <w:bCs/>
          <w:snapToGrid w:val="0"/>
          <w:color w:val="000000"/>
          <w:sz w:val="22"/>
          <w:szCs w:val="22"/>
        </w:rPr>
        <w:t xml:space="preserve"> </w:t>
      </w:r>
      <w:r w:rsidR="00932A01" w:rsidRPr="00374521">
        <w:rPr>
          <w:bCs/>
          <w:snapToGrid w:val="0"/>
          <w:color w:val="000000"/>
          <w:sz w:val="22"/>
          <w:szCs w:val="22"/>
        </w:rPr>
        <w:t xml:space="preserve">zmniejszenie </w:t>
      </w:r>
      <w:r w:rsidRPr="00374521">
        <w:rPr>
          <w:bCs/>
          <w:snapToGrid w:val="0"/>
          <w:color w:val="000000"/>
          <w:sz w:val="22"/>
          <w:szCs w:val="22"/>
        </w:rPr>
        <w:t xml:space="preserve">stężenia potasu w surowicy. </w:t>
      </w:r>
      <w:r w:rsidR="00646636" w:rsidRPr="00374521">
        <w:rPr>
          <w:sz w:val="22"/>
          <w:szCs w:val="22"/>
        </w:rPr>
        <w:t xml:space="preserve">Mediatorem układu renina-aldosteron jest angiotensyna II, zatem jednoczesne podawanie antagonisty receptora </w:t>
      </w:r>
      <w:r w:rsidR="0071168D" w:rsidRPr="00C006D7">
        <w:rPr>
          <w:sz w:val="22"/>
          <w:szCs w:val="22"/>
        </w:rPr>
        <w:t>AT1 dla</w:t>
      </w:r>
      <w:r w:rsidR="0071168D">
        <w:rPr>
          <w:sz w:val="22"/>
          <w:szCs w:val="22"/>
        </w:rPr>
        <w:t xml:space="preserve"> </w:t>
      </w:r>
      <w:r w:rsidR="00646636" w:rsidRPr="00374521">
        <w:rPr>
          <w:sz w:val="22"/>
          <w:szCs w:val="22"/>
        </w:rPr>
        <w:t xml:space="preserve">angiotensyny II zmniejsza utratę potasu spowodowaną przez </w:t>
      </w:r>
      <w:proofErr w:type="spellStart"/>
      <w:r w:rsidR="00646636" w:rsidRPr="00374521">
        <w:rPr>
          <w:sz w:val="22"/>
          <w:szCs w:val="22"/>
        </w:rPr>
        <w:t>tiazydowy</w:t>
      </w:r>
      <w:proofErr w:type="spellEnd"/>
      <w:r w:rsidR="00646636" w:rsidRPr="00374521">
        <w:rPr>
          <w:sz w:val="22"/>
          <w:szCs w:val="22"/>
        </w:rPr>
        <w:t xml:space="preserve"> lek moczopędny.</w:t>
      </w:r>
    </w:p>
    <w:p w14:paraId="4BD6AE23" w14:textId="77777777" w:rsidR="00646636" w:rsidRPr="00374521" w:rsidRDefault="00646636" w:rsidP="00374521">
      <w:pPr>
        <w:tabs>
          <w:tab w:val="left" w:pos="6373"/>
        </w:tabs>
        <w:rPr>
          <w:sz w:val="22"/>
          <w:szCs w:val="22"/>
        </w:rPr>
      </w:pPr>
    </w:p>
    <w:p w14:paraId="05E3403F" w14:textId="77777777" w:rsidR="005B69EE" w:rsidRDefault="00646636" w:rsidP="00374521">
      <w:pPr>
        <w:tabs>
          <w:tab w:val="left" w:pos="6373"/>
        </w:tabs>
        <w:rPr>
          <w:bCs/>
          <w:snapToGrid w:val="0"/>
          <w:color w:val="000000"/>
          <w:sz w:val="22"/>
          <w:szCs w:val="22"/>
        </w:rPr>
      </w:pPr>
      <w:r w:rsidRPr="00374521">
        <w:rPr>
          <w:bCs/>
          <w:snapToGrid w:val="0"/>
          <w:color w:val="000000"/>
          <w:sz w:val="22"/>
          <w:szCs w:val="22"/>
        </w:rPr>
        <w:t>Po podaniu doustnym w</w:t>
      </w:r>
      <w:r w:rsidR="005B69EE" w:rsidRPr="00374521">
        <w:rPr>
          <w:bCs/>
          <w:snapToGrid w:val="0"/>
          <w:color w:val="000000"/>
          <w:sz w:val="22"/>
          <w:szCs w:val="22"/>
        </w:rPr>
        <w:t>zmożona diureza występuje w ciągu 2 godzin, osiągając maksimum po 4 godzinach i utrzymuje się przez 6 do 12 godzin</w:t>
      </w:r>
      <w:r w:rsidRPr="00374521">
        <w:rPr>
          <w:bCs/>
          <w:snapToGrid w:val="0"/>
          <w:color w:val="000000"/>
          <w:sz w:val="22"/>
          <w:szCs w:val="22"/>
        </w:rPr>
        <w:t xml:space="preserve">, podczas gdy działanie </w:t>
      </w:r>
      <w:proofErr w:type="spellStart"/>
      <w:r w:rsidRPr="00374521">
        <w:rPr>
          <w:bCs/>
          <w:snapToGrid w:val="0"/>
          <w:color w:val="000000"/>
          <w:sz w:val="22"/>
          <w:szCs w:val="22"/>
        </w:rPr>
        <w:t>przeciwnadciśnieniowe</w:t>
      </w:r>
      <w:proofErr w:type="spellEnd"/>
      <w:r w:rsidRPr="00374521">
        <w:rPr>
          <w:bCs/>
          <w:snapToGrid w:val="0"/>
          <w:color w:val="000000"/>
          <w:sz w:val="22"/>
          <w:szCs w:val="22"/>
        </w:rPr>
        <w:t xml:space="preserve"> utrzymuje się do 24 godzin</w:t>
      </w:r>
      <w:r w:rsidR="005B69EE" w:rsidRPr="00374521">
        <w:rPr>
          <w:bCs/>
          <w:snapToGrid w:val="0"/>
          <w:color w:val="000000"/>
          <w:sz w:val="22"/>
          <w:szCs w:val="22"/>
        </w:rPr>
        <w:t xml:space="preserve">. </w:t>
      </w:r>
    </w:p>
    <w:p w14:paraId="7A2467F5" w14:textId="77777777" w:rsidR="00EA02D5" w:rsidRDefault="00EA02D5" w:rsidP="00374521">
      <w:pPr>
        <w:tabs>
          <w:tab w:val="left" w:pos="6373"/>
        </w:tabs>
        <w:rPr>
          <w:bCs/>
          <w:snapToGrid w:val="0"/>
          <w:color w:val="000000"/>
          <w:sz w:val="22"/>
          <w:szCs w:val="22"/>
        </w:rPr>
      </w:pPr>
    </w:p>
    <w:p w14:paraId="61B50F3F" w14:textId="77777777" w:rsidR="00EA02D5" w:rsidRPr="002C0DE1" w:rsidRDefault="00EA02D5" w:rsidP="00EA02D5">
      <w:pPr>
        <w:rPr>
          <w:bCs/>
          <w:snapToGrid w:val="0"/>
          <w:color w:val="000000"/>
          <w:sz w:val="22"/>
          <w:szCs w:val="22"/>
        </w:rPr>
      </w:pPr>
      <w:proofErr w:type="spellStart"/>
      <w:r w:rsidRPr="002C0DE1">
        <w:rPr>
          <w:bCs/>
          <w:snapToGrid w:val="0"/>
          <w:color w:val="000000"/>
          <w:sz w:val="22"/>
          <w:szCs w:val="22"/>
        </w:rPr>
        <w:t>Nieczerniakowe</w:t>
      </w:r>
      <w:proofErr w:type="spellEnd"/>
      <w:r w:rsidRPr="002C0DE1">
        <w:rPr>
          <w:bCs/>
          <w:snapToGrid w:val="0"/>
          <w:color w:val="000000"/>
          <w:sz w:val="22"/>
          <w:szCs w:val="22"/>
        </w:rPr>
        <w:t xml:space="preserve"> nowotwory złośliwe skóry. Na podstawie danych dostępnych z badań</w:t>
      </w:r>
    </w:p>
    <w:p w14:paraId="7A16DDCB" w14:textId="77777777" w:rsidR="00EA02D5" w:rsidRPr="002C0DE1" w:rsidRDefault="00EA02D5" w:rsidP="00EA02D5">
      <w:pPr>
        <w:tabs>
          <w:tab w:val="left" w:pos="6373"/>
        </w:tabs>
        <w:rPr>
          <w:bCs/>
          <w:snapToGrid w:val="0"/>
          <w:color w:val="000000"/>
          <w:sz w:val="22"/>
          <w:szCs w:val="22"/>
        </w:rPr>
      </w:pPr>
      <w:r w:rsidRPr="002C0DE1">
        <w:rPr>
          <w:bCs/>
          <w:snapToGrid w:val="0"/>
          <w:color w:val="000000"/>
          <w:sz w:val="22"/>
          <w:szCs w:val="22"/>
        </w:rPr>
        <w:t xml:space="preserve">epidemiologicznych stwierdzono związek między łączną dawką HCTZ a występowaniem NMSC. W jednym z badań uczestniczyło 71 533 osób z BCC i 8 629 osób z SCC, które porównywano z grupami kontrolnymi z tej samej populacji obejmującymi odpowiednio 1 430 833 i 172462 osoby. Duży stopień narażenia na HCTZ (łączna dawka ≥50 000 mg) wiązał się ze skorygowanym OR dla BCC rzędu 1,29 (95 % CI: 1,23-1,35), a dla SCC rzędu 3,98 (95 % CI: 3,68-4,31). Stwierdzono wyraźną zależność między łączną dawką a skutkiem zarówno w przypadku BCC, jak i SCC. W innym badaniu wykazano możliwy związek stopnia narażenia na HCTZ z występowaniem nowotworów złośliwych warg (SCC): w badaniu porównywano 633 przypadki nowotworów złośliwych warg i 63 067 osób z </w:t>
      </w:r>
      <w:r w:rsidRPr="002C0DE1">
        <w:rPr>
          <w:bCs/>
          <w:snapToGrid w:val="0"/>
          <w:color w:val="000000"/>
          <w:sz w:val="22"/>
          <w:szCs w:val="22"/>
        </w:rPr>
        <w:lastRenderedPageBreak/>
        <w:t>tej samej populacji tworzących grupę kontrolną z zastosowaniem strategii jednoczesnego zbioru ryzyka. Stwierdzono zależność między łączną dawką a odpowiedzią ze skorygowanym OR rzędu 2,1 (95 % CI: 1,7-2,6), które wzrastało do OR 3,9 (3,0-4,9) w przypadku dużego stopnia narażenia (~25 000 mg) i OR 7,7 (5,7-10,5) dla największych łącznych dawek (~100 000 mg) (patrz również punkt 4.4).</w:t>
      </w:r>
    </w:p>
    <w:p w14:paraId="5A47A2E4" w14:textId="77777777" w:rsidR="00476B48" w:rsidRPr="00374521" w:rsidRDefault="00476B48" w:rsidP="00374521">
      <w:pPr>
        <w:tabs>
          <w:tab w:val="left" w:pos="6373"/>
        </w:tabs>
        <w:rPr>
          <w:bCs/>
          <w:snapToGrid w:val="0"/>
          <w:color w:val="000000"/>
          <w:sz w:val="22"/>
          <w:szCs w:val="22"/>
        </w:rPr>
      </w:pPr>
    </w:p>
    <w:p w14:paraId="0940DF45" w14:textId="77777777" w:rsidR="005B69EE" w:rsidRPr="00374521" w:rsidRDefault="00E33426" w:rsidP="00374521">
      <w:pPr>
        <w:tabs>
          <w:tab w:val="left" w:pos="540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374521">
        <w:rPr>
          <w:b/>
          <w:sz w:val="22"/>
          <w:szCs w:val="22"/>
        </w:rPr>
        <w:t>5.2</w:t>
      </w:r>
      <w:r w:rsidRPr="00374521">
        <w:rPr>
          <w:b/>
          <w:sz w:val="22"/>
          <w:szCs w:val="22"/>
        </w:rPr>
        <w:tab/>
      </w:r>
      <w:r w:rsidR="005B69EE" w:rsidRPr="00374521">
        <w:rPr>
          <w:b/>
          <w:snapToGrid w:val="0"/>
          <w:sz w:val="22"/>
          <w:szCs w:val="22"/>
        </w:rPr>
        <w:t xml:space="preserve">Właściwości farmakokinetyczne </w:t>
      </w:r>
    </w:p>
    <w:p w14:paraId="18C216C3" w14:textId="77777777" w:rsidR="00C61BB1" w:rsidRPr="00374521" w:rsidRDefault="00C61BB1" w:rsidP="00374521">
      <w:pPr>
        <w:rPr>
          <w:b/>
          <w:sz w:val="22"/>
          <w:szCs w:val="22"/>
        </w:rPr>
      </w:pPr>
    </w:p>
    <w:p w14:paraId="68EFEF42" w14:textId="77777777" w:rsidR="005B69EE" w:rsidRPr="00374521" w:rsidRDefault="005B69EE" w:rsidP="00374521">
      <w:pPr>
        <w:rPr>
          <w:sz w:val="22"/>
          <w:szCs w:val="22"/>
          <w:u w:val="single"/>
        </w:rPr>
      </w:pPr>
      <w:r w:rsidRPr="00374521">
        <w:rPr>
          <w:sz w:val="22"/>
          <w:szCs w:val="22"/>
          <w:u w:val="single"/>
        </w:rPr>
        <w:t>Wchłanianie</w:t>
      </w:r>
    </w:p>
    <w:p w14:paraId="57BAAE90" w14:textId="77777777" w:rsidR="00C61BB1" w:rsidRPr="00374521" w:rsidRDefault="00C61BB1" w:rsidP="00374521">
      <w:pPr>
        <w:rPr>
          <w:sz w:val="22"/>
          <w:szCs w:val="22"/>
          <w:u w:val="single"/>
        </w:rPr>
      </w:pPr>
    </w:p>
    <w:p w14:paraId="2FC7A042" w14:textId="77777777" w:rsidR="00646636" w:rsidRPr="00374521" w:rsidRDefault="005B69EE" w:rsidP="00374521">
      <w:pPr>
        <w:rPr>
          <w:i/>
          <w:sz w:val="22"/>
          <w:szCs w:val="22"/>
        </w:rPr>
      </w:pPr>
      <w:proofErr w:type="spellStart"/>
      <w:r w:rsidRPr="00374521">
        <w:rPr>
          <w:i/>
          <w:sz w:val="22"/>
          <w:szCs w:val="22"/>
        </w:rPr>
        <w:t>Losartan</w:t>
      </w:r>
      <w:proofErr w:type="spellEnd"/>
    </w:p>
    <w:p w14:paraId="185BC491" w14:textId="77777777" w:rsidR="005B69EE" w:rsidRPr="00374521" w:rsidRDefault="005B69EE" w:rsidP="00374521">
      <w:pPr>
        <w:rPr>
          <w:sz w:val="22"/>
          <w:szCs w:val="22"/>
        </w:rPr>
      </w:pPr>
      <w:r w:rsidRPr="00374521">
        <w:rPr>
          <w:sz w:val="22"/>
          <w:szCs w:val="22"/>
        </w:rPr>
        <w:t xml:space="preserve">Po podaniu doustnym </w:t>
      </w:r>
      <w:proofErr w:type="spellStart"/>
      <w:r w:rsidRPr="00374521">
        <w:rPr>
          <w:sz w:val="22"/>
          <w:szCs w:val="22"/>
        </w:rPr>
        <w:t>losartan</w:t>
      </w:r>
      <w:proofErr w:type="spellEnd"/>
      <w:r w:rsidRPr="00374521">
        <w:rPr>
          <w:sz w:val="22"/>
          <w:szCs w:val="22"/>
        </w:rPr>
        <w:t xml:space="preserve"> jest dobrze wchłaniany i podlega e</w:t>
      </w:r>
      <w:r w:rsidR="00932A01" w:rsidRPr="00374521">
        <w:rPr>
          <w:sz w:val="22"/>
          <w:szCs w:val="22"/>
        </w:rPr>
        <w:t xml:space="preserve">fektowi pierwszego przejścia, w </w:t>
      </w:r>
      <w:r w:rsidRPr="00374521">
        <w:rPr>
          <w:sz w:val="22"/>
          <w:szCs w:val="22"/>
        </w:rPr>
        <w:t>wyniku czego</w:t>
      </w:r>
      <w:r w:rsidR="00932A01" w:rsidRPr="00374521">
        <w:rPr>
          <w:sz w:val="22"/>
          <w:szCs w:val="22"/>
        </w:rPr>
        <w:t>,</w:t>
      </w:r>
      <w:r w:rsidRPr="00374521">
        <w:rPr>
          <w:sz w:val="22"/>
          <w:szCs w:val="22"/>
        </w:rPr>
        <w:t xml:space="preserve"> powstaje czynny metabolit - kwas karboksylowy i inne nieaktywne metabolity. Dostępność biologiczna </w:t>
      </w:r>
      <w:proofErr w:type="spellStart"/>
      <w:r w:rsidRPr="00374521">
        <w:rPr>
          <w:sz w:val="22"/>
          <w:szCs w:val="22"/>
        </w:rPr>
        <w:t>losartanu</w:t>
      </w:r>
      <w:proofErr w:type="spellEnd"/>
      <w:r w:rsidRPr="00374521">
        <w:rPr>
          <w:sz w:val="22"/>
          <w:szCs w:val="22"/>
        </w:rPr>
        <w:t xml:space="preserve"> w postaci tabletek wynosi około 33%. Średnie stężenia maksymalne </w:t>
      </w:r>
      <w:proofErr w:type="spellStart"/>
      <w:r w:rsidRPr="00374521">
        <w:rPr>
          <w:sz w:val="22"/>
          <w:szCs w:val="22"/>
        </w:rPr>
        <w:t>losartanu</w:t>
      </w:r>
      <w:proofErr w:type="spellEnd"/>
      <w:r w:rsidRPr="00374521">
        <w:rPr>
          <w:sz w:val="22"/>
          <w:szCs w:val="22"/>
        </w:rPr>
        <w:t xml:space="preserve"> i jego czynnego metabolitu występują odpowiednio po 1 godzinie i 3-4 godzinach. Nie stwierdzono istotnego klinicznie wpływu standardowego posiłku na profil stężeń </w:t>
      </w:r>
      <w:proofErr w:type="spellStart"/>
      <w:r w:rsidRPr="00374521">
        <w:rPr>
          <w:sz w:val="22"/>
          <w:szCs w:val="22"/>
        </w:rPr>
        <w:t>losartanu</w:t>
      </w:r>
      <w:proofErr w:type="spellEnd"/>
      <w:r w:rsidRPr="00374521">
        <w:rPr>
          <w:sz w:val="22"/>
          <w:szCs w:val="22"/>
        </w:rPr>
        <w:t xml:space="preserve"> w osoczu. </w:t>
      </w:r>
    </w:p>
    <w:p w14:paraId="1390B82F" w14:textId="77777777" w:rsidR="005B69EE" w:rsidRPr="00374521" w:rsidRDefault="005B69EE" w:rsidP="00374521">
      <w:pPr>
        <w:rPr>
          <w:sz w:val="22"/>
          <w:szCs w:val="22"/>
        </w:rPr>
      </w:pPr>
    </w:p>
    <w:p w14:paraId="31F69DD2" w14:textId="77777777" w:rsidR="005B69EE" w:rsidRPr="00374521" w:rsidRDefault="005B69EE" w:rsidP="00374521">
      <w:pPr>
        <w:rPr>
          <w:sz w:val="22"/>
          <w:szCs w:val="22"/>
          <w:u w:val="single"/>
        </w:rPr>
      </w:pPr>
      <w:r w:rsidRPr="00374521">
        <w:rPr>
          <w:sz w:val="22"/>
          <w:szCs w:val="22"/>
          <w:u w:val="single"/>
        </w:rPr>
        <w:t>Dystrybucja</w:t>
      </w:r>
    </w:p>
    <w:p w14:paraId="5D114459" w14:textId="77777777" w:rsidR="003015CA" w:rsidRPr="00374521" w:rsidRDefault="003015CA" w:rsidP="00374521">
      <w:pPr>
        <w:rPr>
          <w:sz w:val="22"/>
          <w:szCs w:val="22"/>
          <w:u w:val="single"/>
        </w:rPr>
      </w:pPr>
    </w:p>
    <w:p w14:paraId="7A77F9F9" w14:textId="77777777" w:rsidR="005B69EE" w:rsidRPr="00374521" w:rsidRDefault="005B69EE" w:rsidP="00374521">
      <w:pPr>
        <w:rPr>
          <w:i/>
          <w:sz w:val="22"/>
          <w:szCs w:val="22"/>
        </w:rPr>
      </w:pPr>
      <w:proofErr w:type="spellStart"/>
      <w:r w:rsidRPr="00374521">
        <w:rPr>
          <w:i/>
          <w:sz w:val="22"/>
          <w:szCs w:val="22"/>
        </w:rPr>
        <w:t>Losartan</w:t>
      </w:r>
      <w:proofErr w:type="spellEnd"/>
    </w:p>
    <w:p w14:paraId="67BDB805" w14:textId="77777777" w:rsidR="005B69EE" w:rsidRPr="00374521" w:rsidRDefault="003015CA" w:rsidP="00374521">
      <w:pPr>
        <w:rPr>
          <w:sz w:val="22"/>
          <w:szCs w:val="22"/>
        </w:rPr>
      </w:pPr>
      <w:r w:rsidRPr="00374521">
        <w:rPr>
          <w:sz w:val="22"/>
          <w:szCs w:val="22"/>
        </w:rPr>
        <w:t xml:space="preserve">Zarówno </w:t>
      </w:r>
      <w:proofErr w:type="spellStart"/>
      <w:r w:rsidRPr="00374521">
        <w:rPr>
          <w:sz w:val="22"/>
          <w:szCs w:val="22"/>
        </w:rPr>
        <w:t>l</w:t>
      </w:r>
      <w:r w:rsidR="005B69EE" w:rsidRPr="00374521">
        <w:rPr>
          <w:sz w:val="22"/>
          <w:szCs w:val="22"/>
        </w:rPr>
        <w:t>osartan</w:t>
      </w:r>
      <w:proofErr w:type="spellEnd"/>
      <w:r w:rsidRPr="00374521">
        <w:rPr>
          <w:sz w:val="22"/>
          <w:szCs w:val="22"/>
        </w:rPr>
        <w:t xml:space="preserve">, jak </w:t>
      </w:r>
      <w:r w:rsidR="005B69EE" w:rsidRPr="00374521">
        <w:rPr>
          <w:sz w:val="22"/>
          <w:szCs w:val="22"/>
        </w:rPr>
        <w:t xml:space="preserve">i jego czynny metabolit </w:t>
      </w:r>
      <w:r w:rsidRPr="00374521">
        <w:rPr>
          <w:sz w:val="22"/>
          <w:szCs w:val="22"/>
        </w:rPr>
        <w:t xml:space="preserve">wiążą się z białkami osocza, głównie z albuminami </w:t>
      </w:r>
      <w:r w:rsidR="005B69EE" w:rsidRPr="00374521">
        <w:rPr>
          <w:sz w:val="22"/>
          <w:szCs w:val="22"/>
        </w:rPr>
        <w:t xml:space="preserve">w ponad 99%. Objętość dystrybucji </w:t>
      </w:r>
      <w:proofErr w:type="spellStart"/>
      <w:r w:rsidR="005B69EE" w:rsidRPr="00374521">
        <w:rPr>
          <w:sz w:val="22"/>
          <w:szCs w:val="22"/>
        </w:rPr>
        <w:t>losartanu</w:t>
      </w:r>
      <w:proofErr w:type="spellEnd"/>
      <w:r w:rsidR="005B69EE" w:rsidRPr="00374521">
        <w:rPr>
          <w:sz w:val="22"/>
          <w:szCs w:val="22"/>
        </w:rPr>
        <w:t xml:space="preserve"> wynosi 34 </w:t>
      </w:r>
      <w:r w:rsidR="00932A01" w:rsidRPr="00374521">
        <w:rPr>
          <w:sz w:val="22"/>
          <w:szCs w:val="22"/>
        </w:rPr>
        <w:t>l</w:t>
      </w:r>
      <w:r w:rsidR="005B69EE" w:rsidRPr="00374521">
        <w:rPr>
          <w:sz w:val="22"/>
          <w:szCs w:val="22"/>
        </w:rPr>
        <w:t xml:space="preserve">. Badania przeprowadzone na szczurach wskazują, że </w:t>
      </w:r>
      <w:proofErr w:type="spellStart"/>
      <w:r w:rsidR="005B69EE" w:rsidRPr="00374521">
        <w:rPr>
          <w:sz w:val="22"/>
          <w:szCs w:val="22"/>
        </w:rPr>
        <w:t>losartan</w:t>
      </w:r>
      <w:proofErr w:type="spellEnd"/>
      <w:r w:rsidR="005B69EE" w:rsidRPr="00374521">
        <w:rPr>
          <w:sz w:val="22"/>
          <w:szCs w:val="22"/>
        </w:rPr>
        <w:t xml:space="preserve"> </w:t>
      </w:r>
      <w:r w:rsidR="00932A01" w:rsidRPr="00374521">
        <w:rPr>
          <w:sz w:val="22"/>
          <w:szCs w:val="22"/>
        </w:rPr>
        <w:t xml:space="preserve">nie przenika lub przenika </w:t>
      </w:r>
      <w:r w:rsidR="005B69EE" w:rsidRPr="00374521">
        <w:rPr>
          <w:sz w:val="22"/>
          <w:szCs w:val="22"/>
        </w:rPr>
        <w:t>w znikomym stopniu przez barierę krew</w:t>
      </w:r>
      <w:r w:rsidR="006453ED" w:rsidRPr="00374521">
        <w:rPr>
          <w:sz w:val="22"/>
          <w:szCs w:val="22"/>
        </w:rPr>
        <w:t>–</w:t>
      </w:r>
      <w:r w:rsidR="005B69EE" w:rsidRPr="00374521">
        <w:rPr>
          <w:sz w:val="22"/>
          <w:szCs w:val="22"/>
        </w:rPr>
        <w:t>mózg.</w:t>
      </w:r>
    </w:p>
    <w:p w14:paraId="74498DAD" w14:textId="77777777" w:rsidR="005B69EE" w:rsidRPr="00374521" w:rsidRDefault="005B69EE" w:rsidP="00374521">
      <w:pPr>
        <w:rPr>
          <w:snapToGrid w:val="0"/>
          <w:color w:val="000000"/>
          <w:sz w:val="22"/>
          <w:szCs w:val="22"/>
        </w:rPr>
      </w:pPr>
    </w:p>
    <w:p w14:paraId="44CD1B56" w14:textId="77777777" w:rsidR="005B69EE" w:rsidRPr="00374521" w:rsidRDefault="005B69EE" w:rsidP="00374521">
      <w:pPr>
        <w:rPr>
          <w:i/>
          <w:iCs/>
          <w:snapToGrid w:val="0"/>
          <w:color w:val="000000"/>
          <w:sz w:val="22"/>
          <w:szCs w:val="22"/>
        </w:rPr>
      </w:pPr>
      <w:proofErr w:type="spellStart"/>
      <w:r w:rsidRPr="00374521">
        <w:rPr>
          <w:i/>
          <w:iCs/>
          <w:snapToGrid w:val="0"/>
          <w:color w:val="000000"/>
          <w:sz w:val="22"/>
          <w:szCs w:val="22"/>
        </w:rPr>
        <w:t>Hydrochlorotiazyd</w:t>
      </w:r>
      <w:proofErr w:type="spellEnd"/>
    </w:p>
    <w:p w14:paraId="0B9E84E4" w14:textId="77777777" w:rsidR="005B69EE" w:rsidRPr="00374521" w:rsidRDefault="005B69EE" w:rsidP="00374521">
      <w:pPr>
        <w:rPr>
          <w:snapToGrid w:val="0"/>
          <w:color w:val="000000"/>
          <w:sz w:val="22"/>
          <w:szCs w:val="22"/>
        </w:rPr>
      </w:pPr>
      <w:proofErr w:type="spellStart"/>
      <w:r w:rsidRPr="00374521">
        <w:rPr>
          <w:sz w:val="22"/>
          <w:szCs w:val="22"/>
        </w:rPr>
        <w:t>Hydrochlorotiazyd</w:t>
      </w:r>
      <w:proofErr w:type="spellEnd"/>
      <w:r w:rsidRPr="00374521">
        <w:rPr>
          <w:color w:val="000000"/>
          <w:sz w:val="22"/>
          <w:szCs w:val="22"/>
        </w:rPr>
        <w:t xml:space="preserve"> przenika przez barierę łożyskową i </w:t>
      </w:r>
      <w:r w:rsidR="00932A01" w:rsidRPr="00374521">
        <w:rPr>
          <w:color w:val="000000"/>
          <w:sz w:val="22"/>
          <w:szCs w:val="22"/>
        </w:rPr>
        <w:t>jest wydzielany z</w:t>
      </w:r>
      <w:r w:rsidRPr="00374521">
        <w:rPr>
          <w:color w:val="000000"/>
          <w:sz w:val="22"/>
          <w:szCs w:val="22"/>
        </w:rPr>
        <w:t xml:space="preserve"> mlek</w:t>
      </w:r>
      <w:r w:rsidR="00932A01" w:rsidRPr="00374521">
        <w:rPr>
          <w:color w:val="000000"/>
          <w:sz w:val="22"/>
          <w:szCs w:val="22"/>
        </w:rPr>
        <w:t>iem</w:t>
      </w:r>
      <w:r w:rsidRPr="00374521">
        <w:rPr>
          <w:color w:val="000000"/>
          <w:sz w:val="22"/>
          <w:szCs w:val="22"/>
        </w:rPr>
        <w:t xml:space="preserve"> kobiec</w:t>
      </w:r>
      <w:r w:rsidR="00932A01" w:rsidRPr="00374521">
        <w:rPr>
          <w:color w:val="000000"/>
          <w:sz w:val="22"/>
          <w:szCs w:val="22"/>
        </w:rPr>
        <w:t>ym</w:t>
      </w:r>
      <w:r w:rsidRPr="00374521">
        <w:rPr>
          <w:color w:val="000000"/>
          <w:sz w:val="22"/>
          <w:szCs w:val="22"/>
        </w:rPr>
        <w:t>. Nie przenika przez barierę krew–mózg.</w:t>
      </w:r>
    </w:p>
    <w:p w14:paraId="5B5CDFB7" w14:textId="77777777" w:rsidR="005B69EE" w:rsidRPr="00374521" w:rsidRDefault="005B69EE" w:rsidP="00374521">
      <w:pPr>
        <w:rPr>
          <w:snapToGrid w:val="0"/>
          <w:color w:val="000000"/>
          <w:sz w:val="22"/>
          <w:szCs w:val="22"/>
        </w:rPr>
      </w:pPr>
      <w:r w:rsidRPr="00374521">
        <w:rPr>
          <w:snapToGrid w:val="0"/>
          <w:color w:val="000000"/>
          <w:sz w:val="22"/>
          <w:szCs w:val="22"/>
        </w:rPr>
        <w:t xml:space="preserve"> </w:t>
      </w:r>
    </w:p>
    <w:p w14:paraId="14FF54DD" w14:textId="77777777" w:rsidR="005B69EE" w:rsidRPr="00374521" w:rsidRDefault="005B69EE" w:rsidP="00374521">
      <w:pPr>
        <w:rPr>
          <w:sz w:val="22"/>
          <w:szCs w:val="22"/>
          <w:u w:val="single"/>
        </w:rPr>
      </w:pPr>
      <w:r w:rsidRPr="00374521">
        <w:rPr>
          <w:sz w:val="22"/>
          <w:szCs w:val="22"/>
          <w:u w:val="single"/>
        </w:rPr>
        <w:t>Metabolizm</w:t>
      </w:r>
    </w:p>
    <w:p w14:paraId="22674C8C" w14:textId="77777777" w:rsidR="003015CA" w:rsidRPr="00374521" w:rsidRDefault="003015CA" w:rsidP="00374521">
      <w:pPr>
        <w:rPr>
          <w:sz w:val="22"/>
          <w:szCs w:val="22"/>
          <w:u w:val="single"/>
        </w:rPr>
      </w:pPr>
    </w:p>
    <w:p w14:paraId="6FF05B6B" w14:textId="77777777" w:rsidR="005B69EE" w:rsidRPr="00374521" w:rsidRDefault="005B69EE" w:rsidP="00374521">
      <w:pPr>
        <w:rPr>
          <w:i/>
          <w:sz w:val="22"/>
          <w:szCs w:val="22"/>
        </w:rPr>
      </w:pPr>
      <w:proofErr w:type="spellStart"/>
      <w:r w:rsidRPr="00374521">
        <w:rPr>
          <w:i/>
          <w:sz w:val="22"/>
          <w:szCs w:val="22"/>
        </w:rPr>
        <w:t>Losartan</w:t>
      </w:r>
      <w:proofErr w:type="spellEnd"/>
    </w:p>
    <w:p w14:paraId="72EFF96D" w14:textId="77777777" w:rsidR="005B69EE" w:rsidRPr="00374521" w:rsidRDefault="005B69EE" w:rsidP="00374521">
      <w:pPr>
        <w:rPr>
          <w:sz w:val="22"/>
          <w:szCs w:val="22"/>
        </w:rPr>
      </w:pPr>
      <w:r w:rsidRPr="00374521">
        <w:rPr>
          <w:sz w:val="22"/>
          <w:szCs w:val="22"/>
        </w:rPr>
        <w:t xml:space="preserve">Około 14% dawki </w:t>
      </w:r>
      <w:proofErr w:type="spellStart"/>
      <w:r w:rsidRPr="00374521">
        <w:rPr>
          <w:sz w:val="22"/>
          <w:szCs w:val="22"/>
        </w:rPr>
        <w:t>losartanu</w:t>
      </w:r>
      <w:proofErr w:type="spellEnd"/>
      <w:r w:rsidRPr="00374521">
        <w:rPr>
          <w:sz w:val="22"/>
          <w:szCs w:val="22"/>
        </w:rPr>
        <w:t xml:space="preserve"> podanej dożylnie lub doustnie ulega przekształceniu do czynnego metabolitu. Po doustnym lub d</w:t>
      </w:r>
      <w:r w:rsidR="00932A01" w:rsidRPr="00374521">
        <w:rPr>
          <w:sz w:val="22"/>
          <w:szCs w:val="22"/>
        </w:rPr>
        <w:t xml:space="preserve">ożylnym podaniu </w:t>
      </w:r>
      <w:proofErr w:type="spellStart"/>
      <w:r w:rsidR="00932A01" w:rsidRPr="00374521">
        <w:rPr>
          <w:sz w:val="22"/>
          <w:szCs w:val="22"/>
        </w:rPr>
        <w:t>losartanu</w:t>
      </w:r>
      <w:proofErr w:type="spellEnd"/>
      <w:r w:rsidR="00932A01" w:rsidRPr="00374521">
        <w:rPr>
          <w:sz w:val="22"/>
          <w:szCs w:val="22"/>
        </w:rPr>
        <w:t xml:space="preserve"> potasowego</w:t>
      </w:r>
      <w:r w:rsidRPr="00374521">
        <w:rPr>
          <w:sz w:val="22"/>
          <w:szCs w:val="22"/>
        </w:rPr>
        <w:t xml:space="preserve"> znakowanego węglem </w:t>
      </w:r>
      <w:smartTag w:uri="urn:schemas-microsoft-com:office:smarttags" w:element="metricconverter">
        <w:smartTagPr>
          <w:attr w:name="ProductID" w:val="14C"/>
        </w:smartTagPr>
        <w:r w:rsidRPr="00374521">
          <w:rPr>
            <w:sz w:val="22"/>
            <w:szCs w:val="22"/>
            <w:vertAlign w:val="superscript"/>
          </w:rPr>
          <w:t>14</w:t>
        </w:r>
        <w:r w:rsidRPr="00374521">
          <w:rPr>
            <w:sz w:val="22"/>
            <w:szCs w:val="22"/>
          </w:rPr>
          <w:t>C</w:t>
        </w:r>
      </w:smartTag>
      <w:r w:rsidRPr="00374521">
        <w:rPr>
          <w:sz w:val="22"/>
          <w:szCs w:val="22"/>
        </w:rPr>
        <w:t xml:space="preserve"> aktywność promieniotwórcza w osoczu była związana głównie z </w:t>
      </w:r>
      <w:proofErr w:type="spellStart"/>
      <w:r w:rsidRPr="00374521">
        <w:rPr>
          <w:sz w:val="22"/>
          <w:szCs w:val="22"/>
        </w:rPr>
        <w:t>losartanem</w:t>
      </w:r>
      <w:proofErr w:type="spellEnd"/>
      <w:r w:rsidRPr="00374521">
        <w:rPr>
          <w:sz w:val="22"/>
          <w:szCs w:val="22"/>
        </w:rPr>
        <w:t xml:space="preserve"> i jego czynnym metabolitem. U około 1% pacjentów obserwowano minimalne przekształcanie </w:t>
      </w:r>
      <w:proofErr w:type="spellStart"/>
      <w:r w:rsidRPr="00374521">
        <w:rPr>
          <w:sz w:val="22"/>
          <w:szCs w:val="22"/>
        </w:rPr>
        <w:t>losartanu</w:t>
      </w:r>
      <w:proofErr w:type="spellEnd"/>
      <w:r w:rsidRPr="00374521">
        <w:rPr>
          <w:sz w:val="22"/>
          <w:szCs w:val="22"/>
        </w:rPr>
        <w:t xml:space="preserve"> do czynnego metabolitu.</w:t>
      </w:r>
    </w:p>
    <w:p w14:paraId="7B40B79D" w14:textId="77777777" w:rsidR="005B69EE" w:rsidRPr="00374521" w:rsidRDefault="005B69EE" w:rsidP="00374521">
      <w:pPr>
        <w:rPr>
          <w:sz w:val="22"/>
          <w:szCs w:val="22"/>
        </w:rPr>
      </w:pPr>
    </w:p>
    <w:p w14:paraId="7CD10D53" w14:textId="77777777" w:rsidR="005B69EE" w:rsidRPr="00374521" w:rsidRDefault="005B69EE" w:rsidP="00374521">
      <w:pPr>
        <w:rPr>
          <w:sz w:val="22"/>
          <w:szCs w:val="22"/>
        </w:rPr>
      </w:pPr>
      <w:r w:rsidRPr="00374521">
        <w:rPr>
          <w:sz w:val="22"/>
          <w:szCs w:val="22"/>
        </w:rPr>
        <w:t xml:space="preserve">Oprócz czynnego metabolitu powstają metabolity nieaktywne, w tym dwa główne w wyniku </w:t>
      </w:r>
      <w:proofErr w:type="spellStart"/>
      <w:r w:rsidRPr="00374521">
        <w:rPr>
          <w:sz w:val="22"/>
          <w:szCs w:val="22"/>
        </w:rPr>
        <w:t>hydroksylacji</w:t>
      </w:r>
      <w:proofErr w:type="spellEnd"/>
      <w:r w:rsidRPr="00374521">
        <w:rPr>
          <w:sz w:val="22"/>
          <w:szCs w:val="22"/>
        </w:rPr>
        <w:t xml:space="preserve"> bocznego łańcucha butylowego oraz jeden, mniej istotny metabolit - </w:t>
      </w:r>
      <w:proofErr w:type="spellStart"/>
      <w:r w:rsidRPr="00374521">
        <w:rPr>
          <w:sz w:val="22"/>
          <w:szCs w:val="22"/>
        </w:rPr>
        <w:t>glukuronian</w:t>
      </w:r>
      <w:proofErr w:type="spellEnd"/>
      <w:r w:rsidRPr="00374521">
        <w:rPr>
          <w:sz w:val="22"/>
          <w:szCs w:val="22"/>
        </w:rPr>
        <w:t xml:space="preserve"> N-2 </w:t>
      </w:r>
      <w:proofErr w:type="spellStart"/>
      <w:r w:rsidRPr="00374521">
        <w:rPr>
          <w:sz w:val="22"/>
          <w:szCs w:val="22"/>
        </w:rPr>
        <w:t>tetrazolowy</w:t>
      </w:r>
      <w:proofErr w:type="spellEnd"/>
      <w:r w:rsidRPr="00374521">
        <w:rPr>
          <w:sz w:val="22"/>
          <w:szCs w:val="22"/>
        </w:rPr>
        <w:t>.</w:t>
      </w:r>
    </w:p>
    <w:p w14:paraId="7AF91CC3" w14:textId="77777777" w:rsidR="005B69EE" w:rsidRPr="00374521" w:rsidRDefault="005B69EE" w:rsidP="00374521">
      <w:pPr>
        <w:rPr>
          <w:snapToGrid w:val="0"/>
          <w:color w:val="000000"/>
          <w:sz w:val="22"/>
          <w:szCs w:val="22"/>
        </w:rPr>
      </w:pPr>
    </w:p>
    <w:p w14:paraId="41D16F88" w14:textId="77777777" w:rsidR="005B69EE" w:rsidRPr="00374521" w:rsidRDefault="005B69EE" w:rsidP="00374521">
      <w:pPr>
        <w:rPr>
          <w:sz w:val="22"/>
          <w:szCs w:val="22"/>
          <w:u w:val="single"/>
        </w:rPr>
      </w:pPr>
      <w:r w:rsidRPr="00374521">
        <w:rPr>
          <w:sz w:val="22"/>
          <w:szCs w:val="22"/>
          <w:u w:val="single"/>
        </w:rPr>
        <w:t>Wydalanie</w:t>
      </w:r>
    </w:p>
    <w:p w14:paraId="1AB096A4" w14:textId="77777777" w:rsidR="003015CA" w:rsidRPr="00374521" w:rsidRDefault="003015CA" w:rsidP="00374521">
      <w:pPr>
        <w:rPr>
          <w:sz w:val="22"/>
          <w:szCs w:val="22"/>
          <w:u w:val="single"/>
        </w:rPr>
      </w:pPr>
    </w:p>
    <w:p w14:paraId="038FCA14" w14:textId="77777777" w:rsidR="005B69EE" w:rsidRPr="00374521" w:rsidRDefault="005B69EE" w:rsidP="00374521">
      <w:pPr>
        <w:rPr>
          <w:i/>
          <w:sz w:val="22"/>
          <w:szCs w:val="22"/>
        </w:rPr>
      </w:pPr>
      <w:proofErr w:type="spellStart"/>
      <w:r w:rsidRPr="00374521">
        <w:rPr>
          <w:i/>
          <w:sz w:val="22"/>
          <w:szCs w:val="22"/>
        </w:rPr>
        <w:t>Losartan</w:t>
      </w:r>
      <w:proofErr w:type="spellEnd"/>
    </w:p>
    <w:p w14:paraId="3E481318" w14:textId="77777777" w:rsidR="005B69EE" w:rsidRPr="00374521" w:rsidRDefault="005B69EE" w:rsidP="00374521">
      <w:pPr>
        <w:rPr>
          <w:sz w:val="22"/>
          <w:szCs w:val="22"/>
        </w:rPr>
      </w:pPr>
      <w:proofErr w:type="spellStart"/>
      <w:r w:rsidRPr="00374521">
        <w:rPr>
          <w:sz w:val="22"/>
          <w:szCs w:val="22"/>
        </w:rPr>
        <w:t>Klirensy</w:t>
      </w:r>
      <w:proofErr w:type="spellEnd"/>
      <w:r w:rsidRPr="00374521">
        <w:rPr>
          <w:sz w:val="22"/>
          <w:szCs w:val="22"/>
        </w:rPr>
        <w:t xml:space="preserve"> osoczowe </w:t>
      </w:r>
      <w:proofErr w:type="spellStart"/>
      <w:r w:rsidRPr="00374521">
        <w:rPr>
          <w:sz w:val="22"/>
          <w:szCs w:val="22"/>
        </w:rPr>
        <w:t>losartanu</w:t>
      </w:r>
      <w:proofErr w:type="spellEnd"/>
      <w:r w:rsidRPr="00374521">
        <w:rPr>
          <w:sz w:val="22"/>
          <w:szCs w:val="22"/>
        </w:rPr>
        <w:t xml:space="preserve"> i jego czynnego metabolitu wynoszą odpowiednio około 600 ml/min i 50 ml/min. </w:t>
      </w:r>
      <w:proofErr w:type="spellStart"/>
      <w:r w:rsidRPr="00374521">
        <w:rPr>
          <w:sz w:val="22"/>
          <w:szCs w:val="22"/>
        </w:rPr>
        <w:t>Klirensy</w:t>
      </w:r>
      <w:proofErr w:type="spellEnd"/>
      <w:r w:rsidRPr="00374521">
        <w:rPr>
          <w:sz w:val="22"/>
          <w:szCs w:val="22"/>
        </w:rPr>
        <w:t xml:space="preserve"> nerkowe </w:t>
      </w:r>
      <w:proofErr w:type="spellStart"/>
      <w:r w:rsidRPr="00374521">
        <w:rPr>
          <w:sz w:val="22"/>
          <w:szCs w:val="22"/>
        </w:rPr>
        <w:t>losartanu</w:t>
      </w:r>
      <w:proofErr w:type="spellEnd"/>
      <w:r w:rsidRPr="00374521">
        <w:rPr>
          <w:sz w:val="22"/>
          <w:szCs w:val="22"/>
        </w:rPr>
        <w:t xml:space="preserve"> i jego czynnego metabolitu wynoszą odpowiednio około 74 ml/min i 26 ml/min. Po podaniu doustnym około 4% dawki wydalane jest w postaci niezmienionej z moczem, a około 6% wydalane jest z moczem w postaci czynnego metabolitu. Farmakokinetyka </w:t>
      </w:r>
      <w:proofErr w:type="spellStart"/>
      <w:r w:rsidRPr="00374521">
        <w:rPr>
          <w:sz w:val="22"/>
          <w:szCs w:val="22"/>
        </w:rPr>
        <w:t>losartanu</w:t>
      </w:r>
      <w:proofErr w:type="spellEnd"/>
      <w:r w:rsidRPr="00374521">
        <w:rPr>
          <w:sz w:val="22"/>
          <w:szCs w:val="22"/>
        </w:rPr>
        <w:t xml:space="preserve"> i jego czynnego metabolitu jest liniowa do dawki doustnej 200 mg. </w:t>
      </w:r>
    </w:p>
    <w:p w14:paraId="6E11518A" w14:textId="77777777" w:rsidR="005B69EE" w:rsidRPr="00374521" w:rsidRDefault="005B69EE" w:rsidP="00374521">
      <w:pPr>
        <w:rPr>
          <w:sz w:val="22"/>
          <w:szCs w:val="22"/>
        </w:rPr>
      </w:pPr>
    </w:p>
    <w:p w14:paraId="29720276" w14:textId="77777777" w:rsidR="005B69EE" w:rsidRPr="00374521" w:rsidRDefault="005B69EE" w:rsidP="00374521">
      <w:pPr>
        <w:rPr>
          <w:sz w:val="22"/>
          <w:szCs w:val="22"/>
        </w:rPr>
      </w:pPr>
      <w:r w:rsidRPr="00374521">
        <w:rPr>
          <w:sz w:val="22"/>
          <w:szCs w:val="22"/>
        </w:rPr>
        <w:t xml:space="preserve">Po podaniu doustnym stężenia </w:t>
      </w:r>
      <w:proofErr w:type="spellStart"/>
      <w:r w:rsidRPr="00374521">
        <w:rPr>
          <w:sz w:val="22"/>
          <w:szCs w:val="22"/>
        </w:rPr>
        <w:t>losartanu</w:t>
      </w:r>
      <w:proofErr w:type="spellEnd"/>
      <w:r w:rsidRPr="00374521">
        <w:rPr>
          <w:sz w:val="22"/>
          <w:szCs w:val="22"/>
        </w:rPr>
        <w:t xml:space="preserve"> i jego czynnego metabolitu w osoczu zmniejszają się w sposób wielowykładniczy, a ich okresy półtrwania wynoszą odpowiednio około 2 godzin i 6-9 godzin. Podczas podawania dawki 100 mg raz na dobę ani </w:t>
      </w:r>
      <w:proofErr w:type="spellStart"/>
      <w:r w:rsidRPr="00374521">
        <w:rPr>
          <w:sz w:val="22"/>
          <w:szCs w:val="22"/>
        </w:rPr>
        <w:t>losartan</w:t>
      </w:r>
      <w:proofErr w:type="spellEnd"/>
      <w:r w:rsidRPr="00374521">
        <w:rPr>
          <w:sz w:val="22"/>
          <w:szCs w:val="22"/>
        </w:rPr>
        <w:t xml:space="preserve"> ani jego czynny metabolit nie kumulują się w osoczu.</w:t>
      </w:r>
    </w:p>
    <w:p w14:paraId="15D52EEE" w14:textId="77777777" w:rsidR="005B69EE" w:rsidRPr="00374521" w:rsidRDefault="005B69EE" w:rsidP="00374521">
      <w:pPr>
        <w:rPr>
          <w:sz w:val="22"/>
          <w:szCs w:val="22"/>
        </w:rPr>
      </w:pPr>
    </w:p>
    <w:p w14:paraId="2E760D92" w14:textId="77777777" w:rsidR="005B69EE" w:rsidRPr="00374521" w:rsidRDefault="005B69EE" w:rsidP="00374521">
      <w:pPr>
        <w:rPr>
          <w:snapToGrid w:val="0"/>
          <w:color w:val="000000"/>
          <w:sz w:val="22"/>
          <w:szCs w:val="22"/>
        </w:rPr>
      </w:pPr>
      <w:r w:rsidRPr="00374521">
        <w:rPr>
          <w:sz w:val="22"/>
          <w:szCs w:val="22"/>
        </w:rPr>
        <w:lastRenderedPageBreak/>
        <w:t xml:space="preserve">Wydalanie </w:t>
      </w:r>
      <w:proofErr w:type="spellStart"/>
      <w:r w:rsidRPr="00374521">
        <w:rPr>
          <w:sz w:val="22"/>
          <w:szCs w:val="22"/>
        </w:rPr>
        <w:t>losartanu</w:t>
      </w:r>
      <w:proofErr w:type="spellEnd"/>
      <w:r w:rsidRPr="00374521">
        <w:rPr>
          <w:sz w:val="22"/>
          <w:szCs w:val="22"/>
        </w:rPr>
        <w:t xml:space="preserve"> i jego metabolitów odbywa się z żółcią i z moczem. Po doustnym podaniu </w:t>
      </w:r>
      <w:proofErr w:type="spellStart"/>
      <w:r w:rsidRPr="00374521">
        <w:rPr>
          <w:sz w:val="22"/>
          <w:szCs w:val="22"/>
        </w:rPr>
        <w:t>losartanu</w:t>
      </w:r>
      <w:proofErr w:type="spellEnd"/>
      <w:r w:rsidRPr="00374521">
        <w:rPr>
          <w:sz w:val="22"/>
          <w:szCs w:val="22"/>
        </w:rPr>
        <w:t xml:space="preserve"> znakowanego węglem </w:t>
      </w:r>
      <w:smartTag w:uri="urn:schemas-microsoft-com:office:smarttags" w:element="metricconverter">
        <w:smartTagPr>
          <w:attr w:name="ProductID" w:val="14C"/>
        </w:smartTagPr>
        <w:r w:rsidRPr="00374521">
          <w:rPr>
            <w:sz w:val="22"/>
            <w:szCs w:val="22"/>
            <w:vertAlign w:val="superscript"/>
          </w:rPr>
          <w:t>14</w:t>
        </w:r>
        <w:r w:rsidRPr="00374521">
          <w:rPr>
            <w:sz w:val="22"/>
            <w:szCs w:val="22"/>
          </w:rPr>
          <w:t>C</w:t>
        </w:r>
      </w:smartTag>
      <w:r w:rsidRPr="00374521">
        <w:rPr>
          <w:sz w:val="22"/>
          <w:szCs w:val="22"/>
        </w:rPr>
        <w:t xml:space="preserve"> około 35% aktywności promieniotwórczej stwierdza się w moczu, a 58% w kale</w:t>
      </w:r>
      <w:r w:rsidRPr="00374521">
        <w:rPr>
          <w:snapToGrid w:val="0"/>
          <w:color w:val="000000"/>
          <w:sz w:val="22"/>
          <w:szCs w:val="22"/>
        </w:rPr>
        <w:t>.</w:t>
      </w:r>
    </w:p>
    <w:p w14:paraId="01F35ADB" w14:textId="77777777" w:rsidR="005B69EE" w:rsidRPr="00374521" w:rsidRDefault="005B69EE" w:rsidP="00374521">
      <w:pPr>
        <w:rPr>
          <w:i/>
          <w:iCs/>
          <w:snapToGrid w:val="0"/>
          <w:color w:val="000000"/>
          <w:sz w:val="22"/>
          <w:szCs w:val="22"/>
        </w:rPr>
      </w:pPr>
    </w:p>
    <w:p w14:paraId="6FF13B9A" w14:textId="77777777" w:rsidR="005B69EE" w:rsidRPr="00374521" w:rsidRDefault="005B69EE" w:rsidP="00374521">
      <w:pPr>
        <w:rPr>
          <w:i/>
          <w:iCs/>
          <w:snapToGrid w:val="0"/>
          <w:color w:val="000000"/>
          <w:sz w:val="22"/>
          <w:szCs w:val="22"/>
        </w:rPr>
      </w:pPr>
      <w:proofErr w:type="spellStart"/>
      <w:r w:rsidRPr="00374521">
        <w:rPr>
          <w:i/>
          <w:iCs/>
          <w:snapToGrid w:val="0"/>
          <w:color w:val="000000"/>
          <w:sz w:val="22"/>
          <w:szCs w:val="22"/>
        </w:rPr>
        <w:t>Hydrochlorotiazyd</w:t>
      </w:r>
      <w:proofErr w:type="spellEnd"/>
    </w:p>
    <w:p w14:paraId="14887E0F" w14:textId="77777777" w:rsidR="00CA7302" w:rsidRPr="00374521" w:rsidRDefault="005B69EE" w:rsidP="00374521">
      <w:pPr>
        <w:rPr>
          <w:snapToGrid w:val="0"/>
          <w:color w:val="000000"/>
          <w:sz w:val="22"/>
          <w:szCs w:val="22"/>
        </w:rPr>
      </w:pPr>
      <w:proofErr w:type="spellStart"/>
      <w:r w:rsidRPr="00374521">
        <w:rPr>
          <w:iCs/>
          <w:snapToGrid w:val="0"/>
          <w:color w:val="000000"/>
          <w:sz w:val="22"/>
          <w:szCs w:val="22"/>
        </w:rPr>
        <w:t>H</w:t>
      </w:r>
      <w:r w:rsidRPr="00374521">
        <w:rPr>
          <w:snapToGrid w:val="0"/>
          <w:color w:val="000000"/>
          <w:sz w:val="22"/>
          <w:szCs w:val="22"/>
        </w:rPr>
        <w:t>ydrochlorotiazyd</w:t>
      </w:r>
      <w:proofErr w:type="spellEnd"/>
      <w:r w:rsidRPr="00374521">
        <w:rPr>
          <w:snapToGrid w:val="0"/>
          <w:color w:val="000000"/>
          <w:sz w:val="22"/>
          <w:szCs w:val="22"/>
        </w:rPr>
        <w:t xml:space="preserve"> nie </w:t>
      </w:r>
      <w:r w:rsidR="00D2572A" w:rsidRPr="00374521">
        <w:rPr>
          <w:snapToGrid w:val="0"/>
          <w:color w:val="000000"/>
          <w:sz w:val="22"/>
          <w:szCs w:val="22"/>
        </w:rPr>
        <w:t xml:space="preserve">podlega </w:t>
      </w:r>
      <w:r w:rsidRPr="00374521">
        <w:rPr>
          <w:snapToGrid w:val="0"/>
          <w:color w:val="000000"/>
          <w:sz w:val="22"/>
          <w:szCs w:val="22"/>
        </w:rPr>
        <w:t>metaboliz</w:t>
      </w:r>
      <w:r w:rsidR="00D2572A" w:rsidRPr="00374521">
        <w:rPr>
          <w:snapToGrid w:val="0"/>
          <w:color w:val="000000"/>
          <w:sz w:val="22"/>
          <w:szCs w:val="22"/>
        </w:rPr>
        <w:t>mowi</w:t>
      </w:r>
      <w:r w:rsidRPr="00374521">
        <w:rPr>
          <w:snapToGrid w:val="0"/>
          <w:color w:val="000000"/>
          <w:sz w:val="22"/>
          <w:szCs w:val="22"/>
        </w:rPr>
        <w:t xml:space="preserve">, ale </w:t>
      </w:r>
      <w:r w:rsidR="00D2572A" w:rsidRPr="00374521">
        <w:rPr>
          <w:snapToGrid w:val="0"/>
          <w:color w:val="000000"/>
          <w:sz w:val="22"/>
          <w:szCs w:val="22"/>
        </w:rPr>
        <w:t xml:space="preserve">jest szybko </w:t>
      </w:r>
      <w:r w:rsidRPr="00374521">
        <w:rPr>
          <w:snapToGrid w:val="0"/>
          <w:color w:val="000000"/>
          <w:sz w:val="22"/>
          <w:szCs w:val="22"/>
        </w:rPr>
        <w:t>wydalan</w:t>
      </w:r>
      <w:r w:rsidR="00D2572A" w:rsidRPr="00374521">
        <w:rPr>
          <w:snapToGrid w:val="0"/>
          <w:color w:val="000000"/>
          <w:sz w:val="22"/>
          <w:szCs w:val="22"/>
        </w:rPr>
        <w:t>y</w:t>
      </w:r>
      <w:r w:rsidRPr="00374521">
        <w:rPr>
          <w:snapToGrid w:val="0"/>
          <w:color w:val="000000"/>
          <w:sz w:val="22"/>
          <w:szCs w:val="22"/>
        </w:rPr>
        <w:t xml:space="preserve"> przez nerki. </w:t>
      </w:r>
    </w:p>
    <w:p w14:paraId="5358BA46" w14:textId="77777777" w:rsidR="005B69EE" w:rsidRPr="00374521" w:rsidRDefault="005B69EE" w:rsidP="00374521">
      <w:pPr>
        <w:rPr>
          <w:snapToGrid w:val="0"/>
          <w:color w:val="000000"/>
          <w:sz w:val="22"/>
          <w:szCs w:val="22"/>
        </w:rPr>
      </w:pPr>
      <w:r w:rsidRPr="00374521">
        <w:rPr>
          <w:snapToGrid w:val="0"/>
          <w:color w:val="000000"/>
          <w:sz w:val="22"/>
          <w:szCs w:val="22"/>
        </w:rPr>
        <w:t xml:space="preserve">W 24-godzinnym badaniu stężenia w surowicy stwierdzono, że </w:t>
      </w:r>
      <w:r w:rsidR="00D2572A" w:rsidRPr="00374521">
        <w:rPr>
          <w:snapToGrid w:val="0"/>
          <w:color w:val="000000"/>
          <w:sz w:val="22"/>
          <w:szCs w:val="22"/>
        </w:rPr>
        <w:t>okres półtrwania w osoczu</w:t>
      </w:r>
      <w:r w:rsidRPr="00374521">
        <w:rPr>
          <w:snapToGrid w:val="0"/>
          <w:color w:val="000000"/>
          <w:sz w:val="22"/>
          <w:szCs w:val="22"/>
        </w:rPr>
        <w:t xml:space="preserve"> wynosi od 5,6 do 14,8 godzin</w:t>
      </w:r>
      <w:r w:rsidR="00D2572A" w:rsidRPr="00374521">
        <w:rPr>
          <w:snapToGrid w:val="0"/>
          <w:color w:val="000000"/>
          <w:sz w:val="22"/>
          <w:szCs w:val="22"/>
        </w:rPr>
        <w:t>y</w:t>
      </w:r>
      <w:r w:rsidRPr="00374521">
        <w:rPr>
          <w:snapToGrid w:val="0"/>
          <w:color w:val="000000"/>
          <w:sz w:val="22"/>
          <w:szCs w:val="22"/>
        </w:rPr>
        <w:t>. Co najmniej 61% dawki podanej doustnie jest wydalane w postaci niezmienionej</w:t>
      </w:r>
      <w:r w:rsidR="00D2572A" w:rsidRPr="00374521">
        <w:rPr>
          <w:snapToGrid w:val="0"/>
          <w:color w:val="000000"/>
          <w:sz w:val="22"/>
          <w:szCs w:val="22"/>
        </w:rPr>
        <w:t xml:space="preserve"> w ciągu 24 godzin</w:t>
      </w:r>
      <w:r w:rsidR="00CA7302" w:rsidRPr="00374521">
        <w:rPr>
          <w:snapToGrid w:val="0"/>
          <w:color w:val="000000"/>
          <w:sz w:val="22"/>
          <w:szCs w:val="22"/>
        </w:rPr>
        <w:t>.</w:t>
      </w:r>
    </w:p>
    <w:p w14:paraId="0DEEEB72" w14:textId="77777777" w:rsidR="00CA7302" w:rsidRPr="00374521" w:rsidRDefault="00CA7302" w:rsidP="00374521">
      <w:pPr>
        <w:rPr>
          <w:snapToGrid w:val="0"/>
          <w:color w:val="000000"/>
          <w:sz w:val="22"/>
          <w:szCs w:val="22"/>
        </w:rPr>
      </w:pPr>
    </w:p>
    <w:p w14:paraId="21CB29FD" w14:textId="77777777" w:rsidR="005B69EE" w:rsidRPr="00374521" w:rsidRDefault="005B69EE" w:rsidP="00374521">
      <w:pPr>
        <w:rPr>
          <w:sz w:val="22"/>
          <w:szCs w:val="22"/>
          <w:u w:val="single"/>
        </w:rPr>
      </w:pPr>
      <w:r w:rsidRPr="00374521">
        <w:rPr>
          <w:sz w:val="22"/>
          <w:szCs w:val="22"/>
          <w:u w:val="single"/>
        </w:rPr>
        <w:t>Charakterystyka w różnych grupach pacjentów</w:t>
      </w:r>
    </w:p>
    <w:p w14:paraId="0A16A3E2" w14:textId="77777777" w:rsidR="00D2572A" w:rsidRPr="00374521" w:rsidRDefault="00D2572A" w:rsidP="00374521">
      <w:pPr>
        <w:rPr>
          <w:sz w:val="22"/>
          <w:szCs w:val="22"/>
          <w:u w:val="single"/>
        </w:rPr>
      </w:pPr>
    </w:p>
    <w:p w14:paraId="2199C7D5" w14:textId="77777777" w:rsidR="005B69EE" w:rsidRPr="00374521" w:rsidRDefault="005B69EE" w:rsidP="00374521">
      <w:pPr>
        <w:rPr>
          <w:i/>
          <w:iCs/>
          <w:snapToGrid w:val="0"/>
          <w:color w:val="000000"/>
          <w:sz w:val="22"/>
          <w:szCs w:val="22"/>
        </w:rPr>
      </w:pPr>
      <w:proofErr w:type="spellStart"/>
      <w:r w:rsidRPr="00374521">
        <w:rPr>
          <w:i/>
          <w:iCs/>
          <w:snapToGrid w:val="0"/>
          <w:color w:val="000000"/>
          <w:sz w:val="22"/>
          <w:szCs w:val="22"/>
        </w:rPr>
        <w:t>Losartan-Hydrochlorotiazyd</w:t>
      </w:r>
      <w:proofErr w:type="spellEnd"/>
    </w:p>
    <w:p w14:paraId="2393E8BC" w14:textId="77777777" w:rsidR="005B69EE" w:rsidRPr="00374521" w:rsidRDefault="005B69EE" w:rsidP="00374521">
      <w:pPr>
        <w:rPr>
          <w:snapToGrid w:val="0"/>
          <w:color w:val="000000"/>
          <w:sz w:val="22"/>
          <w:szCs w:val="22"/>
        </w:rPr>
      </w:pPr>
      <w:r w:rsidRPr="00374521">
        <w:rPr>
          <w:snapToGrid w:val="0"/>
          <w:color w:val="000000"/>
          <w:sz w:val="22"/>
          <w:szCs w:val="22"/>
        </w:rPr>
        <w:t xml:space="preserve">Stężenie </w:t>
      </w:r>
      <w:proofErr w:type="spellStart"/>
      <w:r w:rsidRPr="00374521">
        <w:rPr>
          <w:snapToGrid w:val="0"/>
          <w:color w:val="000000"/>
          <w:sz w:val="22"/>
          <w:szCs w:val="22"/>
        </w:rPr>
        <w:t>losartanu</w:t>
      </w:r>
      <w:proofErr w:type="spellEnd"/>
      <w:r w:rsidRPr="00374521">
        <w:rPr>
          <w:snapToGrid w:val="0"/>
          <w:color w:val="000000"/>
          <w:sz w:val="22"/>
          <w:szCs w:val="22"/>
        </w:rPr>
        <w:t xml:space="preserve"> i jego czynnego metabolitu w </w:t>
      </w:r>
      <w:r w:rsidR="00D2572A" w:rsidRPr="00374521">
        <w:rPr>
          <w:snapToGrid w:val="0"/>
          <w:color w:val="000000"/>
          <w:sz w:val="22"/>
          <w:szCs w:val="22"/>
        </w:rPr>
        <w:t>osoczu</w:t>
      </w:r>
      <w:r w:rsidRPr="00374521">
        <w:rPr>
          <w:snapToGrid w:val="0"/>
          <w:color w:val="000000"/>
          <w:sz w:val="22"/>
          <w:szCs w:val="22"/>
        </w:rPr>
        <w:t xml:space="preserve">, jak również </w:t>
      </w:r>
      <w:r w:rsidR="00D2572A" w:rsidRPr="00374521">
        <w:rPr>
          <w:snapToGrid w:val="0"/>
          <w:color w:val="000000"/>
          <w:sz w:val="22"/>
          <w:szCs w:val="22"/>
        </w:rPr>
        <w:t xml:space="preserve">wchłanianie </w:t>
      </w:r>
      <w:proofErr w:type="spellStart"/>
      <w:r w:rsidRPr="00374521">
        <w:rPr>
          <w:snapToGrid w:val="0"/>
          <w:color w:val="000000"/>
          <w:sz w:val="22"/>
          <w:szCs w:val="22"/>
        </w:rPr>
        <w:t>hydrochlorotiazydu</w:t>
      </w:r>
      <w:proofErr w:type="spellEnd"/>
      <w:r w:rsidRPr="00374521">
        <w:rPr>
          <w:snapToGrid w:val="0"/>
          <w:color w:val="000000"/>
          <w:sz w:val="22"/>
          <w:szCs w:val="22"/>
        </w:rPr>
        <w:t xml:space="preserve"> u pacjentów w podeszłym wieku z nadciśnieniem nie różnią się znacząco od wartości </w:t>
      </w:r>
      <w:r w:rsidR="00D2572A" w:rsidRPr="00374521">
        <w:rPr>
          <w:snapToGrid w:val="0"/>
          <w:color w:val="000000"/>
          <w:sz w:val="22"/>
          <w:szCs w:val="22"/>
        </w:rPr>
        <w:t xml:space="preserve">stwierdzanych </w:t>
      </w:r>
      <w:r w:rsidRPr="00374521">
        <w:rPr>
          <w:snapToGrid w:val="0"/>
          <w:color w:val="000000"/>
          <w:sz w:val="22"/>
          <w:szCs w:val="22"/>
        </w:rPr>
        <w:t xml:space="preserve">u młodszych pacjentów z nadciśnieniem. </w:t>
      </w:r>
    </w:p>
    <w:p w14:paraId="7C542A2B" w14:textId="77777777" w:rsidR="005B69EE" w:rsidRPr="00374521" w:rsidRDefault="005B69EE" w:rsidP="00374521">
      <w:pPr>
        <w:rPr>
          <w:sz w:val="22"/>
          <w:szCs w:val="22"/>
        </w:rPr>
      </w:pPr>
    </w:p>
    <w:p w14:paraId="43E2A477" w14:textId="77777777" w:rsidR="005B69EE" w:rsidRPr="00374521" w:rsidRDefault="005B69EE" w:rsidP="00374521">
      <w:pPr>
        <w:rPr>
          <w:i/>
          <w:sz w:val="22"/>
          <w:szCs w:val="22"/>
        </w:rPr>
      </w:pPr>
      <w:proofErr w:type="spellStart"/>
      <w:r w:rsidRPr="00374521">
        <w:rPr>
          <w:i/>
          <w:sz w:val="22"/>
          <w:szCs w:val="22"/>
        </w:rPr>
        <w:t>Losartan</w:t>
      </w:r>
      <w:proofErr w:type="spellEnd"/>
    </w:p>
    <w:p w14:paraId="68CC31FC" w14:textId="77777777" w:rsidR="005B69EE" w:rsidRPr="00374521" w:rsidRDefault="005B69EE" w:rsidP="00374521">
      <w:pPr>
        <w:rPr>
          <w:sz w:val="22"/>
          <w:szCs w:val="22"/>
        </w:rPr>
      </w:pPr>
      <w:r w:rsidRPr="00374521">
        <w:rPr>
          <w:sz w:val="22"/>
          <w:szCs w:val="22"/>
        </w:rPr>
        <w:t xml:space="preserve">Po podaniu doustnym pacjentom z </w:t>
      </w:r>
      <w:r w:rsidR="00D2572A" w:rsidRPr="00374521">
        <w:rPr>
          <w:sz w:val="22"/>
          <w:szCs w:val="22"/>
        </w:rPr>
        <w:t>łagodną do umiarkowanej</w:t>
      </w:r>
      <w:r w:rsidRPr="00374521">
        <w:rPr>
          <w:sz w:val="22"/>
          <w:szCs w:val="22"/>
        </w:rPr>
        <w:t xml:space="preserve"> poalkoholową marskością wątroby, stężenia </w:t>
      </w:r>
      <w:proofErr w:type="spellStart"/>
      <w:r w:rsidRPr="00374521">
        <w:rPr>
          <w:sz w:val="22"/>
          <w:szCs w:val="22"/>
        </w:rPr>
        <w:t>losartanu</w:t>
      </w:r>
      <w:proofErr w:type="spellEnd"/>
      <w:r w:rsidRPr="00374521">
        <w:rPr>
          <w:sz w:val="22"/>
          <w:szCs w:val="22"/>
        </w:rPr>
        <w:t xml:space="preserve"> i jego czynnego metabolitu w osoczu były odpowiednio 5 i 1,7 </w:t>
      </w:r>
      <w:proofErr w:type="spellStart"/>
      <w:r w:rsidRPr="00374521">
        <w:rPr>
          <w:sz w:val="22"/>
          <w:szCs w:val="22"/>
        </w:rPr>
        <w:t>raz</w:t>
      </w:r>
      <w:r w:rsidR="00D2572A" w:rsidRPr="00374521">
        <w:rPr>
          <w:sz w:val="22"/>
          <w:szCs w:val="22"/>
        </w:rPr>
        <w:t>a</w:t>
      </w:r>
      <w:proofErr w:type="spellEnd"/>
      <w:r w:rsidRPr="00374521">
        <w:rPr>
          <w:sz w:val="22"/>
          <w:szCs w:val="22"/>
        </w:rPr>
        <w:t xml:space="preserve"> większe niż stężenia u młodych ochotników płci męskiej.</w:t>
      </w:r>
    </w:p>
    <w:p w14:paraId="7CA678B2" w14:textId="77777777" w:rsidR="005B69EE" w:rsidRPr="00374521" w:rsidRDefault="005B69EE" w:rsidP="00374521">
      <w:pPr>
        <w:rPr>
          <w:sz w:val="22"/>
          <w:szCs w:val="22"/>
        </w:rPr>
      </w:pPr>
    </w:p>
    <w:p w14:paraId="197130F0" w14:textId="77777777" w:rsidR="005B69EE" w:rsidRPr="00374521" w:rsidRDefault="00D2572A" w:rsidP="00374521">
      <w:pPr>
        <w:rPr>
          <w:sz w:val="22"/>
          <w:szCs w:val="22"/>
        </w:rPr>
      </w:pPr>
      <w:r w:rsidRPr="00374521">
        <w:rPr>
          <w:sz w:val="22"/>
          <w:szCs w:val="22"/>
        </w:rPr>
        <w:t xml:space="preserve">Ani </w:t>
      </w:r>
      <w:proofErr w:type="spellStart"/>
      <w:r w:rsidRPr="00374521">
        <w:rPr>
          <w:sz w:val="22"/>
          <w:szCs w:val="22"/>
        </w:rPr>
        <w:t>l</w:t>
      </w:r>
      <w:r w:rsidR="005B69EE" w:rsidRPr="00374521">
        <w:rPr>
          <w:sz w:val="22"/>
          <w:szCs w:val="22"/>
        </w:rPr>
        <w:t>osartan</w:t>
      </w:r>
      <w:r w:rsidR="00CA7302" w:rsidRPr="00374521">
        <w:rPr>
          <w:sz w:val="22"/>
          <w:szCs w:val="22"/>
        </w:rPr>
        <w:t>u</w:t>
      </w:r>
      <w:proofErr w:type="spellEnd"/>
      <w:r w:rsidRPr="00374521">
        <w:rPr>
          <w:sz w:val="22"/>
          <w:szCs w:val="22"/>
        </w:rPr>
        <w:t>, ani</w:t>
      </w:r>
      <w:r w:rsidR="005B69EE" w:rsidRPr="00374521">
        <w:rPr>
          <w:sz w:val="22"/>
          <w:szCs w:val="22"/>
        </w:rPr>
        <w:t xml:space="preserve"> jego czynn</w:t>
      </w:r>
      <w:r w:rsidR="006453ED" w:rsidRPr="00374521">
        <w:rPr>
          <w:sz w:val="22"/>
          <w:szCs w:val="22"/>
        </w:rPr>
        <w:t>ego</w:t>
      </w:r>
      <w:r w:rsidR="005B69EE" w:rsidRPr="00374521">
        <w:rPr>
          <w:sz w:val="22"/>
          <w:szCs w:val="22"/>
        </w:rPr>
        <w:t xml:space="preserve"> metabolit</w:t>
      </w:r>
      <w:r w:rsidR="00CA7302" w:rsidRPr="00374521">
        <w:rPr>
          <w:sz w:val="22"/>
          <w:szCs w:val="22"/>
        </w:rPr>
        <w:t>u nie można</w:t>
      </w:r>
      <w:r w:rsidR="005B69EE" w:rsidRPr="00374521">
        <w:rPr>
          <w:sz w:val="22"/>
          <w:szCs w:val="22"/>
        </w:rPr>
        <w:t xml:space="preserve"> usun</w:t>
      </w:r>
      <w:r w:rsidR="00CA7302" w:rsidRPr="00374521">
        <w:rPr>
          <w:sz w:val="22"/>
          <w:szCs w:val="22"/>
        </w:rPr>
        <w:t>ąć z organizmu</w:t>
      </w:r>
      <w:r w:rsidR="005B69EE" w:rsidRPr="00374521">
        <w:rPr>
          <w:sz w:val="22"/>
          <w:szCs w:val="22"/>
        </w:rPr>
        <w:t xml:space="preserve"> za pomocą hemodializy. </w:t>
      </w:r>
    </w:p>
    <w:p w14:paraId="266F2CCC" w14:textId="77777777" w:rsidR="0074625D" w:rsidRPr="00374521" w:rsidRDefault="0074625D" w:rsidP="00374521">
      <w:pPr>
        <w:pStyle w:val="Tekstpodstawowywcity"/>
        <w:tabs>
          <w:tab w:val="left" w:pos="5245"/>
        </w:tabs>
        <w:ind w:left="0"/>
        <w:rPr>
          <w:i/>
          <w:iCs/>
          <w:snapToGrid w:val="0"/>
          <w:color w:val="000000"/>
          <w:sz w:val="22"/>
          <w:szCs w:val="22"/>
        </w:rPr>
      </w:pPr>
    </w:p>
    <w:p w14:paraId="12165E23" w14:textId="77777777" w:rsidR="005B69EE" w:rsidRPr="00374521" w:rsidRDefault="00E33426" w:rsidP="00374521">
      <w:pPr>
        <w:tabs>
          <w:tab w:val="left" w:pos="540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374521">
        <w:rPr>
          <w:b/>
          <w:sz w:val="22"/>
          <w:szCs w:val="22"/>
        </w:rPr>
        <w:t>5.3</w:t>
      </w:r>
      <w:r w:rsidRPr="00374521">
        <w:rPr>
          <w:b/>
          <w:sz w:val="22"/>
          <w:szCs w:val="22"/>
        </w:rPr>
        <w:tab/>
      </w:r>
      <w:r w:rsidR="005B69EE" w:rsidRPr="00374521">
        <w:rPr>
          <w:b/>
          <w:sz w:val="22"/>
          <w:szCs w:val="22"/>
        </w:rPr>
        <w:t>Przedkliniczne dane o bezpieczeństwie</w:t>
      </w:r>
    </w:p>
    <w:p w14:paraId="7F2617E3" w14:textId="77777777" w:rsidR="005B69EE" w:rsidRPr="00374521" w:rsidRDefault="005B69EE" w:rsidP="00374521">
      <w:pPr>
        <w:rPr>
          <w:color w:val="000000"/>
          <w:sz w:val="22"/>
          <w:szCs w:val="22"/>
        </w:rPr>
      </w:pPr>
    </w:p>
    <w:p w14:paraId="736F61FD" w14:textId="77777777" w:rsidR="005B69EE" w:rsidRPr="00374521" w:rsidRDefault="005B69EE" w:rsidP="00374521">
      <w:pPr>
        <w:rPr>
          <w:color w:val="000000"/>
          <w:sz w:val="22"/>
          <w:szCs w:val="22"/>
        </w:rPr>
      </w:pPr>
      <w:r w:rsidRPr="00374521">
        <w:rPr>
          <w:color w:val="000000"/>
          <w:sz w:val="22"/>
          <w:szCs w:val="22"/>
        </w:rPr>
        <w:t xml:space="preserve">Dane przedkliniczne uzyskane w </w:t>
      </w:r>
      <w:r w:rsidR="00D2572A" w:rsidRPr="00374521">
        <w:rPr>
          <w:color w:val="000000"/>
          <w:sz w:val="22"/>
          <w:szCs w:val="22"/>
        </w:rPr>
        <w:t xml:space="preserve">standardowych </w:t>
      </w:r>
      <w:r w:rsidRPr="00374521">
        <w:rPr>
          <w:color w:val="000000"/>
          <w:sz w:val="22"/>
          <w:szCs w:val="22"/>
        </w:rPr>
        <w:t>badaniach farmakologicznych</w:t>
      </w:r>
      <w:r w:rsidR="00F20099" w:rsidRPr="00374521">
        <w:rPr>
          <w:color w:val="000000"/>
          <w:sz w:val="22"/>
          <w:szCs w:val="22"/>
        </w:rPr>
        <w:t xml:space="preserve">, badaniach </w:t>
      </w:r>
      <w:proofErr w:type="spellStart"/>
      <w:r w:rsidRPr="00374521">
        <w:rPr>
          <w:color w:val="000000"/>
          <w:sz w:val="22"/>
          <w:szCs w:val="22"/>
        </w:rPr>
        <w:t>genotoksyczności</w:t>
      </w:r>
      <w:proofErr w:type="spellEnd"/>
      <w:r w:rsidR="00D2572A" w:rsidRPr="00374521">
        <w:rPr>
          <w:color w:val="000000"/>
          <w:sz w:val="22"/>
          <w:szCs w:val="22"/>
        </w:rPr>
        <w:t xml:space="preserve"> i</w:t>
      </w:r>
      <w:r w:rsidRPr="00374521">
        <w:rPr>
          <w:color w:val="000000"/>
          <w:sz w:val="22"/>
          <w:szCs w:val="22"/>
        </w:rPr>
        <w:t xml:space="preserve"> </w:t>
      </w:r>
      <w:r w:rsidR="004F3F95" w:rsidRPr="00374521">
        <w:rPr>
          <w:color w:val="000000"/>
          <w:sz w:val="22"/>
          <w:szCs w:val="22"/>
        </w:rPr>
        <w:t xml:space="preserve">badaniach </w:t>
      </w:r>
      <w:r w:rsidRPr="00374521">
        <w:rPr>
          <w:color w:val="000000"/>
          <w:sz w:val="22"/>
          <w:szCs w:val="22"/>
        </w:rPr>
        <w:t>potencjalne</w:t>
      </w:r>
      <w:r w:rsidR="00D2572A" w:rsidRPr="00374521">
        <w:rPr>
          <w:color w:val="000000"/>
          <w:sz w:val="22"/>
          <w:szCs w:val="22"/>
        </w:rPr>
        <w:t>go działania rakotwórczego</w:t>
      </w:r>
      <w:r w:rsidRPr="00374521">
        <w:rPr>
          <w:color w:val="000000"/>
          <w:sz w:val="22"/>
          <w:szCs w:val="22"/>
        </w:rPr>
        <w:t xml:space="preserve"> nie wykazały szczególnego zagrożenia dla ludzi. </w:t>
      </w:r>
    </w:p>
    <w:p w14:paraId="130F10F0" w14:textId="77777777" w:rsidR="00556DD0" w:rsidRPr="00374521" w:rsidRDefault="005B69EE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color w:val="000000"/>
          <w:sz w:val="22"/>
          <w:szCs w:val="22"/>
        </w:rPr>
        <w:t xml:space="preserve">Potencjalne działanie toksyczne </w:t>
      </w:r>
      <w:r w:rsidR="004F3F95" w:rsidRPr="00374521">
        <w:rPr>
          <w:color w:val="000000"/>
          <w:sz w:val="22"/>
          <w:szCs w:val="22"/>
        </w:rPr>
        <w:t xml:space="preserve">dawki złożonej </w:t>
      </w:r>
      <w:proofErr w:type="spellStart"/>
      <w:r w:rsidRPr="00374521">
        <w:rPr>
          <w:color w:val="000000"/>
          <w:sz w:val="22"/>
          <w:szCs w:val="22"/>
        </w:rPr>
        <w:t>losartanu</w:t>
      </w:r>
      <w:proofErr w:type="spellEnd"/>
      <w:r w:rsidRPr="00374521">
        <w:rPr>
          <w:color w:val="000000"/>
          <w:sz w:val="22"/>
          <w:szCs w:val="22"/>
        </w:rPr>
        <w:t xml:space="preserve"> </w:t>
      </w:r>
      <w:r w:rsidR="004F3F95" w:rsidRPr="00374521">
        <w:rPr>
          <w:color w:val="000000"/>
          <w:sz w:val="22"/>
          <w:szCs w:val="22"/>
        </w:rPr>
        <w:t xml:space="preserve">i </w:t>
      </w:r>
      <w:proofErr w:type="spellStart"/>
      <w:r w:rsidR="004F3F95" w:rsidRPr="00374521">
        <w:rPr>
          <w:color w:val="000000"/>
          <w:sz w:val="22"/>
          <w:szCs w:val="22"/>
        </w:rPr>
        <w:t>hydrochlorotiazydu</w:t>
      </w:r>
      <w:proofErr w:type="spellEnd"/>
      <w:r w:rsidR="004F3F95" w:rsidRPr="00374521">
        <w:rPr>
          <w:color w:val="000000"/>
          <w:sz w:val="22"/>
          <w:szCs w:val="22"/>
        </w:rPr>
        <w:t xml:space="preserve"> </w:t>
      </w:r>
      <w:r w:rsidRPr="00374521">
        <w:rPr>
          <w:color w:val="000000"/>
          <w:sz w:val="22"/>
          <w:szCs w:val="22"/>
        </w:rPr>
        <w:t xml:space="preserve">oceniano </w:t>
      </w:r>
      <w:r w:rsidR="004F3F95" w:rsidRPr="00374521">
        <w:rPr>
          <w:color w:val="000000"/>
          <w:sz w:val="22"/>
          <w:szCs w:val="22"/>
        </w:rPr>
        <w:t xml:space="preserve">w badaniach toksyczności przewlekłej po podaniu doustnym trwających do 6 miesięcy u szczurów i psów, i stwierdzono, że obserwowane zmiany są spowodowane przede wszystkim przez </w:t>
      </w:r>
      <w:proofErr w:type="spellStart"/>
      <w:r w:rsidR="004F3F95" w:rsidRPr="00374521">
        <w:rPr>
          <w:color w:val="000000"/>
          <w:sz w:val="22"/>
          <w:szCs w:val="22"/>
        </w:rPr>
        <w:t>losartan</w:t>
      </w:r>
      <w:proofErr w:type="spellEnd"/>
      <w:r w:rsidR="004F3F95" w:rsidRPr="00374521">
        <w:rPr>
          <w:color w:val="000000"/>
          <w:sz w:val="22"/>
          <w:szCs w:val="22"/>
        </w:rPr>
        <w:t xml:space="preserve">. Podawanie dawki złożonej </w:t>
      </w:r>
      <w:proofErr w:type="spellStart"/>
      <w:r w:rsidR="004F3F95" w:rsidRPr="00374521">
        <w:rPr>
          <w:color w:val="000000"/>
          <w:sz w:val="22"/>
          <w:szCs w:val="22"/>
        </w:rPr>
        <w:t>losartanu</w:t>
      </w:r>
      <w:proofErr w:type="spellEnd"/>
      <w:r w:rsidR="004F3F95" w:rsidRPr="00374521">
        <w:rPr>
          <w:color w:val="000000"/>
          <w:sz w:val="22"/>
          <w:szCs w:val="22"/>
        </w:rPr>
        <w:t xml:space="preserve"> i </w:t>
      </w:r>
      <w:proofErr w:type="spellStart"/>
      <w:r w:rsidR="004F3F95" w:rsidRPr="00374521">
        <w:rPr>
          <w:color w:val="000000"/>
          <w:sz w:val="22"/>
          <w:szCs w:val="22"/>
        </w:rPr>
        <w:t>hydrochlorotiazydu</w:t>
      </w:r>
      <w:proofErr w:type="spellEnd"/>
      <w:r w:rsidR="004F3F95" w:rsidRPr="00374521">
        <w:rPr>
          <w:color w:val="000000"/>
          <w:sz w:val="22"/>
          <w:szCs w:val="22"/>
        </w:rPr>
        <w:t xml:space="preserve"> powoduje zmniejszenie wartości parametrów czerwonokrwinkowych </w:t>
      </w:r>
      <w:r w:rsidR="00C70982" w:rsidRPr="00374521">
        <w:rPr>
          <w:color w:val="000000"/>
          <w:sz w:val="22"/>
          <w:szCs w:val="22"/>
        </w:rPr>
        <w:t xml:space="preserve">(erytrocyty, hemoglobina, hematokryt), zwiększenie stężenia azotu mocznikowego w surowicy, zmniejszenie masy serca (bez zmian histologicznych) i zmiany w obrębie przewodu pokarmowego (uszkodzenia błony śluzowej, owrzodzenia, nadżerki, krwotoki). Nie stwierdzono działania teratogennego u szczurów lub królików, którym podawano dawkę złożoną </w:t>
      </w:r>
      <w:proofErr w:type="spellStart"/>
      <w:r w:rsidR="00C70982" w:rsidRPr="00374521">
        <w:rPr>
          <w:color w:val="000000"/>
          <w:sz w:val="22"/>
          <w:szCs w:val="22"/>
        </w:rPr>
        <w:t>losartanu</w:t>
      </w:r>
      <w:proofErr w:type="spellEnd"/>
      <w:r w:rsidR="00C70982" w:rsidRPr="00374521">
        <w:rPr>
          <w:color w:val="000000"/>
          <w:sz w:val="22"/>
          <w:szCs w:val="22"/>
        </w:rPr>
        <w:t xml:space="preserve"> i </w:t>
      </w:r>
      <w:proofErr w:type="spellStart"/>
      <w:r w:rsidR="00C70982" w:rsidRPr="00374521">
        <w:rPr>
          <w:color w:val="000000"/>
          <w:sz w:val="22"/>
          <w:szCs w:val="22"/>
        </w:rPr>
        <w:t>hydrochlorotiazydu</w:t>
      </w:r>
      <w:proofErr w:type="spellEnd"/>
      <w:r w:rsidR="00C70982" w:rsidRPr="00374521">
        <w:rPr>
          <w:snapToGrid w:val="0"/>
          <w:color w:val="000000"/>
          <w:sz w:val="22"/>
          <w:szCs w:val="22"/>
        </w:rPr>
        <w:t xml:space="preserve">. Obserwowano toksyczne działanie na płód u szczurów, przejawiające się niewielkim zwiększeniem </w:t>
      </w:r>
      <w:r w:rsidR="007646ED" w:rsidRPr="00374521">
        <w:rPr>
          <w:snapToGrid w:val="0"/>
          <w:color w:val="000000"/>
          <w:sz w:val="22"/>
          <w:szCs w:val="22"/>
        </w:rPr>
        <w:t>ilości nadliczbowych żeber w pokoleniu F</w:t>
      </w:r>
      <w:r w:rsidR="007646ED" w:rsidRPr="00374521">
        <w:rPr>
          <w:snapToGrid w:val="0"/>
          <w:color w:val="000000"/>
          <w:sz w:val="22"/>
          <w:szCs w:val="22"/>
          <w:vertAlign w:val="subscript"/>
        </w:rPr>
        <w:t>1</w:t>
      </w:r>
      <w:r w:rsidR="007646ED" w:rsidRPr="00374521">
        <w:rPr>
          <w:snapToGrid w:val="0"/>
          <w:color w:val="000000"/>
          <w:sz w:val="22"/>
          <w:szCs w:val="22"/>
        </w:rPr>
        <w:t xml:space="preserve">, jeżeli matki otrzymywały preparat przed i podczas całej ciąży. Podobnie jak obserwowano w badaniach dotyczących samego </w:t>
      </w:r>
      <w:proofErr w:type="spellStart"/>
      <w:r w:rsidR="007646ED" w:rsidRPr="00374521">
        <w:rPr>
          <w:snapToGrid w:val="0"/>
          <w:color w:val="000000"/>
          <w:sz w:val="22"/>
          <w:szCs w:val="22"/>
        </w:rPr>
        <w:t>losartanu</w:t>
      </w:r>
      <w:proofErr w:type="spellEnd"/>
      <w:r w:rsidR="007646ED" w:rsidRPr="00374521">
        <w:rPr>
          <w:snapToGrid w:val="0"/>
          <w:color w:val="000000"/>
          <w:sz w:val="22"/>
          <w:szCs w:val="22"/>
        </w:rPr>
        <w:t>, wystąpiły działania niepożądane u płodów i noworodków, w tym toksyczne działanie na nerki i obumarcie płodów w p</w:t>
      </w:r>
      <w:r w:rsidR="00986DF4" w:rsidRPr="00374521">
        <w:rPr>
          <w:snapToGrid w:val="0"/>
          <w:color w:val="000000"/>
          <w:sz w:val="22"/>
          <w:szCs w:val="22"/>
        </w:rPr>
        <w:t>r</w:t>
      </w:r>
      <w:r w:rsidR="007646ED" w:rsidRPr="00374521">
        <w:rPr>
          <w:snapToGrid w:val="0"/>
          <w:color w:val="000000"/>
          <w:sz w:val="22"/>
          <w:szCs w:val="22"/>
        </w:rPr>
        <w:t xml:space="preserve">zypadku podawania </w:t>
      </w:r>
      <w:r w:rsidR="007646ED" w:rsidRPr="00374521">
        <w:rPr>
          <w:color w:val="000000"/>
          <w:sz w:val="22"/>
          <w:szCs w:val="22"/>
        </w:rPr>
        <w:t xml:space="preserve">dawki złożonej </w:t>
      </w:r>
      <w:proofErr w:type="spellStart"/>
      <w:r w:rsidR="007646ED" w:rsidRPr="00374521">
        <w:rPr>
          <w:color w:val="000000"/>
          <w:sz w:val="22"/>
          <w:szCs w:val="22"/>
        </w:rPr>
        <w:t>losartanu</w:t>
      </w:r>
      <w:proofErr w:type="spellEnd"/>
      <w:r w:rsidR="007646ED" w:rsidRPr="00374521">
        <w:rPr>
          <w:color w:val="000000"/>
          <w:sz w:val="22"/>
          <w:szCs w:val="22"/>
        </w:rPr>
        <w:t xml:space="preserve"> i </w:t>
      </w:r>
      <w:proofErr w:type="spellStart"/>
      <w:r w:rsidR="007646ED" w:rsidRPr="00374521">
        <w:rPr>
          <w:color w:val="000000"/>
          <w:sz w:val="22"/>
          <w:szCs w:val="22"/>
        </w:rPr>
        <w:t>hydrochlorotiazydu</w:t>
      </w:r>
      <w:proofErr w:type="spellEnd"/>
      <w:r w:rsidR="007646ED" w:rsidRPr="00374521">
        <w:rPr>
          <w:color w:val="000000"/>
          <w:sz w:val="22"/>
          <w:szCs w:val="22"/>
        </w:rPr>
        <w:t xml:space="preserve"> ciężarnym samicom szczura w późnym okresie ciąży i (lub) podczas laktacji.</w:t>
      </w:r>
    </w:p>
    <w:p w14:paraId="44097B90" w14:textId="77777777" w:rsidR="00556DD0" w:rsidRPr="00374521" w:rsidRDefault="00556DD0" w:rsidP="00374521">
      <w:pPr>
        <w:rPr>
          <w:sz w:val="22"/>
          <w:szCs w:val="22"/>
        </w:rPr>
      </w:pPr>
    </w:p>
    <w:p w14:paraId="3AD61BE1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42F8550A" w14:textId="77777777" w:rsidR="00556DD0" w:rsidRPr="00374521" w:rsidRDefault="00556DD0" w:rsidP="00374521">
      <w:pPr>
        <w:numPr>
          <w:ilvl w:val="0"/>
          <w:numId w:val="26"/>
        </w:numPr>
        <w:tabs>
          <w:tab w:val="clear" w:pos="720"/>
          <w:tab w:val="num" w:pos="540"/>
        </w:tabs>
        <w:ind w:left="540" w:hanging="540"/>
        <w:rPr>
          <w:b/>
          <w:bCs/>
          <w:sz w:val="22"/>
          <w:szCs w:val="22"/>
        </w:rPr>
      </w:pPr>
      <w:r w:rsidRPr="00374521">
        <w:rPr>
          <w:b/>
          <w:bCs/>
          <w:sz w:val="22"/>
          <w:szCs w:val="22"/>
        </w:rPr>
        <w:t>DANE FARMACEUTYCZNE</w:t>
      </w:r>
    </w:p>
    <w:p w14:paraId="4BE3335A" w14:textId="77777777" w:rsidR="0074625D" w:rsidRPr="00374521" w:rsidRDefault="0074625D" w:rsidP="00374521">
      <w:pPr>
        <w:pStyle w:val="Tytu"/>
        <w:jc w:val="left"/>
        <w:rPr>
          <w:b w:val="0"/>
          <w:sz w:val="22"/>
          <w:szCs w:val="22"/>
        </w:rPr>
      </w:pPr>
    </w:p>
    <w:p w14:paraId="6635F1EA" w14:textId="77777777" w:rsidR="00556DD0" w:rsidRPr="00374521" w:rsidRDefault="00E33426" w:rsidP="00374521">
      <w:pPr>
        <w:tabs>
          <w:tab w:val="left" w:pos="540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374521">
        <w:rPr>
          <w:b/>
          <w:sz w:val="22"/>
          <w:szCs w:val="22"/>
        </w:rPr>
        <w:t>6.1</w:t>
      </w:r>
      <w:r w:rsidRPr="00374521">
        <w:rPr>
          <w:b/>
          <w:sz w:val="22"/>
          <w:szCs w:val="22"/>
        </w:rPr>
        <w:tab/>
      </w:r>
      <w:r w:rsidR="00556DD0" w:rsidRPr="00374521">
        <w:rPr>
          <w:b/>
          <w:bCs/>
          <w:sz w:val="22"/>
          <w:szCs w:val="22"/>
        </w:rPr>
        <w:t>Wykaz substancji pomocniczych</w:t>
      </w:r>
    </w:p>
    <w:p w14:paraId="3E8E7F44" w14:textId="77777777" w:rsidR="00556DD0" w:rsidRPr="00374521" w:rsidRDefault="00556DD0" w:rsidP="00374521">
      <w:pPr>
        <w:rPr>
          <w:bCs/>
          <w:sz w:val="22"/>
          <w:szCs w:val="22"/>
        </w:rPr>
      </w:pPr>
    </w:p>
    <w:p w14:paraId="7BB524B3" w14:textId="77777777" w:rsidR="00EC3E2B" w:rsidRPr="00B57127" w:rsidRDefault="00EC3E2B" w:rsidP="00EC3E2B">
      <w:pPr>
        <w:rPr>
          <w:bCs/>
          <w:sz w:val="22"/>
          <w:szCs w:val="22"/>
        </w:rPr>
      </w:pPr>
      <w:r w:rsidRPr="00B57127">
        <w:rPr>
          <w:bCs/>
          <w:sz w:val="22"/>
          <w:szCs w:val="22"/>
        </w:rPr>
        <w:t>Celuloza mikrokrystaliczna</w:t>
      </w:r>
    </w:p>
    <w:p w14:paraId="6F4DCE6D" w14:textId="77777777" w:rsidR="00EC3E2B" w:rsidRPr="00B57127" w:rsidRDefault="00EC3E2B" w:rsidP="00EC3E2B">
      <w:pPr>
        <w:rPr>
          <w:bCs/>
          <w:sz w:val="22"/>
          <w:szCs w:val="22"/>
        </w:rPr>
      </w:pPr>
      <w:r w:rsidRPr="00B57127">
        <w:rPr>
          <w:bCs/>
          <w:sz w:val="22"/>
          <w:szCs w:val="22"/>
        </w:rPr>
        <w:t>Laktoza jednowodna</w:t>
      </w:r>
    </w:p>
    <w:p w14:paraId="16F51EEA" w14:textId="77777777" w:rsidR="00EC3E2B" w:rsidRPr="00B57127" w:rsidRDefault="00EC3E2B" w:rsidP="00EC3E2B">
      <w:pPr>
        <w:rPr>
          <w:sz w:val="22"/>
          <w:szCs w:val="22"/>
        </w:rPr>
      </w:pPr>
      <w:r w:rsidRPr="00B57127">
        <w:rPr>
          <w:sz w:val="22"/>
          <w:szCs w:val="22"/>
        </w:rPr>
        <w:t>Skrobia kukurydziana żelowana</w:t>
      </w:r>
    </w:p>
    <w:p w14:paraId="54AFBF76" w14:textId="77777777" w:rsidR="00EC3E2B" w:rsidRPr="00B57127" w:rsidRDefault="00EC3E2B" w:rsidP="00EC3E2B">
      <w:pPr>
        <w:rPr>
          <w:bCs/>
          <w:sz w:val="22"/>
          <w:szCs w:val="22"/>
        </w:rPr>
      </w:pPr>
      <w:proofErr w:type="spellStart"/>
      <w:r w:rsidRPr="00B57127">
        <w:rPr>
          <w:sz w:val="22"/>
          <w:szCs w:val="22"/>
        </w:rPr>
        <w:t>Karboksymetyloskrobia</w:t>
      </w:r>
      <w:proofErr w:type="spellEnd"/>
      <w:r w:rsidRPr="00B57127">
        <w:rPr>
          <w:sz w:val="22"/>
          <w:szCs w:val="22"/>
        </w:rPr>
        <w:t xml:space="preserve"> sodowa (typ A) </w:t>
      </w:r>
    </w:p>
    <w:p w14:paraId="75510481" w14:textId="77777777" w:rsidR="00EC3E2B" w:rsidRPr="00B57127" w:rsidRDefault="00EC3E2B" w:rsidP="00EC3E2B">
      <w:pPr>
        <w:rPr>
          <w:bCs/>
          <w:sz w:val="22"/>
          <w:szCs w:val="22"/>
        </w:rPr>
      </w:pPr>
      <w:r w:rsidRPr="00B57127">
        <w:rPr>
          <w:bCs/>
          <w:sz w:val="22"/>
          <w:szCs w:val="22"/>
        </w:rPr>
        <w:t xml:space="preserve">Magnezu stearynian </w:t>
      </w:r>
    </w:p>
    <w:p w14:paraId="4026C59F" w14:textId="77777777" w:rsidR="00EC3E2B" w:rsidRPr="00B57127" w:rsidRDefault="00EC3E2B" w:rsidP="00EC3E2B">
      <w:pPr>
        <w:rPr>
          <w:bCs/>
          <w:sz w:val="22"/>
          <w:szCs w:val="22"/>
          <w:u w:val="single"/>
        </w:rPr>
      </w:pPr>
      <w:r w:rsidRPr="00B57127">
        <w:rPr>
          <w:bCs/>
          <w:sz w:val="22"/>
          <w:szCs w:val="22"/>
          <w:u w:val="single"/>
        </w:rPr>
        <w:t xml:space="preserve">Otoczka </w:t>
      </w:r>
      <w:proofErr w:type="spellStart"/>
      <w:r w:rsidRPr="00B57127">
        <w:rPr>
          <w:bCs/>
          <w:sz w:val="22"/>
          <w:szCs w:val="22"/>
          <w:u w:val="single"/>
        </w:rPr>
        <w:t>Opadry</w:t>
      </w:r>
      <w:proofErr w:type="spellEnd"/>
      <w:r w:rsidRPr="00B57127">
        <w:rPr>
          <w:bCs/>
          <w:sz w:val="22"/>
          <w:szCs w:val="22"/>
          <w:u w:val="single"/>
        </w:rPr>
        <w:t xml:space="preserve"> White 20A18334 o składzie:</w:t>
      </w:r>
    </w:p>
    <w:p w14:paraId="2A7828E0" w14:textId="77777777" w:rsidR="00EC3E2B" w:rsidRPr="00B57127" w:rsidRDefault="00EC3E2B" w:rsidP="00EC3E2B">
      <w:pPr>
        <w:rPr>
          <w:bCs/>
          <w:sz w:val="22"/>
          <w:szCs w:val="22"/>
        </w:rPr>
      </w:pPr>
      <w:proofErr w:type="spellStart"/>
      <w:r w:rsidRPr="00B57127">
        <w:rPr>
          <w:sz w:val="22"/>
          <w:szCs w:val="22"/>
        </w:rPr>
        <w:lastRenderedPageBreak/>
        <w:t>Hydroksypropyloceluloza</w:t>
      </w:r>
      <w:proofErr w:type="spellEnd"/>
      <w:r w:rsidRPr="00B57127">
        <w:rPr>
          <w:sz w:val="22"/>
          <w:szCs w:val="22"/>
        </w:rPr>
        <w:t xml:space="preserve"> (E463)</w:t>
      </w:r>
    </w:p>
    <w:p w14:paraId="5EC4D11F" w14:textId="77777777" w:rsidR="00EC3E2B" w:rsidRPr="00B57127" w:rsidRDefault="00EC3E2B" w:rsidP="00EC3E2B">
      <w:pPr>
        <w:rPr>
          <w:bCs/>
          <w:sz w:val="22"/>
          <w:szCs w:val="22"/>
        </w:rPr>
      </w:pPr>
      <w:proofErr w:type="spellStart"/>
      <w:r w:rsidRPr="00B57127">
        <w:rPr>
          <w:bCs/>
          <w:sz w:val="22"/>
          <w:szCs w:val="22"/>
        </w:rPr>
        <w:t>Hypromeloza</w:t>
      </w:r>
      <w:proofErr w:type="spellEnd"/>
      <w:r w:rsidRPr="00B57127">
        <w:rPr>
          <w:bCs/>
          <w:sz w:val="22"/>
          <w:szCs w:val="22"/>
        </w:rPr>
        <w:t xml:space="preserve"> 6cP (E464)</w:t>
      </w:r>
    </w:p>
    <w:p w14:paraId="3F97717F" w14:textId="77777777" w:rsidR="00EC3E2B" w:rsidRPr="00B57127" w:rsidRDefault="00EC3E2B" w:rsidP="00EC3E2B">
      <w:pPr>
        <w:rPr>
          <w:bCs/>
          <w:sz w:val="22"/>
          <w:szCs w:val="22"/>
        </w:rPr>
      </w:pPr>
      <w:r w:rsidRPr="00B57127">
        <w:rPr>
          <w:bCs/>
          <w:sz w:val="22"/>
          <w:szCs w:val="22"/>
        </w:rPr>
        <w:t xml:space="preserve">Tytanu dwutlenek </w:t>
      </w:r>
      <w:r w:rsidRPr="00B57127">
        <w:rPr>
          <w:sz w:val="22"/>
          <w:szCs w:val="22"/>
        </w:rPr>
        <w:t>(E171)</w:t>
      </w:r>
    </w:p>
    <w:p w14:paraId="2FE9E9CF" w14:textId="77777777" w:rsidR="00476B48" w:rsidRPr="00374521" w:rsidRDefault="00476B48" w:rsidP="00374521">
      <w:pPr>
        <w:rPr>
          <w:bCs/>
          <w:sz w:val="22"/>
          <w:szCs w:val="22"/>
        </w:rPr>
      </w:pPr>
    </w:p>
    <w:p w14:paraId="3BBB676B" w14:textId="77777777" w:rsidR="00556DD0" w:rsidRPr="00374521" w:rsidRDefault="00E33426" w:rsidP="00374521">
      <w:pPr>
        <w:tabs>
          <w:tab w:val="left" w:pos="540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374521">
        <w:rPr>
          <w:b/>
          <w:sz w:val="22"/>
          <w:szCs w:val="22"/>
        </w:rPr>
        <w:t>6.2</w:t>
      </w:r>
      <w:r w:rsidRPr="00374521">
        <w:rPr>
          <w:b/>
          <w:sz w:val="22"/>
          <w:szCs w:val="22"/>
        </w:rPr>
        <w:tab/>
      </w:r>
      <w:r w:rsidR="00556DD0" w:rsidRPr="00374521">
        <w:rPr>
          <w:b/>
          <w:bCs/>
          <w:sz w:val="22"/>
          <w:szCs w:val="22"/>
        </w:rPr>
        <w:t>Niezgodności farmaceutyczne</w:t>
      </w:r>
    </w:p>
    <w:p w14:paraId="1F7B36B6" w14:textId="77777777" w:rsidR="00556DD0" w:rsidRPr="00374521" w:rsidRDefault="00556DD0" w:rsidP="00374521">
      <w:pPr>
        <w:rPr>
          <w:sz w:val="22"/>
          <w:szCs w:val="22"/>
        </w:rPr>
      </w:pPr>
    </w:p>
    <w:p w14:paraId="54EE987E" w14:textId="77777777" w:rsidR="00556DD0" w:rsidRPr="00374521" w:rsidRDefault="00556DD0" w:rsidP="00374521">
      <w:pPr>
        <w:pStyle w:val="Tytu"/>
        <w:jc w:val="left"/>
        <w:rPr>
          <w:b w:val="0"/>
          <w:iCs/>
          <w:sz w:val="22"/>
          <w:szCs w:val="22"/>
        </w:rPr>
      </w:pPr>
      <w:r w:rsidRPr="00374521">
        <w:rPr>
          <w:b w:val="0"/>
          <w:iCs/>
          <w:sz w:val="22"/>
          <w:szCs w:val="22"/>
        </w:rPr>
        <w:t>Nie dotyczy.</w:t>
      </w:r>
    </w:p>
    <w:p w14:paraId="605CF256" w14:textId="77777777" w:rsidR="0074625D" w:rsidRPr="00374521" w:rsidRDefault="0074625D" w:rsidP="00374521">
      <w:pPr>
        <w:pStyle w:val="Tytu"/>
        <w:jc w:val="left"/>
        <w:rPr>
          <w:b w:val="0"/>
          <w:iCs/>
          <w:sz w:val="22"/>
          <w:szCs w:val="22"/>
        </w:rPr>
      </w:pPr>
    </w:p>
    <w:p w14:paraId="68C9C1E7" w14:textId="77777777" w:rsidR="00556DD0" w:rsidRPr="00374521" w:rsidRDefault="00E33426" w:rsidP="00374521">
      <w:pPr>
        <w:tabs>
          <w:tab w:val="left" w:pos="540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374521">
        <w:rPr>
          <w:b/>
          <w:sz w:val="22"/>
          <w:szCs w:val="22"/>
        </w:rPr>
        <w:t>6.3</w:t>
      </w:r>
      <w:r w:rsidRPr="00374521">
        <w:rPr>
          <w:b/>
          <w:sz w:val="22"/>
          <w:szCs w:val="22"/>
        </w:rPr>
        <w:tab/>
      </w:r>
      <w:r w:rsidR="00556DD0" w:rsidRPr="00374521">
        <w:rPr>
          <w:b/>
          <w:bCs/>
          <w:sz w:val="22"/>
          <w:szCs w:val="22"/>
        </w:rPr>
        <w:t>Okres ważności</w:t>
      </w:r>
    </w:p>
    <w:p w14:paraId="1F20B401" w14:textId="77777777" w:rsidR="00556DD0" w:rsidRPr="00374521" w:rsidRDefault="00556DD0" w:rsidP="00374521">
      <w:pPr>
        <w:rPr>
          <w:sz w:val="22"/>
          <w:szCs w:val="22"/>
        </w:rPr>
      </w:pPr>
    </w:p>
    <w:p w14:paraId="44A65238" w14:textId="77777777" w:rsidR="00556DD0" w:rsidRPr="00374521" w:rsidRDefault="002D5BF8" w:rsidP="00374521">
      <w:pPr>
        <w:pStyle w:val="Tytu"/>
        <w:jc w:val="left"/>
        <w:rPr>
          <w:b w:val="0"/>
          <w:bCs/>
          <w:sz w:val="22"/>
          <w:szCs w:val="22"/>
        </w:rPr>
      </w:pPr>
      <w:r w:rsidRPr="00374521">
        <w:rPr>
          <w:b w:val="0"/>
          <w:bCs/>
          <w:sz w:val="22"/>
          <w:szCs w:val="22"/>
        </w:rPr>
        <w:t>3 lata</w:t>
      </w:r>
    </w:p>
    <w:p w14:paraId="3BAD0F9A" w14:textId="77777777" w:rsidR="0074625D" w:rsidRPr="00374521" w:rsidRDefault="0074625D" w:rsidP="00374521">
      <w:pPr>
        <w:pStyle w:val="Tytu"/>
        <w:jc w:val="left"/>
        <w:rPr>
          <w:b w:val="0"/>
          <w:bCs/>
          <w:sz w:val="22"/>
          <w:szCs w:val="22"/>
        </w:rPr>
      </w:pPr>
    </w:p>
    <w:p w14:paraId="793C57F1" w14:textId="77777777" w:rsidR="00556DD0" w:rsidRPr="00374521" w:rsidRDefault="00E33426" w:rsidP="00FF2554">
      <w:pPr>
        <w:tabs>
          <w:tab w:val="left" w:pos="567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374521">
        <w:rPr>
          <w:b/>
          <w:sz w:val="22"/>
          <w:szCs w:val="22"/>
        </w:rPr>
        <w:t>6.4</w:t>
      </w:r>
      <w:r w:rsidRPr="00374521">
        <w:rPr>
          <w:b/>
          <w:sz w:val="22"/>
          <w:szCs w:val="22"/>
        </w:rPr>
        <w:tab/>
      </w:r>
      <w:r w:rsidR="00556DD0" w:rsidRPr="00374521">
        <w:rPr>
          <w:b/>
          <w:bCs/>
          <w:sz w:val="22"/>
          <w:szCs w:val="22"/>
        </w:rPr>
        <w:t xml:space="preserve">Specjalne środki ostrożności </w:t>
      </w:r>
      <w:r w:rsidR="00D234F1" w:rsidRPr="00374521">
        <w:rPr>
          <w:b/>
          <w:bCs/>
          <w:sz w:val="22"/>
          <w:szCs w:val="22"/>
        </w:rPr>
        <w:t>podczas przechowywania</w:t>
      </w:r>
    </w:p>
    <w:p w14:paraId="1B069FF4" w14:textId="77777777" w:rsidR="00556DD0" w:rsidRPr="00374521" w:rsidRDefault="00556DD0" w:rsidP="00374521">
      <w:pPr>
        <w:rPr>
          <w:bCs/>
          <w:sz w:val="22"/>
          <w:szCs w:val="22"/>
        </w:rPr>
      </w:pPr>
    </w:p>
    <w:p w14:paraId="68332097" w14:textId="77777777" w:rsidR="00556DD0" w:rsidRPr="00374521" w:rsidRDefault="004E04D5" w:rsidP="00374521">
      <w:pPr>
        <w:pStyle w:val="Tytu"/>
        <w:jc w:val="left"/>
        <w:rPr>
          <w:b w:val="0"/>
          <w:bCs/>
          <w:sz w:val="22"/>
          <w:szCs w:val="22"/>
        </w:rPr>
      </w:pPr>
      <w:r w:rsidRPr="00374521">
        <w:rPr>
          <w:b w:val="0"/>
          <w:bCs/>
          <w:sz w:val="22"/>
          <w:szCs w:val="22"/>
        </w:rPr>
        <w:t>P</w:t>
      </w:r>
      <w:r w:rsidR="00556DD0" w:rsidRPr="00374521">
        <w:rPr>
          <w:b w:val="0"/>
          <w:bCs/>
          <w:sz w:val="22"/>
          <w:szCs w:val="22"/>
        </w:rPr>
        <w:t>rzechowywać w temperaturze po</w:t>
      </w:r>
      <w:r w:rsidRPr="00374521">
        <w:rPr>
          <w:b w:val="0"/>
          <w:bCs/>
          <w:sz w:val="22"/>
          <w:szCs w:val="22"/>
        </w:rPr>
        <w:t>ni</w:t>
      </w:r>
      <w:r w:rsidR="003130F8" w:rsidRPr="00374521">
        <w:rPr>
          <w:b w:val="0"/>
          <w:bCs/>
          <w:sz w:val="22"/>
          <w:szCs w:val="22"/>
        </w:rPr>
        <w:t>żej</w:t>
      </w:r>
      <w:r w:rsidR="00556DD0" w:rsidRPr="00374521">
        <w:rPr>
          <w:b w:val="0"/>
          <w:bCs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30ﾰC"/>
        </w:smartTagPr>
        <w:r w:rsidR="00556DD0" w:rsidRPr="00374521">
          <w:rPr>
            <w:b w:val="0"/>
            <w:bCs/>
            <w:sz w:val="22"/>
            <w:szCs w:val="22"/>
          </w:rPr>
          <w:t>30°C</w:t>
        </w:r>
      </w:smartTag>
      <w:r w:rsidR="00556DD0" w:rsidRPr="00374521">
        <w:rPr>
          <w:b w:val="0"/>
          <w:bCs/>
          <w:sz w:val="22"/>
          <w:szCs w:val="22"/>
        </w:rPr>
        <w:t xml:space="preserve">. </w:t>
      </w:r>
    </w:p>
    <w:p w14:paraId="0C762F9A" w14:textId="77777777" w:rsidR="0074625D" w:rsidRPr="00374521" w:rsidRDefault="0074625D" w:rsidP="00374521">
      <w:pPr>
        <w:pStyle w:val="Tytu"/>
        <w:jc w:val="left"/>
        <w:rPr>
          <w:b w:val="0"/>
          <w:bCs/>
          <w:sz w:val="22"/>
          <w:szCs w:val="22"/>
        </w:rPr>
      </w:pPr>
    </w:p>
    <w:p w14:paraId="2D0CEC41" w14:textId="77777777" w:rsidR="00556DD0" w:rsidRPr="00374521" w:rsidRDefault="00E33426" w:rsidP="00374521">
      <w:pPr>
        <w:tabs>
          <w:tab w:val="left" w:pos="540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374521">
        <w:rPr>
          <w:b/>
          <w:sz w:val="22"/>
          <w:szCs w:val="22"/>
        </w:rPr>
        <w:t>6.5</w:t>
      </w:r>
      <w:r w:rsidRPr="00374521">
        <w:rPr>
          <w:b/>
          <w:sz w:val="22"/>
          <w:szCs w:val="22"/>
        </w:rPr>
        <w:tab/>
      </w:r>
      <w:r w:rsidR="00556DD0" w:rsidRPr="00374521">
        <w:rPr>
          <w:b/>
          <w:bCs/>
          <w:sz w:val="22"/>
          <w:szCs w:val="22"/>
        </w:rPr>
        <w:t>Rodzaj i zawartość opakowania</w:t>
      </w:r>
    </w:p>
    <w:p w14:paraId="63D05420" w14:textId="77777777" w:rsidR="00556DD0" w:rsidRPr="00374521" w:rsidRDefault="00556DD0" w:rsidP="00374521">
      <w:pPr>
        <w:pStyle w:val="Tytu"/>
        <w:jc w:val="left"/>
        <w:rPr>
          <w:b w:val="0"/>
          <w:bCs/>
          <w:sz w:val="22"/>
          <w:szCs w:val="22"/>
        </w:rPr>
      </w:pPr>
    </w:p>
    <w:p w14:paraId="4A3839A6" w14:textId="77777777" w:rsidR="00556DD0" w:rsidRPr="00374521" w:rsidRDefault="003130F8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B</w:t>
      </w:r>
      <w:r w:rsidR="00556DD0" w:rsidRPr="00374521">
        <w:rPr>
          <w:sz w:val="22"/>
          <w:szCs w:val="22"/>
        </w:rPr>
        <w:t>listr</w:t>
      </w:r>
      <w:r w:rsidR="004E04D5" w:rsidRPr="00374521">
        <w:rPr>
          <w:sz w:val="22"/>
          <w:szCs w:val="22"/>
        </w:rPr>
        <w:t xml:space="preserve">y </w:t>
      </w:r>
      <w:r w:rsidR="00556DD0" w:rsidRPr="00374521">
        <w:rPr>
          <w:sz w:val="22"/>
          <w:szCs w:val="22"/>
        </w:rPr>
        <w:t>PVC/PE/PVDC/Al</w:t>
      </w:r>
      <w:r w:rsidRPr="00374521">
        <w:rPr>
          <w:sz w:val="22"/>
          <w:szCs w:val="22"/>
        </w:rPr>
        <w:t>uminium</w:t>
      </w:r>
      <w:r w:rsidR="004E04D5" w:rsidRPr="00374521">
        <w:rPr>
          <w:sz w:val="22"/>
          <w:szCs w:val="22"/>
        </w:rPr>
        <w:t xml:space="preserve"> w tekturowym pudełku.</w:t>
      </w:r>
    </w:p>
    <w:p w14:paraId="6A086FF7" w14:textId="77777777" w:rsidR="00556DD0" w:rsidRPr="00374521" w:rsidRDefault="003130F8" w:rsidP="00374521">
      <w:pPr>
        <w:pStyle w:val="Tytu"/>
        <w:jc w:val="left"/>
        <w:rPr>
          <w:b w:val="0"/>
          <w:bCs/>
          <w:sz w:val="22"/>
          <w:szCs w:val="22"/>
        </w:rPr>
      </w:pPr>
      <w:r w:rsidRPr="00374521">
        <w:rPr>
          <w:b w:val="0"/>
          <w:bCs/>
          <w:sz w:val="22"/>
          <w:szCs w:val="22"/>
        </w:rPr>
        <w:t>Wielkoś</w:t>
      </w:r>
      <w:r w:rsidR="004E04D5" w:rsidRPr="00374521">
        <w:rPr>
          <w:b w:val="0"/>
          <w:bCs/>
          <w:sz w:val="22"/>
          <w:szCs w:val="22"/>
        </w:rPr>
        <w:t>ć</w:t>
      </w:r>
      <w:r w:rsidRPr="00374521">
        <w:rPr>
          <w:b w:val="0"/>
          <w:bCs/>
          <w:sz w:val="22"/>
          <w:szCs w:val="22"/>
        </w:rPr>
        <w:t xml:space="preserve"> opakowa</w:t>
      </w:r>
      <w:r w:rsidR="004E04D5" w:rsidRPr="00374521">
        <w:rPr>
          <w:b w:val="0"/>
          <w:bCs/>
          <w:sz w:val="22"/>
          <w:szCs w:val="22"/>
        </w:rPr>
        <w:t>nia</w:t>
      </w:r>
      <w:r w:rsidRPr="00374521">
        <w:rPr>
          <w:b w:val="0"/>
          <w:bCs/>
          <w:sz w:val="22"/>
          <w:szCs w:val="22"/>
        </w:rPr>
        <w:t xml:space="preserve">: </w:t>
      </w:r>
      <w:r w:rsidR="00556DD0" w:rsidRPr="00374521">
        <w:rPr>
          <w:b w:val="0"/>
          <w:bCs/>
          <w:sz w:val="22"/>
          <w:szCs w:val="22"/>
        </w:rPr>
        <w:t>30</w:t>
      </w:r>
      <w:r w:rsidR="004E04D5" w:rsidRPr="00374521">
        <w:rPr>
          <w:b w:val="0"/>
          <w:bCs/>
          <w:sz w:val="22"/>
          <w:szCs w:val="22"/>
        </w:rPr>
        <w:t xml:space="preserve"> </w:t>
      </w:r>
      <w:r w:rsidR="00556DD0" w:rsidRPr="00374521">
        <w:rPr>
          <w:b w:val="0"/>
          <w:bCs/>
          <w:sz w:val="22"/>
          <w:szCs w:val="22"/>
        </w:rPr>
        <w:t xml:space="preserve">tabletek </w:t>
      </w:r>
      <w:r w:rsidR="004E04D5" w:rsidRPr="00374521">
        <w:rPr>
          <w:b w:val="0"/>
          <w:bCs/>
          <w:sz w:val="22"/>
          <w:szCs w:val="22"/>
        </w:rPr>
        <w:t>(3 blistry po 10 tabletek)</w:t>
      </w:r>
      <w:r w:rsidR="00556DD0" w:rsidRPr="00374521">
        <w:rPr>
          <w:b w:val="0"/>
          <w:bCs/>
          <w:sz w:val="22"/>
          <w:szCs w:val="22"/>
        </w:rPr>
        <w:t>.</w:t>
      </w:r>
    </w:p>
    <w:p w14:paraId="60BC4EB0" w14:textId="77777777" w:rsidR="0074625D" w:rsidRPr="00374521" w:rsidRDefault="0074625D" w:rsidP="00374521">
      <w:pPr>
        <w:pStyle w:val="Tytu"/>
        <w:jc w:val="left"/>
        <w:rPr>
          <w:b w:val="0"/>
          <w:bCs/>
          <w:sz w:val="22"/>
          <w:szCs w:val="22"/>
        </w:rPr>
      </w:pPr>
    </w:p>
    <w:p w14:paraId="3323AEB9" w14:textId="77777777" w:rsidR="00556DD0" w:rsidRPr="00374521" w:rsidRDefault="00E33426" w:rsidP="00FF2554">
      <w:pPr>
        <w:tabs>
          <w:tab w:val="left" w:pos="540"/>
        </w:tabs>
        <w:autoSpaceDE w:val="0"/>
        <w:autoSpaceDN w:val="0"/>
        <w:adjustRightInd w:val="0"/>
        <w:ind w:left="567" w:hanging="567"/>
        <w:rPr>
          <w:b/>
          <w:bCs/>
          <w:sz w:val="22"/>
          <w:szCs w:val="22"/>
        </w:rPr>
      </w:pPr>
      <w:r w:rsidRPr="00374521">
        <w:rPr>
          <w:b/>
          <w:sz w:val="22"/>
          <w:szCs w:val="22"/>
        </w:rPr>
        <w:t>6.6</w:t>
      </w:r>
      <w:r w:rsidRPr="00374521">
        <w:rPr>
          <w:b/>
          <w:sz w:val="22"/>
          <w:szCs w:val="22"/>
        </w:rPr>
        <w:tab/>
      </w:r>
      <w:r w:rsidR="00556DD0" w:rsidRPr="00374521">
        <w:rPr>
          <w:b/>
          <w:sz w:val="22"/>
          <w:szCs w:val="22"/>
        </w:rPr>
        <w:t>Specjalne środki ostrożności dotyczące usuwania</w:t>
      </w:r>
      <w:r w:rsidR="003130F8" w:rsidRPr="00374521">
        <w:rPr>
          <w:b/>
          <w:sz w:val="22"/>
          <w:szCs w:val="22"/>
        </w:rPr>
        <w:t xml:space="preserve"> i przygotowania </w:t>
      </w:r>
      <w:r w:rsidR="00FF54F1" w:rsidRPr="00374521">
        <w:rPr>
          <w:b/>
          <w:sz w:val="22"/>
          <w:szCs w:val="22"/>
        </w:rPr>
        <w:t>produktu leczniczego</w:t>
      </w:r>
      <w:r w:rsidR="003130F8" w:rsidRPr="00374521">
        <w:rPr>
          <w:b/>
          <w:sz w:val="22"/>
          <w:szCs w:val="22"/>
        </w:rPr>
        <w:t xml:space="preserve"> do stosowania</w:t>
      </w:r>
      <w:r w:rsidR="00556DD0" w:rsidRPr="00374521">
        <w:rPr>
          <w:b/>
          <w:sz w:val="22"/>
          <w:szCs w:val="22"/>
        </w:rPr>
        <w:t xml:space="preserve"> </w:t>
      </w:r>
    </w:p>
    <w:p w14:paraId="7AF2C18D" w14:textId="77777777" w:rsidR="00556DD0" w:rsidRPr="00374521" w:rsidRDefault="00556DD0" w:rsidP="00374521">
      <w:pPr>
        <w:pStyle w:val="Tytu"/>
        <w:jc w:val="left"/>
        <w:rPr>
          <w:b w:val="0"/>
          <w:bCs/>
          <w:sz w:val="22"/>
          <w:szCs w:val="22"/>
        </w:rPr>
      </w:pPr>
    </w:p>
    <w:p w14:paraId="4DF82FF7" w14:textId="77777777" w:rsidR="00556DD0" w:rsidRPr="00374521" w:rsidRDefault="005A54CD" w:rsidP="00374521">
      <w:pPr>
        <w:pStyle w:val="Tytu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Bez specjalnych</w:t>
      </w:r>
      <w:r w:rsidR="00556DD0" w:rsidRPr="00374521">
        <w:rPr>
          <w:b w:val="0"/>
          <w:bCs/>
          <w:sz w:val="22"/>
          <w:szCs w:val="22"/>
        </w:rPr>
        <w:t xml:space="preserve"> wymagań. </w:t>
      </w:r>
    </w:p>
    <w:p w14:paraId="4554E661" w14:textId="77777777" w:rsidR="00556DD0" w:rsidRPr="00374521" w:rsidRDefault="00556DD0" w:rsidP="00374521">
      <w:pPr>
        <w:pStyle w:val="Tytu"/>
        <w:jc w:val="left"/>
        <w:rPr>
          <w:b w:val="0"/>
          <w:bCs/>
          <w:sz w:val="22"/>
          <w:szCs w:val="22"/>
        </w:rPr>
      </w:pPr>
    </w:p>
    <w:p w14:paraId="6516F44C" w14:textId="77777777" w:rsidR="00662F08" w:rsidRPr="00374521" w:rsidRDefault="00662F08" w:rsidP="00374521">
      <w:pPr>
        <w:pStyle w:val="Tytu"/>
        <w:jc w:val="left"/>
        <w:rPr>
          <w:b w:val="0"/>
          <w:bCs/>
          <w:sz w:val="22"/>
          <w:szCs w:val="22"/>
        </w:rPr>
      </w:pPr>
    </w:p>
    <w:p w14:paraId="3CA6F861" w14:textId="77777777" w:rsidR="00556DD0" w:rsidRPr="00374521" w:rsidRDefault="00556DD0" w:rsidP="00374521">
      <w:pPr>
        <w:numPr>
          <w:ilvl w:val="0"/>
          <w:numId w:val="26"/>
        </w:numPr>
        <w:tabs>
          <w:tab w:val="clear" w:pos="720"/>
          <w:tab w:val="num" w:pos="540"/>
        </w:tabs>
        <w:ind w:left="540" w:hanging="540"/>
        <w:rPr>
          <w:b/>
          <w:bCs/>
          <w:sz w:val="22"/>
          <w:szCs w:val="22"/>
        </w:rPr>
      </w:pPr>
      <w:r w:rsidRPr="00374521">
        <w:rPr>
          <w:b/>
          <w:bCs/>
          <w:sz w:val="22"/>
          <w:szCs w:val="22"/>
        </w:rPr>
        <w:t>PODMIOT ODPOWIEDZIALNY POSIADAJĄCY POZWOLENIE NA DOPUSZCZENIE DO OBROTU</w:t>
      </w:r>
    </w:p>
    <w:p w14:paraId="6C9362E0" w14:textId="77777777" w:rsidR="00556DD0" w:rsidRPr="00374521" w:rsidRDefault="00556DD0" w:rsidP="00374521">
      <w:pPr>
        <w:rPr>
          <w:sz w:val="22"/>
          <w:szCs w:val="22"/>
        </w:rPr>
      </w:pPr>
    </w:p>
    <w:p w14:paraId="6D4509B5" w14:textId="77777777" w:rsidR="00FF7082" w:rsidRPr="00336F42" w:rsidRDefault="00FF7082" w:rsidP="00FF7082">
      <w:pPr>
        <w:rPr>
          <w:rFonts w:eastAsia="SimSun"/>
          <w:sz w:val="22"/>
          <w:szCs w:val="22"/>
          <w:lang w:val="cs-CZ"/>
        </w:rPr>
      </w:pPr>
      <w:r w:rsidRPr="00336F42">
        <w:rPr>
          <w:rFonts w:eastAsia="SimSun"/>
          <w:sz w:val="22"/>
          <w:szCs w:val="22"/>
          <w:lang w:val="cs-CZ"/>
        </w:rPr>
        <w:t xml:space="preserve">Bausch Health Ireland Limited </w:t>
      </w:r>
    </w:p>
    <w:p w14:paraId="0C9258F9" w14:textId="77777777" w:rsidR="00FF7082" w:rsidRPr="00336F42" w:rsidRDefault="00FF7082" w:rsidP="00FF7082">
      <w:pPr>
        <w:rPr>
          <w:rFonts w:eastAsia="SimSun"/>
          <w:sz w:val="22"/>
          <w:szCs w:val="22"/>
          <w:lang w:val="cs-CZ"/>
        </w:rPr>
      </w:pPr>
      <w:r w:rsidRPr="00336F42">
        <w:rPr>
          <w:rFonts w:eastAsia="SimSun"/>
          <w:sz w:val="22"/>
          <w:szCs w:val="22"/>
          <w:lang w:val="cs-CZ"/>
        </w:rPr>
        <w:t xml:space="preserve">3013 Lake Drive </w:t>
      </w:r>
    </w:p>
    <w:p w14:paraId="656BF171" w14:textId="77777777" w:rsidR="00FF7082" w:rsidRPr="00336F42" w:rsidRDefault="00FF7082" w:rsidP="00FF7082">
      <w:pPr>
        <w:rPr>
          <w:rFonts w:eastAsia="SimSun"/>
          <w:sz w:val="22"/>
          <w:szCs w:val="22"/>
          <w:lang w:val="cs-CZ"/>
        </w:rPr>
      </w:pPr>
      <w:r w:rsidRPr="00336F42">
        <w:rPr>
          <w:rFonts w:eastAsia="SimSun"/>
          <w:sz w:val="22"/>
          <w:szCs w:val="22"/>
          <w:lang w:val="cs-CZ"/>
        </w:rPr>
        <w:t xml:space="preserve">Citywest Business Campus </w:t>
      </w:r>
    </w:p>
    <w:p w14:paraId="791A6399" w14:textId="77777777" w:rsidR="00FF7082" w:rsidRPr="00336F42" w:rsidRDefault="00FF7082" w:rsidP="00FF7082">
      <w:pPr>
        <w:rPr>
          <w:rFonts w:eastAsia="SimSun"/>
          <w:sz w:val="22"/>
          <w:szCs w:val="22"/>
          <w:lang w:val="cs-CZ"/>
        </w:rPr>
      </w:pPr>
      <w:r w:rsidRPr="00336F42">
        <w:rPr>
          <w:rFonts w:eastAsia="SimSun"/>
          <w:sz w:val="22"/>
          <w:szCs w:val="22"/>
          <w:lang w:val="cs-CZ"/>
        </w:rPr>
        <w:t xml:space="preserve">Dublin 24, D24PPT3 </w:t>
      </w:r>
    </w:p>
    <w:p w14:paraId="046BE5D6" w14:textId="77777777" w:rsidR="00FF7082" w:rsidRPr="00336F42" w:rsidRDefault="00FF7082" w:rsidP="00FF7082">
      <w:pPr>
        <w:rPr>
          <w:rFonts w:eastAsia="SimSun"/>
          <w:sz w:val="22"/>
          <w:szCs w:val="22"/>
          <w:lang w:val="en-US"/>
        </w:rPr>
      </w:pPr>
      <w:proofErr w:type="spellStart"/>
      <w:r w:rsidRPr="00FD08C0">
        <w:rPr>
          <w:rFonts w:eastAsia="SimSun"/>
          <w:sz w:val="22"/>
          <w:szCs w:val="22"/>
          <w:lang w:val="en-US"/>
        </w:rPr>
        <w:t>Irlandia</w:t>
      </w:r>
      <w:proofErr w:type="spellEnd"/>
      <w:r w:rsidRPr="00FD08C0" w:rsidDel="00D00B17">
        <w:rPr>
          <w:rFonts w:eastAsia="SimSun"/>
          <w:sz w:val="22"/>
          <w:szCs w:val="22"/>
          <w:lang w:val="en-US"/>
        </w:rPr>
        <w:t xml:space="preserve"> </w:t>
      </w:r>
    </w:p>
    <w:p w14:paraId="3718DF26" w14:textId="77777777" w:rsidR="00662F08" w:rsidRPr="00771C6C" w:rsidRDefault="00662F08" w:rsidP="00374521">
      <w:pPr>
        <w:rPr>
          <w:sz w:val="22"/>
          <w:szCs w:val="22"/>
          <w:lang w:val="en-US"/>
        </w:rPr>
      </w:pPr>
    </w:p>
    <w:p w14:paraId="503574F1" w14:textId="77777777" w:rsidR="00204FA0" w:rsidRPr="00771C6C" w:rsidRDefault="00204FA0" w:rsidP="00374521">
      <w:pPr>
        <w:rPr>
          <w:sz w:val="22"/>
          <w:szCs w:val="22"/>
          <w:lang w:val="en-US"/>
        </w:rPr>
      </w:pPr>
    </w:p>
    <w:p w14:paraId="2DD42DF9" w14:textId="77777777" w:rsidR="00556DD0" w:rsidRPr="00374521" w:rsidRDefault="00556DD0" w:rsidP="00374521">
      <w:pPr>
        <w:numPr>
          <w:ilvl w:val="0"/>
          <w:numId w:val="26"/>
        </w:numPr>
        <w:tabs>
          <w:tab w:val="clear" w:pos="720"/>
          <w:tab w:val="num" w:pos="540"/>
        </w:tabs>
        <w:ind w:left="540" w:hanging="540"/>
        <w:rPr>
          <w:b/>
          <w:bCs/>
          <w:sz w:val="22"/>
          <w:szCs w:val="22"/>
        </w:rPr>
      </w:pPr>
      <w:r w:rsidRPr="00374521">
        <w:rPr>
          <w:b/>
          <w:bCs/>
          <w:sz w:val="22"/>
          <w:szCs w:val="22"/>
        </w:rPr>
        <w:t>NUMER POZWOLENIA NA DOPUSZCZENIE DO OBROTU</w:t>
      </w:r>
    </w:p>
    <w:p w14:paraId="3FF47CED" w14:textId="77777777" w:rsidR="00556DD0" w:rsidRPr="00374521" w:rsidRDefault="00556DD0" w:rsidP="00374521">
      <w:pPr>
        <w:rPr>
          <w:sz w:val="22"/>
          <w:szCs w:val="22"/>
        </w:rPr>
      </w:pPr>
    </w:p>
    <w:p w14:paraId="21697747" w14:textId="77777777" w:rsidR="00D51394" w:rsidRPr="00374521" w:rsidRDefault="00D51394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1571</w:t>
      </w:r>
      <w:r w:rsidR="00EC3E2B">
        <w:rPr>
          <w:sz w:val="22"/>
          <w:szCs w:val="22"/>
        </w:rPr>
        <w:t>5</w:t>
      </w:r>
    </w:p>
    <w:p w14:paraId="661196D6" w14:textId="77777777" w:rsidR="00662F08" w:rsidRPr="00374521" w:rsidRDefault="00662F08" w:rsidP="00374521">
      <w:pPr>
        <w:rPr>
          <w:sz w:val="22"/>
          <w:szCs w:val="22"/>
        </w:rPr>
      </w:pPr>
    </w:p>
    <w:p w14:paraId="4BD48AD9" w14:textId="77777777" w:rsidR="0074625D" w:rsidRPr="00374521" w:rsidRDefault="0074625D" w:rsidP="00374521">
      <w:pPr>
        <w:rPr>
          <w:sz w:val="22"/>
          <w:szCs w:val="22"/>
        </w:rPr>
      </w:pPr>
    </w:p>
    <w:p w14:paraId="33DF9162" w14:textId="77777777" w:rsidR="00556DD0" w:rsidRPr="00374521" w:rsidRDefault="00556DD0" w:rsidP="00374521">
      <w:pPr>
        <w:pStyle w:val="Tekstpodstawowywcity"/>
        <w:numPr>
          <w:ilvl w:val="0"/>
          <w:numId w:val="26"/>
        </w:numPr>
        <w:tabs>
          <w:tab w:val="clear" w:pos="720"/>
          <w:tab w:val="num" w:pos="540"/>
        </w:tabs>
        <w:ind w:left="540" w:hanging="540"/>
        <w:rPr>
          <w:b/>
          <w:bCs/>
          <w:sz w:val="22"/>
          <w:szCs w:val="22"/>
        </w:rPr>
      </w:pPr>
      <w:r w:rsidRPr="00374521">
        <w:rPr>
          <w:b/>
          <w:bCs/>
          <w:sz w:val="22"/>
          <w:szCs w:val="22"/>
        </w:rPr>
        <w:t xml:space="preserve">DATA WYDANIA PIERWSZEGO POZWOLENIA NA DOPUSZCZENIE DO OBROTU </w:t>
      </w:r>
      <w:r w:rsidR="00A940F0" w:rsidRPr="00374521">
        <w:rPr>
          <w:b/>
          <w:bCs/>
          <w:sz w:val="22"/>
          <w:szCs w:val="22"/>
        </w:rPr>
        <w:t>I</w:t>
      </w:r>
      <w:r w:rsidRPr="00374521">
        <w:rPr>
          <w:b/>
          <w:bCs/>
          <w:sz w:val="22"/>
          <w:szCs w:val="22"/>
        </w:rPr>
        <w:t xml:space="preserve"> DATA PRZEDŁUŻENIA POZWOLENIA</w:t>
      </w:r>
    </w:p>
    <w:p w14:paraId="22D91B52" w14:textId="77777777" w:rsidR="00556DD0" w:rsidRPr="00374521" w:rsidRDefault="00556DD0" w:rsidP="00374521">
      <w:pPr>
        <w:pStyle w:val="Tekstpodstawowywcity"/>
        <w:ind w:left="0"/>
        <w:rPr>
          <w:bCs/>
          <w:sz w:val="22"/>
          <w:szCs w:val="22"/>
        </w:rPr>
      </w:pPr>
    </w:p>
    <w:p w14:paraId="7DF9CD89" w14:textId="77777777" w:rsidR="00257FE2" w:rsidRPr="00374521" w:rsidRDefault="00A940F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iCs/>
          <w:sz w:val="22"/>
          <w:szCs w:val="22"/>
        </w:rPr>
        <w:t>Data wydania pierwszego pozwolenia na dopuszczenie do obrotu</w:t>
      </w:r>
      <w:r w:rsidR="00C96A52" w:rsidRPr="00374521">
        <w:rPr>
          <w:iCs/>
          <w:sz w:val="22"/>
          <w:szCs w:val="22"/>
        </w:rPr>
        <w:t>:</w:t>
      </w:r>
      <w:r w:rsidRPr="00374521">
        <w:rPr>
          <w:iCs/>
          <w:sz w:val="22"/>
          <w:szCs w:val="22"/>
        </w:rPr>
        <w:t xml:space="preserve"> </w:t>
      </w:r>
      <w:r w:rsidR="00257FE2" w:rsidRPr="00374521">
        <w:rPr>
          <w:iCs/>
          <w:sz w:val="22"/>
          <w:szCs w:val="22"/>
        </w:rPr>
        <w:t>14</w:t>
      </w:r>
      <w:r w:rsidR="00C96A52" w:rsidRPr="00374521">
        <w:rPr>
          <w:iCs/>
          <w:sz w:val="22"/>
          <w:szCs w:val="22"/>
        </w:rPr>
        <w:t xml:space="preserve"> lipca </w:t>
      </w:r>
      <w:r w:rsidR="00257FE2" w:rsidRPr="00374521">
        <w:rPr>
          <w:iCs/>
          <w:sz w:val="22"/>
          <w:szCs w:val="22"/>
        </w:rPr>
        <w:t>2009 r.</w:t>
      </w:r>
    </w:p>
    <w:p w14:paraId="734EFC2C" w14:textId="77777777" w:rsidR="00556DD0" w:rsidRDefault="00C96A52" w:rsidP="00374521">
      <w:pPr>
        <w:pStyle w:val="Tekstpodstawowywcity"/>
        <w:ind w:left="0"/>
        <w:rPr>
          <w:bCs/>
          <w:sz w:val="22"/>
          <w:szCs w:val="22"/>
        </w:rPr>
      </w:pPr>
      <w:r w:rsidRPr="00374521">
        <w:rPr>
          <w:bCs/>
          <w:sz w:val="22"/>
          <w:szCs w:val="22"/>
        </w:rPr>
        <w:t xml:space="preserve">Data ostatniego przedłużenia pozwolenia: </w:t>
      </w:r>
      <w:r w:rsidR="00FB53A1">
        <w:rPr>
          <w:bCs/>
          <w:sz w:val="22"/>
          <w:szCs w:val="22"/>
        </w:rPr>
        <w:t>22 września 2014 r.</w:t>
      </w:r>
    </w:p>
    <w:p w14:paraId="382D2A7B" w14:textId="77777777" w:rsidR="00FF2554" w:rsidRDefault="00FF2554" w:rsidP="00374521">
      <w:pPr>
        <w:pStyle w:val="Tekstpodstawowywcity"/>
        <w:ind w:left="0"/>
        <w:rPr>
          <w:bCs/>
          <w:sz w:val="22"/>
          <w:szCs w:val="22"/>
        </w:rPr>
      </w:pPr>
    </w:p>
    <w:p w14:paraId="37C38C52" w14:textId="77777777" w:rsidR="00FF2554" w:rsidRPr="00374521" w:rsidRDefault="00FF2554" w:rsidP="00374521">
      <w:pPr>
        <w:pStyle w:val="Tekstpodstawowywcity"/>
        <w:ind w:left="0"/>
        <w:rPr>
          <w:bCs/>
          <w:sz w:val="22"/>
          <w:szCs w:val="22"/>
        </w:rPr>
      </w:pPr>
    </w:p>
    <w:p w14:paraId="63EB053F" w14:textId="77777777" w:rsidR="00556DD0" w:rsidRPr="00374521" w:rsidRDefault="00556DD0" w:rsidP="00374521">
      <w:pPr>
        <w:pStyle w:val="Tekstpodstawowywcity"/>
        <w:numPr>
          <w:ilvl w:val="0"/>
          <w:numId w:val="26"/>
        </w:numPr>
        <w:tabs>
          <w:tab w:val="clear" w:pos="720"/>
          <w:tab w:val="num" w:pos="540"/>
        </w:tabs>
        <w:ind w:left="540" w:hanging="540"/>
        <w:rPr>
          <w:b/>
          <w:bCs/>
          <w:sz w:val="22"/>
          <w:szCs w:val="22"/>
        </w:rPr>
      </w:pPr>
      <w:r w:rsidRPr="00374521">
        <w:rPr>
          <w:b/>
          <w:bCs/>
          <w:sz w:val="22"/>
          <w:szCs w:val="22"/>
        </w:rPr>
        <w:t>DATA ZATWIERDZENIA LUB CZĘŚCIOWEJ ZMIANY TEKSTU CHARAKTERYSTYKI PRODUKTU LECZNICZEGO</w:t>
      </w:r>
    </w:p>
    <w:p w14:paraId="4A352B76" w14:textId="77777777" w:rsidR="00BC4DEE" w:rsidRPr="00374521" w:rsidRDefault="00BC4DEE" w:rsidP="00374521">
      <w:pPr>
        <w:autoSpaceDE w:val="0"/>
        <w:autoSpaceDN w:val="0"/>
        <w:adjustRightInd w:val="0"/>
        <w:rPr>
          <w:iCs/>
          <w:sz w:val="22"/>
          <w:szCs w:val="22"/>
        </w:rPr>
      </w:pPr>
    </w:p>
    <w:p w14:paraId="74D12515" w14:textId="42527992" w:rsidR="006453ED" w:rsidRPr="00374521" w:rsidRDefault="00835A65" w:rsidP="00374521">
      <w:pPr>
        <w:autoSpaceDE w:val="0"/>
        <w:autoSpaceDN w:val="0"/>
        <w:adjustRightInd w:val="0"/>
        <w:rPr>
          <w:iCs/>
          <w:sz w:val="22"/>
          <w:szCs w:val="22"/>
        </w:rPr>
      </w:pPr>
      <w:r>
        <w:rPr>
          <w:iCs/>
          <w:sz w:val="22"/>
          <w:szCs w:val="22"/>
        </w:rPr>
        <w:t>01.12.2021</w:t>
      </w:r>
    </w:p>
    <w:sectPr w:rsidR="006453ED" w:rsidRPr="00374521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2E1D9" w14:textId="77777777" w:rsidR="001508D4" w:rsidRDefault="001508D4">
      <w:r>
        <w:separator/>
      </w:r>
    </w:p>
  </w:endnote>
  <w:endnote w:type="continuationSeparator" w:id="0">
    <w:p w14:paraId="1820493B" w14:textId="77777777" w:rsidR="001508D4" w:rsidRDefault="0015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0B780" w14:textId="77777777" w:rsidR="00CB0223" w:rsidRDefault="00CB022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DC9683" w14:textId="77777777" w:rsidR="00CB0223" w:rsidRDefault="00CB02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50E75" w14:textId="1EA94360" w:rsidR="00CB0223" w:rsidRDefault="00CB022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B0EF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22895F1" w14:textId="77777777" w:rsidR="00CB0223" w:rsidRDefault="00CB02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E63E6" w14:textId="77777777" w:rsidR="001508D4" w:rsidRDefault="001508D4">
      <w:r>
        <w:separator/>
      </w:r>
    </w:p>
  </w:footnote>
  <w:footnote w:type="continuationSeparator" w:id="0">
    <w:p w14:paraId="2D948F6F" w14:textId="77777777" w:rsidR="001508D4" w:rsidRDefault="00150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F17B3"/>
    <w:multiLevelType w:val="multilevel"/>
    <w:tmpl w:val="804A2F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6A16F47"/>
    <w:multiLevelType w:val="hybridMultilevel"/>
    <w:tmpl w:val="69681B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66109F"/>
    <w:multiLevelType w:val="multilevel"/>
    <w:tmpl w:val="9668777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AB24628"/>
    <w:multiLevelType w:val="hybridMultilevel"/>
    <w:tmpl w:val="3F96DEA6"/>
    <w:lvl w:ilvl="0" w:tplc="1E90C8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67766"/>
    <w:multiLevelType w:val="multilevel"/>
    <w:tmpl w:val="3F96DEA6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17801"/>
    <w:multiLevelType w:val="multilevel"/>
    <w:tmpl w:val="5208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5864DEC"/>
    <w:multiLevelType w:val="multilevel"/>
    <w:tmpl w:val="4770E87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7B92004"/>
    <w:multiLevelType w:val="multilevel"/>
    <w:tmpl w:val="718C8BDA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8" w15:restartNumberingAfterBreak="0">
    <w:nsid w:val="2C6E4272"/>
    <w:multiLevelType w:val="hybridMultilevel"/>
    <w:tmpl w:val="C2025E7A"/>
    <w:lvl w:ilvl="0" w:tplc="7F5EB8F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520EF"/>
    <w:multiLevelType w:val="hybridMultilevel"/>
    <w:tmpl w:val="7680932E"/>
    <w:lvl w:ilvl="0" w:tplc="CD6AE5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B252D"/>
    <w:multiLevelType w:val="multilevel"/>
    <w:tmpl w:val="804A2F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3A1502D1"/>
    <w:multiLevelType w:val="multilevel"/>
    <w:tmpl w:val="02EEA08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D187259"/>
    <w:multiLevelType w:val="multilevel"/>
    <w:tmpl w:val="5208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2F9159C"/>
    <w:multiLevelType w:val="multilevel"/>
    <w:tmpl w:val="8A70816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7D86596"/>
    <w:multiLevelType w:val="hybridMultilevel"/>
    <w:tmpl w:val="FD4A85A4"/>
    <w:lvl w:ilvl="0" w:tplc="1E90C8D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E52A2E"/>
    <w:multiLevelType w:val="multilevel"/>
    <w:tmpl w:val="5208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CEF2012"/>
    <w:multiLevelType w:val="hybridMultilevel"/>
    <w:tmpl w:val="18886F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513141"/>
    <w:multiLevelType w:val="multilevel"/>
    <w:tmpl w:val="804A2F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55B4271E"/>
    <w:multiLevelType w:val="multilevel"/>
    <w:tmpl w:val="804A2F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55F32583"/>
    <w:multiLevelType w:val="hybridMultilevel"/>
    <w:tmpl w:val="9CE479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912A5"/>
    <w:multiLevelType w:val="multilevel"/>
    <w:tmpl w:val="03E0E93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81028A0"/>
    <w:multiLevelType w:val="hybridMultilevel"/>
    <w:tmpl w:val="8ED401B8"/>
    <w:lvl w:ilvl="0" w:tplc="CD6AE55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D64FE"/>
    <w:multiLevelType w:val="multilevel"/>
    <w:tmpl w:val="804A2F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5F4D4A0F"/>
    <w:multiLevelType w:val="hybridMultilevel"/>
    <w:tmpl w:val="C97E5C1A"/>
    <w:lvl w:ilvl="0" w:tplc="52B45184">
      <w:start w:val="5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EA5D30"/>
    <w:multiLevelType w:val="hybridMultilevel"/>
    <w:tmpl w:val="40FEA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C02529"/>
    <w:multiLevelType w:val="hybridMultilevel"/>
    <w:tmpl w:val="9D14B1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E075F"/>
    <w:multiLevelType w:val="multilevel"/>
    <w:tmpl w:val="CEC2807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num w:numId="1">
    <w:abstractNumId w:val="12"/>
  </w:num>
  <w:num w:numId="2">
    <w:abstractNumId w:val="20"/>
  </w:num>
  <w:num w:numId="3">
    <w:abstractNumId w:val="7"/>
  </w:num>
  <w:num w:numId="4">
    <w:abstractNumId w:val="11"/>
  </w:num>
  <w:num w:numId="5">
    <w:abstractNumId w:val="25"/>
  </w:num>
  <w:num w:numId="6">
    <w:abstractNumId w:val="9"/>
  </w:num>
  <w:num w:numId="7">
    <w:abstractNumId w:val="22"/>
  </w:num>
  <w:num w:numId="8">
    <w:abstractNumId w:val="0"/>
  </w:num>
  <w:num w:numId="9">
    <w:abstractNumId w:val="17"/>
  </w:num>
  <w:num w:numId="10">
    <w:abstractNumId w:val="13"/>
  </w:num>
  <w:num w:numId="11">
    <w:abstractNumId w:val="10"/>
  </w:num>
  <w:num w:numId="12">
    <w:abstractNumId w:val="18"/>
  </w:num>
  <w:num w:numId="13">
    <w:abstractNumId w:val="5"/>
  </w:num>
  <w:num w:numId="14">
    <w:abstractNumId w:val="26"/>
  </w:num>
  <w:num w:numId="15">
    <w:abstractNumId w:val="15"/>
  </w:num>
  <w:num w:numId="16">
    <w:abstractNumId w:val="6"/>
  </w:num>
  <w:num w:numId="17">
    <w:abstractNumId w:val="2"/>
  </w:num>
  <w:num w:numId="18">
    <w:abstractNumId w:val="8"/>
  </w:num>
  <w:num w:numId="19">
    <w:abstractNumId w:val="14"/>
  </w:num>
  <w:num w:numId="20">
    <w:abstractNumId w:val="3"/>
  </w:num>
  <w:num w:numId="21">
    <w:abstractNumId w:val="4"/>
  </w:num>
  <w:num w:numId="22">
    <w:abstractNumId w:val="21"/>
  </w:num>
  <w:num w:numId="23">
    <w:abstractNumId w:val="1"/>
  </w:num>
  <w:num w:numId="24">
    <w:abstractNumId w:val="23"/>
  </w:num>
  <w:num w:numId="25">
    <w:abstractNumId w:val="16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3NzU0tAQyLYwNLJV0lIJTi4sz8/NACgxrAdBSIm0sAAAA"/>
  </w:docVars>
  <w:rsids>
    <w:rsidRoot w:val="00484FC7"/>
    <w:rsid w:val="00004066"/>
    <w:rsid w:val="00005914"/>
    <w:rsid w:val="00007534"/>
    <w:rsid w:val="00010693"/>
    <w:rsid w:val="000113B6"/>
    <w:rsid w:val="00015873"/>
    <w:rsid w:val="000208CB"/>
    <w:rsid w:val="00022967"/>
    <w:rsid w:val="00025C47"/>
    <w:rsid w:val="00034352"/>
    <w:rsid w:val="0003667D"/>
    <w:rsid w:val="00040E8C"/>
    <w:rsid w:val="00041254"/>
    <w:rsid w:val="00041817"/>
    <w:rsid w:val="00041C2E"/>
    <w:rsid w:val="00051ED6"/>
    <w:rsid w:val="00054AC2"/>
    <w:rsid w:val="000573AF"/>
    <w:rsid w:val="0006098E"/>
    <w:rsid w:val="00060CE4"/>
    <w:rsid w:val="00062A0C"/>
    <w:rsid w:val="00065897"/>
    <w:rsid w:val="00070D65"/>
    <w:rsid w:val="00076631"/>
    <w:rsid w:val="00082BC5"/>
    <w:rsid w:val="00084BDB"/>
    <w:rsid w:val="00085634"/>
    <w:rsid w:val="000859C1"/>
    <w:rsid w:val="0008681C"/>
    <w:rsid w:val="000905E4"/>
    <w:rsid w:val="000908BE"/>
    <w:rsid w:val="00094D7A"/>
    <w:rsid w:val="000953D1"/>
    <w:rsid w:val="00097354"/>
    <w:rsid w:val="000A4D9F"/>
    <w:rsid w:val="000B2AF5"/>
    <w:rsid w:val="000B42A9"/>
    <w:rsid w:val="000B4DA7"/>
    <w:rsid w:val="000B7EE4"/>
    <w:rsid w:val="000D0151"/>
    <w:rsid w:val="000D09B5"/>
    <w:rsid w:val="000D1C7E"/>
    <w:rsid w:val="000D3E50"/>
    <w:rsid w:val="000D7BD5"/>
    <w:rsid w:val="000E3CDE"/>
    <w:rsid w:val="000E4C47"/>
    <w:rsid w:val="000E6B9F"/>
    <w:rsid w:val="000F08DA"/>
    <w:rsid w:val="000F0F99"/>
    <w:rsid w:val="000F1145"/>
    <w:rsid w:val="000F1396"/>
    <w:rsid w:val="000F42E4"/>
    <w:rsid w:val="000F4B60"/>
    <w:rsid w:val="000F5EAE"/>
    <w:rsid w:val="000F71FF"/>
    <w:rsid w:val="000F737B"/>
    <w:rsid w:val="000F7E06"/>
    <w:rsid w:val="0010109B"/>
    <w:rsid w:val="0010168A"/>
    <w:rsid w:val="00105585"/>
    <w:rsid w:val="00105A9E"/>
    <w:rsid w:val="001104F4"/>
    <w:rsid w:val="001104FA"/>
    <w:rsid w:val="00110DBD"/>
    <w:rsid w:val="00111A2B"/>
    <w:rsid w:val="00120692"/>
    <w:rsid w:val="00121F91"/>
    <w:rsid w:val="0012202D"/>
    <w:rsid w:val="00122B61"/>
    <w:rsid w:val="0012650B"/>
    <w:rsid w:val="001324F3"/>
    <w:rsid w:val="0013369D"/>
    <w:rsid w:val="00136CED"/>
    <w:rsid w:val="00137EA9"/>
    <w:rsid w:val="001504C8"/>
    <w:rsid w:val="001508D4"/>
    <w:rsid w:val="001522EA"/>
    <w:rsid w:val="00157B34"/>
    <w:rsid w:val="00161D45"/>
    <w:rsid w:val="00162BC3"/>
    <w:rsid w:val="00163B2A"/>
    <w:rsid w:val="001640C0"/>
    <w:rsid w:val="0016544B"/>
    <w:rsid w:val="00166C16"/>
    <w:rsid w:val="00171B67"/>
    <w:rsid w:val="001742C2"/>
    <w:rsid w:val="00177885"/>
    <w:rsid w:val="00183CBA"/>
    <w:rsid w:val="00187613"/>
    <w:rsid w:val="001918F8"/>
    <w:rsid w:val="00191DE3"/>
    <w:rsid w:val="001A2369"/>
    <w:rsid w:val="001A38B1"/>
    <w:rsid w:val="001B1F35"/>
    <w:rsid w:val="001B20B4"/>
    <w:rsid w:val="001B2ACE"/>
    <w:rsid w:val="001B374A"/>
    <w:rsid w:val="001B50D2"/>
    <w:rsid w:val="001C1704"/>
    <w:rsid w:val="001C3B0A"/>
    <w:rsid w:val="001C4A01"/>
    <w:rsid w:val="001C4AB7"/>
    <w:rsid w:val="001C5BC1"/>
    <w:rsid w:val="001D05F4"/>
    <w:rsid w:val="001D2B0C"/>
    <w:rsid w:val="001D47A2"/>
    <w:rsid w:val="001D50D0"/>
    <w:rsid w:val="001D570F"/>
    <w:rsid w:val="001D7520"/>
    <w:rsid w:val="001E0D88"/>
    <w:rsid w:val="001E3A50"/>
    <w:rsid w:val="001E57E3"/>
    <w:rsid w:val="001F2932"/>
    <w:rsid w:val="001F5C8B"/>
    <w:rsid w:val="001F6CFC"/>
    <w:rsid w:val="00200FA1"/>
    <w:rsid w:val="002022FE"/>
    <w:rsid w:val="00204FA0"/>
    <w:rsid w:val="00205EDC"/>
    <w:rsid w:val="002068EB"/>
    <w:rsid w:val="002100D5"/>
    <w:rsid w:val="00210B7B"/>
    <w:rsid w:val="00213D41"/>
    <w:rsid w:val="00214811"/>
    <w:rsid w:val="002159C0"/>
    <w:rsid w:val="00227FCA"/>
    <w:rsid w:val="002331C2"/>
    <w:rsid w:val="0023651B"/>
    <w:rsid w:val="002372B9"/>
    <w:rsid w:val="002415C1"/>
    <w:rsid w:val="00243B41"/>
    <w:rsid w:val="00243E52"/>
    <w:rsid w:val="0024491C"/>
    <w:rsid w:val="00245092"/>
    <w:rsid w:val="00245FBF"/>
    <w:rsid w:val="00247510"/>
    <w:rsid w:val="0025047F"/>
    <w:rsid w:val="002505EF"/>
    <w:rsid w:val="0025673F"/>
    <w:rsid w:val="00257406"/>
    <w:rsid w:val="00257FE2"/>
    <w:rsid w:val="00262429"/>
    <w:rsid w:val="00262BBA"/>
    <w:rsid w:val="0026587D"/>
    <w:rsid w:val="002707FE"/>
    <w:rsid w:val="002723BC"/>
    <w:rsid w:val="00274342"/>
    <w:rsid w:val="002813FD"/>
    <w:rsid w:val="002826C9"/>
    <w:rsid w:val="00282C0B"/>
    <w:rsid w:val="00282C31"/>
    <w:rsid w:val="00283557"/>
    <w:rsid w:val="00284F02"/>
    <w:rsid w:val="00285321"/>
    <w:rsid w:val="002871B0"/>
    <w:rsid w:val="002904B7"/>
    <w:rsid w:val="00290C8E"/>
    <w:rsid w:val="00291EFC"/>
    <w:rsid w:val="002A09A2"/>
    <w:rsid w:val="002A44F0"/>
    <w:rsid w:val="002A5BCD"/>
    <w:rsid w:val="002A68DF"/>
    <w:rsid w:val="002B34E6"/>
    <w:rsid w:val="002B4AEB"/>
    <w:rsid w:val="002B5E67"/>
    <w:rsid w:val="002C0469"/>
    <w:rsid w:val="002C0DE1"/>
    <w:rsid w:val="002C6DA7"/>
    <w:rsid w:val="002C7A37"/>
    <w:rsid w:val="002C7CFC"/>
    <w:rsid w:val="002D13B0"/>
    <w:rsid w:val="002D2517"/>
    <w:rsid w:val="002D3975"/>
    <w:rsid w:val="002D5BF8"/>
    <w:rsid w:val="002D5F52"/>
    <w:rsid w:val="002D61D7"/>
    <w:rsid w:val="002E212E"/>
    <w:rsid w:val="002E7F1E"/>
    <w:rsid w:val="002F1A58"/>
    <w:rsid w:val="002F3731"/>
    <w:rsid w:val="002F4CC4"/>
    <w:rsid w:val="002F6052"/>
    <w:rsid w:val="002F60E9"/>
    <w:rsid w:val="002F65DE"/>
    <w:rsid w:val="00300594"/>
    <w:rsid w:val="00300A30"/>
    <w:rsid w:val="003015CA"/>
    <w:rsid w:val="0030242C"/>
    <w:rsid w:val="00306AFD"/>
    <w:rsid w:val="0031174B"/>
    <w:rsid w:val="00311BD9"/>
    <w:rsid w:val="003130F8"/>
    <w:rsid w:val="00313BBE"/>
    <w:rsid w:val="00322C29"/>
    <w:rsid w:val="003231BA"/>
    <w:rsid w:val="00323A29"/>
    <w:rsid w:val="00324D61"/>
    <w:rsid w:val="00326038"/>
    <w:rsid w:val="00330698"/>
    <w:rsid w:val="003342E5"/>
    <w:rsid w:val="003356C9"/>
    <w:rsid w:val="00340722"/>
    <w:rsid w:val="00342FDE"/>
    <w:rsid w:val="00344D45"/>
    <w:rsid w:val="00346168"/>
    <w:rsid w:val="0034702D"/>
    <w:rsid w:val="00351914"/>
    <w:rsid w:val="00354241"/>
    <w:rsid w:val="0035467A"/>
    <w:rsid w:val="00361825"/>
    <w:rsid w:val="003630B6"/>
    <w:rsid w:val="0036777E"/>
    <w:rsid w:val="0037156C"/>
    <w:rsid w:val="00373318"/>
    <w:rsid w:val="003743EB"/>
    <w:rsid w:val="00374521"/>
    <w:rsid w:val="0037480E"/>
    <w:rsid w:val="00375038"/>
    <w:rsid w:val="0037594F"/>
    <w:rsid w:val="0037659B"/>
    <w:rsid w:val="00380957"/>
    <w:rsid w:val="00381801"/>
    <w:rsid w:val="0038517D"/>
    <w:rsid w:val="00393801"/>
    <w:rsid w:val="00393FC6"/>
    <w:rsid w:val="003940D9"/>
    <w:rsid w:val="003977C1"/>
    <w:rsid w:val="003A30BA"/>
    <w:rsid w:val="003A38E5"/>
    <w:rsid w:val="003A4400"/>
    <w:rsid w:val="003A5983"/>
    <w:rsid w:val="003B20AC"/>
    <w:rsid w:val="003B250F"/>
    <w:rsid w:val="003B2AB3"/>
    <w:rsid w:val="003B34C0"/>
    <w:rsid w:val="003B592B"/>
    <w:rsid w:val="003B5CC4"/>
    <w:rsid w:val="003B7D65"/>
    <w:rsid w:val="003C09B2"/>
    <w:rsid w:val="003C1030"/>
    <w:rsid w:val="003C22B7"/>
    <w:rsid w:val="003C411B"/>
    <w:rsid w:val="003C5A2E"/>
    <w:rsid w:val="003D066D"/>
    <w:rsid w:val="003D0920"/>
    <w:rsid w:val="003D3609"/>
    <w:rsid w:val="003D440C"/>
    <w:rsid w:val="003D54B7"/>
    <w:rsid w:val="003E5558"/>
    <w:rsid w:val="003F50A8"/>
    <w:rsid w:val="00401448"/>
    <w:rsid w:val="00401790"/>
    <w:rsid w:val="00422BBD"/>
    <w:rsid w:val="0042783E"/>
    <w:rsid w:val="00427A51"/>
    <w:rsid w:val="00432978"/>
    <w:rsid w:val="004378AF"/>
    <w:rsid w:val="00440480"/>
    <w:rsid w:val="004417A8"/>
    <w:rsid w:val="0044223E"/>
    <w:rsid w:val="00445288"/>
    <w:rsid w:val="0044536E"/>
    <w:rsid w:val="0044644A"/>
    <w:rsid w:val="004464DD"/>
    <w:rsid w:val="00450950"/>
    <w:rsid w:val="0045467D"/>
    <w:rsid w:val="00454A90"/>
    <w:rsid w:val="004557CE"/>
    <w:rsid w:val="00461821"/>
    <w:rsid w:val="0046291B"/>
    <w:rsid w:val="004669E8"/>
    <w:rsid w:val="004733AA"/>
    <w:rsid w:val="00475893"/>
    <w:rsid w:val="00475BFB"/>
    <w:rsid w:val="00476B48"/>
    <w:rsid w:val="00481252"/>
    <w:rsid w:val="004845CF"/>
    <w:rsid w:val="00484FC7"/>
    <w:rsid w:val="0048539F"/>
    <w:rsid w:val="004860E7"/>
    <w:rsid w:val="00492710"/>
    <w:rsid w:val="004A64D2"/>
    <w:rsid w:val="004B20C3"/>
    <w:rsid w:val="004B24E0"/>
    <w:rsid w:val="004B36B9"/>
    <w:rsid w:val="004B3A15"/>
    <w:rsid w:val="004C15B1"/>
    <w:rsid w:val="004C340B"/>
    <w:rsid w:val="004C4BA2"/>
    <w:rsid w:val="004C5015"/>
    <w:rsid w:val="004D316C"/>
    <w:rsid w:val="004E034D"/>
    <w:rsid w:val="004E04D5"/>
    <w:rsid w:val="004E161D"/>
    <w:rsid w:val="004E201B"/>
    <w:rsid w:val="004E296D"/>
    <w:rsid w:val="004E365F"/>
    <w:rsid w:val="004E4AC3"/>
    <w:rsid w:val="004E502D"/>
    <w:rsid w:val="004E53F2"/>
    <w:rsid w:val="004F2274"/>
    <w:rsid w:val="004F2521"/>
    <w:rsid w:val="004F3F1A"/>
    <w:rsid w:val="004F3F95"/>
    <w:rsid w:val="004F430D"/>
    <w:rsid w:val="004F4F0B"/>
    <w:rsid w:val="004F54C5"/>
    <w:rsid w:val="004F5DC3"/>
    <w:rsid w:val="004F6591"/>
    <w:rsid w:val="005009D9"/>
    <w:rsid w:val="00511ACB"/>
    <w:rsid w:val="00516839"/>
    <w:rsid w:val="00517C47"/>
    <w:rsid w:val="00523ACA"/>
    <w:rsid w:val="0052487C"/>
    <w:rsid w:val="00527A2B"/>
    <w:rsid w:val="00527D48"/>
    <w:rsid w:val="00535C82"/>
    <w:rsid w:val="00537E95"/>
    <w:rsid w:val="005412B8"/>
    <w:rsid w:val="00547181"/>
    <w:rsid w:val="00556246"/>
    <w:rsid w:val="00556DD0"/>
    <w:rsid w:val="00557615"/>
    <w:rsid w:val="00557B0F"/>
    <w:rsid w:val="00557CCA"/>
    <w:rsid w:val="00562057"/>
    <w:rsid w:val="005620F1"/>
    <w:rsid w:val="0056736E"/>
    <w:rsid w:val="00570E36"/>
    <w:rsid w:val="005711D7"/>
    <w:rsid w:val="005735D2"/>
    <w:rsid w:val="00574670"/>
    <w:rsid w:val="00575E5E"/>
    <w:rsid w:val="00580C9B"/>
    <w:rsid w:val="0058137A"/>
    <w:rsid w:val="00583FCD"/>
    <w:rsid w:val="00593F44"/>
    <w:rsid w:val="005A207D"/>
    <w:rsid w:val="005A54CD"/>
    <w:rsid w:val="005A5C9C"/>
    <w:rsid w:val="005A5DF2"/>
    <w:rsid w:val="005A78AA"/>
    <w:rsid w:val="005B1922"/>
    <w:rsid w:val="005B649B"/>
    <w:rsid w:val="005B69EE"/>
    <w:rsid w:val="005C698A"/>
    <w:rsid w:val="005D334E"/>
    <w:rsid w:val="005D506D"/>
    <w:rsid w:val="005D5233"/>
    <w:rsid w:val="005D770D"/>
    <w:rsid w:val="005E42F0"/>
    <w:rsid w:val="005E4DAF"/>
    <w:rsid w:val="005E51CD"/>
    <w:rsid w:val="005E6CE7"/>
    <w:rsid w:val="005F04C7"/>
    <w:rsid w:val="005F0828"/>
    <w:rsid w:val="005F1DBC"/>
    <w:rsid w:val="005F29F2"/>
    <w:rsid w:val="005F7B79"/>
    <w:rsid w:val="005F7FDA"/>
    <w:rsid w:val="00600EAC"/>
    <w:rsid w:val="00601395"/>
    <w:rsid w:val="006015C6"/>
    <w:rsid w:val="006052F7"/>
    <w:rsid w:val="006058D4"/>
    <w:rsid w:val="006068E3"/>
    <w:rsid w:val="0060712D"/>
    <w:rsid w:val="00610B78"/>
    <w:rsid w:val="006115B8"/>
    <w:rsid w:val="006127FE"/>
    <w:rsid w:val="00613EA9"/>
    <w:rsid w:val="006250EB"/>
    <w:rsid w:val="006354DC"/>
    <w:rsid w:val="00636F6D"/>
    <w:rsid w:val="00642D00"/>
    <w:rsid w:val="006453ED"/>
    <w:rsid w:val="00646636"/>
    <w:rsid w:val="00647077"/>
    <w:rsid w:val="006501AE"/>
    <w:rsid w:val="00650E43"/>
    <w:rsid w:val="00651A04"/>
    <w:rsid w:val="006551D9"/>
    <w:rsid w:val="00655DD7"/>
    <w:rsid w:val="00657AE7"/>
    <w:rsid w:val="00657B24"/>
    <w:rsid w:val="0066010D"/>
    <w:rsid w:val="006602B1"/>
    <w:rsid w:val="006613F3"/>
    <w:rsid w:val="00662614"/>
    <w:rsid w:val="00662F08"/>
    <w:rsid w:val="0066353C"/>
    <w:rsid w:val="00663651"/>
    <w:rsid w:val="0066736C"/>
    <w:rsid w:val="00667591"/>
    <w:rsid w:val="00671469"/>
    <w:rsid w:val="00674846"/>
    <w:rsid w:val="00675E0F"/>
    <w:rsid w:val="00676096"/>
    <w:rsid w:val="00677247"/>
    <w:rsid w:val="00677F48"/>
    <w:rsid w:val="006831AA"/>
    <w:rsid w:val="00684C7A"/>
    <w:rsid w:val="00687366"/>
    <w:rsid w:val="00693317"/>
    <w:rsid w:val="006935DA"/>
    <w:rsid w:val="00697100"/>
    <w:rsid w:val="006A57BE"/>
    <w:rsid w:val="006B0EF8"/>
    <w:rsid w:val="006B58FF"/>
    <w:rsid w:val="006B5D30"/>
    <w:rsid w:val="006B7519"/>
    <w:rsid w:val="006C1DA5"/>
    <w:rsid w:val="006C3880"/>
    <w:rsid w:val="006C3F88"/>
    <w:rsid w:val="006D0B75"/>
    <w:rsid w:val="006D49A3"/>
    <w:rsid w:val="006D6418"/>
    <w:rsid w:val="006E3261"/>
    <w:rsid w:val="006E3E17"/>
    <w:rsid w:val="006E52EA"/>
    <w:rsid w:val="006E5E5C"/>
    <w:rsid w:val="006F6035"/>
    <w:rsid w:val="00700C53"/>
    <w:rsid w:val="0070375C"/>
    <w:rsid w:val="00706637"/>
    <w:rsid w:val="007103EE"/>
    <w:rsid w:val="0071168D"/>
    <w:rsid w:val="00713E9B"/>
    <w:rsid w:val="007148E2"/>
    <w:rsid w:val="00715A54"/>
    <w:rsid w:val="007235DE"/>
    <w:rsid w:val="007249C2"/>
    <w:rsid w:val="0073294A"/>
    <w:rsid w:val="00737D70"/>
    <w:rsid w:val="0074137C"/>
    <w:rsid w:val="00741547"/>
    <w:rsid w:val="007420C6"/>
    <w:rsid w:val="0074625D"/>
    <w:rsid w:val="00753B2B"/>
    <w:rsid w:val="00755789"/>
    <w:rsid w:val="0076030B"/>
    <w:rsid w:val="007603AF"/>
    <w:rsid w:val="0076224F"/>
    <w:rsid w:val="00762ABC"/>
    <w:rsid w:val="00763FCA"/>
    <w:rsid w:val="007646ED"/>
    <w:rsid w:val="0076678A"/>
    <w:rsid w:val="00770155"/>
    <w:rsid w:val="00771C34"/>
    <w:rsid w:val="00771C6C"/>
    <w:rsid w:val="00774955"/>
    <w:rsid w:val="00776EA0"/>
    <w:rsid w:val="00777234"/>
    <w:rsid w:val="00777259"/>
    <w:rsid w:val="007772EC"/>
    <w:rsid w:val="00782CBC"/>
    <w:rsid w:val="00783978"/>
    <w:rsid w:val="00784507"/>
    <w:rsid w:val="007850BA"/>
    <w:rsid w:val="0078754A"/>
    <w:rsid w:val="007879E6"/>
    <w:rsid w:val="00787BB3"/>
    <w:rsid w:val="00790433"/>
    <w:rsid w:val="00791A8A"/>
    <w:rsid w:val="00796754"/>
    <w:rsid w:val="00797BC3"/>
    <w:rsid w:val="007A0E05"/>
    <w:rsid w:val="007A45F6"/>
    <w:rsid w:val="007A6336"/>
    <w:rsid w:val="007A69BC"/>
    <w:rsid w:val="007A7145"/>
    <w:rsid w:val="007A75FA"/>
    <w:rsid w:val="007B16EB"/>
    <w:rsid w:val="007B2923"/>
    <w:rsid w:val="007B3370"/>
    <w:rsid w:val="007B4331"/>
    <w:rsid w:val="007B524A"/>
    <w:rsid w:val="007C0286"/>
    <w:rsid w:val="007C6BC4"/>
    <w:rsid w:val="007D0840"/>
    <w:rsid w:val="007D1748"/>
    <w:rsid w:val="007D7A5C"/>
    <w:rsid w:val="007E01F7"/>
    <w:rsid w:val="007E4C2F"/>
    <w:rsid w:val="007E4EE6"/>
    <w:rsid w:val="007E5401"/>
    <w:rsid w:val="007E5BA6"/>
    <w:rsid w:val="007E7DB4"/>
    <w:rsid w:val="007F027A"/>
    <w:rsid w:val="007F0BA0"/>
    <w:rsid w:val="007F158E"/>
    <w:rsid w:val="007F3B0D"/>
    <w:rsid w:val="007F4A75"/>
    <w:rsid w:val="008017F9"/>
    <w:rsid w:val="00801BBB"/>
    <w:rsid w:val="008038FE"/>
    <w:rsid w:val="00805224"/>
    <w:rsid w:val="008104E7"/>
    <w:rsid w:val="0081109C"/>
    <w:rsid w:val="0081207A"/>
    <w:rsid w:val="0081373A"/>
    <w:rsid w:val="00814AFC"/>
    <w:rsid w:val="008155CC"/>
    <w:rsid w:val="0081602B"/>
    <w:rsid w:val="00820573"/>
    <w:rsid w:val="00821E32"/>
    <w:rsid w:val="00822FC1"/>
    <w:rsid w:val="00826812"/>
    <w:rsid w:val="00826CD9"/>
    <w:rsid w:val="00826E68"/>
    <w:rsid w:val="00826FB8"/>
    <w:rsid w:val="00827197"/>
    <w:rsid w:val="00834B02"/>
    <w:rsid w:val="00835A65"/>
    <w:rsid w:val="00840833"/>
    <w:rsid w:val="00840AEC"/>
    <w:rsid w:val="008412E6"/>
    <w:rsid w:val="00842A78"/>
    <w:rsid w:val="00845A55"/>
    <w:rsid w:val="008460C9"/>
    <w:rsid w:val="00846AC4"/>
    <w:rsid w:val="00847A7B"/>
    <w:rsid w:val="008509EA"/>
    <w:rsid w:val="00850F92"/>
    <w:rsid w:val="008510A6"/>
    <w:rsid w:val="00851F57"/>
    <w:rsid w:val="00852A25"/>
    <w:rsid w:val="008533C4"/>
    <w:rsid w:val="00856B73"/>
    <w:rsid w:val="00865C66"/>
    <w:rsid w:val="00874917"/>
    <w:rsid w:val="0088439E"/>
    <w:rsid w:val="00886228"/>
    <w:rsid w:val="0088760E"/>
    <w:rsid w:val="00887FE2"/>
    <w:rsid w:val="00893637"/>
    <w:rsid w:val="008A00A2"/>
    <w:rsid w:val="008A0AE3"/>
    <w:rsid w:val="008A2AFA"/>
    <w:rsid w:val="008B1253"/>
    <w:rsid w:val="008B651E"/>
    <w:rsid w:val="008C210D"/>
    <w:rsid w:val="008C2D55"/>
    <w:rsid w:val="008C325C"/>
    <w:rsid w:val="008C5BE7"/>
    <w:rsid w:val="008C5E50"/>
    <w:rsid w:val="008C7FBE"/>
    <w:rsid w:val="008D2A6B"/>
    <w:rsid w:val="008D7E86"/>
    <w:rsid w:val="008E1BD1"/>
    <w:rsid w:val="008E3357"/>
    <w:rsid w:val="008E3BC4"/>
    <w:rsid w:val="008E716E"/>
    <w:rsid w:val="008E7589"/>
    <w:rsid w:val="008F0CF1"/>
    <w:rsid w:val="008F4872"/>
    <w:rsid w:val="008F4C61"/>
    <w:rsid w:val="00900AD7"/>
    <w:rsid w:val="00903333"/>
    <w:rsid w:val="009122A1"/>
    <w:rsid w:val="0091654F"/>
    <w:rsid w:val="00921A1D"/>
    <w:rsid w:val="00931B71"/>
    <w:rsid w:val="00932A01"/>
    <w:rsid w:val="00943D0A"/>
    <w:rsid w:val="009452EB"/>
    <w:rsid w:val="009454D7"/>
    <w:rsid w:val="00946179"/>
    <w:rsid w:val="0094727F"/>
    <w:rsid w:val="0095095F"/>
    <w:rsid w:val="00950D14"/>
    <w:rsid w:val="00952017"/>
    <w:rsid w:val="0095390C"/>
    <w:rsid w:val="00954FEB"/>
    <w:rsid w:val="00957B03"/>
    <w:rsid w:val="00961B08"/>
    <w:rsid w:val="0096290F"/>
    <w:rsid w:val="0096686A"/>
    <w:rsid w:val="0097216B"/>
    <w:rsid w:val="009745C9"/>
    <w:rsid w:val="00975317"/>
    <w:rsid w:val="0098193C"/>
    <w:rsid w:val="00983FBF"/>
    <w:rsid w:val="00984D47"/>
    <w:rsid w:val="009860CB"/>
    <w:rsid w:val="00986AC2"/>
    <w:rsid w:val="00986DF4"/>
    <w:rsid w:val="00986EFD"/>
    <w:rsid w:val="009875CD"/>
    <w:rsid w:val="00991965"/>
    <w:rsid w:val="00994AF8"/>
    <w:rsid w:val="009A1352"/>
    <w:rsid w:val="009A4B73"/>
    <w:rsid w:val="009A7312"/>
    <w:rsid w:val="009B0047"/>
    <w:rsid w:val="009B4FC0"/>
    <w:rsid w:val="009C0B4D"/>
    <w:rsid w:val="009C0D77"/>
    <w:rsid w:val="009D2A7B"/>
    <w:rsid w:val="009D3ABB"/>
    <w:rsid w:val="009D50BD"/>
    <w:rsid w:val="009D72E9"/>
    <w:rsid w:val="009E07C1"/>
    <w:rsid w:val="009E3AE4"/>
    <w:rsid w:val="009E59AF"/>
    <w:rsid w:val="009F02CA"/>
    <w:rsid w:val="009F1FB8"/>
    <w:rsid w:val="009F49D7"/>
    <w:rsid w:val="009F4E91"/>
    <w:rsid w:val="009F6BD4"/>
    <w:rsid w:val="009F7428"/>
    <w:rsid w:val="00A00A26"/>
    <w:rsid w:val="00A01A4B"/>
    <w:rsid w:val="00A024F7"/>
    <w:rsid w:val="00A03356"/>
    <w:rsid w:val="00A04435"/>
    <w:rsid w:val="00A0796F"/>
    <w:rsid w:val="00A14639"/>
    <w:rsid w:val="00A14E87"/>
    <w:rsid w:val="00A1506E"/>
    <w:rsid w:val="00A22E7C"/>
    <w:rsid w:val="00A24EA5"/>
    <w:rsid w:val="00A3039C"/>
    <w:rsid w:val="00A31E28"/>
    <w:rsid w:val="00A35463"/>
    <w:rsid w:val="00A36D51"/>
    <w:rsid w:val="00A410C2"/>
    <w:rsid w:val="00A4316B"/>
    <w:rsid w:val="00A44E07"/>
    <w:rsid w:val="00A550AA"/>
    <w:rsid w:val="00A55DD3"/>
    <w:rsid w:val="00A604AC"/>
    <w:rsid w:val="00A629BA"/>
    <w:rsid w:val="00A6417E"/>
    <w:rsid w:val="00A67825"/>
    <w:rsid w:val="00A75AAE"/>
    <w:rsid w:val="00A75E43"/>
    <w:rsid w:val="00A7717A"/>
    <w:rsid w:val="00A77C7F"/>
    <w:rsid w:val="00A8380E"/>
    <w:rsid w:val="00A844F0"/>
    <w:rsid w:val="00A86B94"/>
    <w:rsid w:val="00A940F0"/>
    <w:rsid w:val="00A95DD1"/>
    <w:rsid w:val="00AA15F3"/>
    <w:rsid w:val="00AA64C6"/>
    <w:rsid w:val="00AC05CF"/>
    <w:rsid w:val="00AC0A26"/>
    <w:rsid w:val="00AC24BB"/>
    <w:rsid w:val="00AC3802"/>
    <w:rsid w:val="00AD31BD"/>
    <w:rsid w:val="00AD35BA"/>
    <w:rsid w:val="00AE2C04"/>
    <w:rsid w:val="00AE51AE"/>
    <w:rsid w:val="00AF0286"/>
    <w:rsid w:val="00AF0FFB"/>
    <w:rsid w:val="00AF6EF3"/>
    <w:rsid w:val="00AF724A"/>
    <w:rsid w:val="00B015E9"/>
    <w:rsid w:val="00B02AA7"/>
    <w:rsid w:val="00B0689A"/>
    <w:rsid w:val="00B11AD0"/>
    <w:rsid w:val="00B12DFE"/>
    <w:rsid w:val="00B16040"/>
    <w:rsid w:val="00B260F5"/>
    <w:rsid w:val="00B27155"/>
    <w:rsid w:val="00B271C0"/>
    <w:rsid w:val="00B305E5"/>
    <w:rsid w:val="00B32CA8"/>
    <w:rsid w:val="00B4435A"/>
    <w:rsid w:val="00B47B6D"/>
    <w:rsid w:val="00B51FF1"/>
    <w:rsid w:val="00B51FFA"/>
    <w:rsid w:val="00B54F7F"/>
    <w:rsid w:val="00B57127"/>
    <w:rsid w:val="00B60E43"/>
    <w:rsid w:val="00B618AB"/>
    <w:rsid w:val="00B6382C"/>
    <w:rsid w:val="00B671F8"/>
    <w:rsid w:val="00B675F9"/>
    <w:rsid w:val="00B67C81"/>
    <w:rsid w:val="00B76ECA"/>
    <w:rsid w:val="00B7768E"/>
    <w:rsid w:val="00B83B16"/>
    <w:rsid w:val="00B90AA4"/>
    <w:rsid w:val="00B92555"/>
    <w:rsid w:val="00B92CB6"/>
    <w:rsid w:val="00B93086"/>
    <w:rsid w:val="00B960AD"/>
    <w:rsid w:val="00B97078"/>
    <w:rsid w:val="00BA191C"/>
    <w:rsid w:val="00BA227F"/>
    <w:rsid w:val="00BA26BA"/>
    <w:rsid w:val="00BA38F6"/>
    <w:rsid w:val="00BA77CD"/>
    <w:rsid w:val="00BB7D91"/>
    <w:rsid w:val="00BC0EAB"/>
    <w:rsid w:val="00BC1133"/>
    <w:rsid w:val="00BC4DEE"/>
    <w:rsid w:val="00BC5053"/>
    <w:rsid w:val="00BC7528"/>
    <w:rsid w:val="00BC778E"/>
    <w:rsid w:val="00BD21F8"/>
    <w:rsid w:val="00BD3D61"/>
    <w:rsid w:val="00BD6CF3"/>
    <w:rsid w:val="00BE463F"/>
    <w:rsid w:val="00BE51D4"/>
    <w:rsid w:val="00BE647C"/>
    <w:rsid w:val="00BE749A"/>
    <w:rsid w:val="00BF469E"/>
    <w:rsid w:val="00BF4DB9"/>
    <w:rsid w:val="00BF5A78"/>
    <w:rsid w:val="00C006D7"/>
    <w:rsid w:val="00C00B97"/>
    <w:rsid w:val="00C0218F"/>
    <w:rsid w:val="00C13F5E"/>
    <w:rsid w:val="00C16077"/>
    <w:rsid w:val="00C223B7"/>
    <w:rsid w:val="00C3244F"/>
    <w:rsid w:val="00C32519"/>
    <w:rsid w:val="00C34210"/>
    <w:rsid w:val="00C35397"/>
    <w:rsid w:val="00C43403"/>
    <w:rsid w:val="00C5122D"/>
    <w:rsid w:val="00C56CFF"/>
    <w:rsid w:val="00C56E5E"/>
    <w:rsid w:val="00C61BB1"/>
    <w:rsid w:val="00C63E63"/>
    <w:rsid w:val="00C660CE"/>
    <w:rsid w:val="00C67524"/>
    <w:rsid w:val="00C67C94"/>
    <w:rsid w:val="00C67F42"/>
    <w:rsid w:val="00C70982"/>
    <w:rsid w:val="00C70BB2"/>
    <w:rsid w:val="00C72E5E"/>
    <w:rsid w:val="00C766A0"/>
    <w:rsid w:val="00C81B5B"/>
    <w:rsid w:val="00C91EC9"/>
    <w:rsid w:val="00C934F6"/>
    <w:rsid w:val="00C96251"/>
    <w:rsid w:val="00C96A52"/>
    <w:rsid w:val="00CA2277"/>
    <w:rsid w:val="00CA616A"/>
    <w:rsid w:val="00CA696F"/>
    <w:rsid w:val="00CA7302"/>
    <w:rsid w:val="00CA7A75"/>
    <w:rsid w:val="00CB0223"/>
    <w:rsid w:val="00CB2270"/>
    <w:rsid w:val="00CB2628"/>
    <w:rsid w:val="00CB3DEE"/>
    <w:rsid w:val="00CB57E6"/>
    <w:rsid w:val="00CB58C8"/>
    <w:rsid w:val="00CB6D0D"/>
    <w:rsid w:val="00CC3400"/>
    <w:rsid w:val="00CC43E9"/>
    <w:rsid w:val="00CC7CC0"/>
    <w:rsid w:val="00CD184B"/>
    <w:rsid w:val="00CD4FCA"/>
    <w:rsid w:val="00CD509F"/>
    <w:rsid w:val="00CE20CD"/>
    <w:rsid w:val="00CE3393"/>
    <w:rsid w:val="00CE5319"/>
    <w:rsid w:val="00CE5C95"/>
    <w:rsid w:val="00CF3051"/>
    <w:rsid w:val="00CF3CCD"/>
    <w:rsid w:val="00CF6110"/>
    <w:rsid w:val="00D02213"/>
    <w:rsid w:val="00D07295"/>
    <w:rsid w:val="00D122C8"/>
    <w:rsid w:val="00D22D49"/>
    <w:rsid w:val="00D234F1"/>
    <w:rsid w:val="00D23E06"/>
    <w:rsid w:val="00D2572A"/>
    <w:rsid w:val="00D25FAA"/>
    <w:rsid w:val="00D300D3"/>
    <w:rsid w:val="00D335F9"/>
    <w:rsid w:val="00D3503F"/>
    <w:rsid w:val="00D36C22"/>
    <w:rsid w:val="00D41EA0"/>
    <w:rsid w:val="00D427A8"/>
    <w:rsid w:val="00D43B49"/>
    <w:rsid w:val="00D44187"/>
    <w:rsid w:val="00D44B37"/>
    <w:rsid w:val="00D46B64"/>
    <w:rsid w:val="00D51394"/>
    <w:rsid w:val="00D51BDF"/>
    <w:rsid w:val="00D52E0B"/>
    <w:rsid w:val="00D604E9"/>
    <w:rsid w:val="00D62B6B"/>
    <w:rsid w:val="00D6583E"/>
    <w:rsid w:val="00D67B89"/>
    <w:rsid w:val="00D70658"/>
    <w:rsid w:val="00D72060"/>
    <w:rsid w:val="00D7596A"/>
    <w:rsid w:val="00D81421"/>
    <w:rsid w:val="00D83C32"/>
    <w:rsid w:val="00D86B9C"/>
    <w:rsid w:val="00D87B75"/>
    <w:rsid w:val="00D90AAB"/>
    <w:rsid w:val="00D93678"/>
    <w:rsid w:val="00D9690F"/>
    <w:rsid w:val="00D97B15"/>
    <w:rsid w:val="00D97C11"/>
    <w:rsid w:val="00DA01E8"/>
    <w:rsid w:val="00DA2A9D"/>
    <w:rsid w:val="00DA2D8A"/>
    <w:rsid w:val="00DA571E"/>
    <w:rsid w:val="00DA5AFE"/>
    <w:rsid w:val="00DB1A36"/>
    <w:rsid w:val="00DB7362"/>
    <w:rsid w:val="00DC057F"/>
    <w:rsid w:val="00DC68EF"/>
    <w:rsid w:val="00DD2CAF"/>
    <w:rsid w:val="00DD3FCB"/>
    <w:rsid w:val="00DD77A4"/>
    <w:rsid w:val="00DE0B42"/>
    <w:rsid w:val="00DE3CE5"/>
    <w:rsid w:val="00DE6ED0"/>
    <w:rsid w:val="00DF049B"/>
    <w:rsid w:val="00DF295A"/>
    <w:rsid w:val="00DF3937"/>
    <w:rsid w:val="00DF48EA"/>
    <w:rsid w:val="00DF7746"/>
    <w:rsid w:val="00DF78C4"/>
    <w:rsid w:val="00E014D1"/>
    <w:rsid w:val="00E017EC"/>
    <w:rsid w:val="00E0185A"/>
    <w:rsid w:val="00E03316"/>
    <w:rsid w:val="00E05851"/>
    <w:rsid w:val="00E07080"/>
    <w:rsid w:val="00E07E23"/>
    <w:rsid w:val="00E15BE5"/>
    <w:rsid w:val="00E17155"/>
    <w:rsid w:val="00E273EE"/>
    <w:rsid w:val="00E2794C"/>
    <w:rsid w:val="00E310A4"/>
    <w:rsid w:val="00E33426"/>
    <w:rsid w:val="00E34060"/>
    <w:rsid w:val="00E446B2"/>
    <w:rsid w:val="00E452EC"/>
    <w:rsid w:val="00E45624"/>
    <w:rsid w:val="00E509D8"/>
    <w:rsid w:val="00E553E4"/>
    <w:rsid w:val="00E612BA"/>
    <w:rsid w:val="00E647CB"/>
    <w:rsid w:val="00E6708E"/>
    <w:rsid w:val="00E70FA3"/>
    <w:rsid w:val="00E72EFE"/>
    <w:rsid w:val="00E740CA"/>
    <w:rsid w:val="00E7476F"/>
    <w:rsid w:val="00E838FD"/>
    <w:rsid w:val="00E84867"/>
    <w:rsid w:val="00E91927"/>
    <w:rsid w:val="00E96104"/>
    <w:rsid w:val="00E974E1"/>
    <w:rsid w:val="00EA02D5"/>
    <w:rsid w:val="00EA781B"/>
    <w:rsid w:val="00EB177A"/>
    <w:rsid w:val="00EB2678"/>
    <w:rsid w:val="00EB6581"/>
    <w:rsid w:val="00EB68D1"/>
    <w:rsid w:val="00EC1106"/>
    <w:rsid w:val="00EC2192"/>
    <w:rsid w:val="00EC329F"/>
    <w:rsid w:val="00EC3E2B"/>
    <w:rsid w:val="00EC491B"/>
    <w:rsid w:val="00EC4E7F"/>
    <w:rsid w:val="00EC5238"/>
    <w:rsid w:val="00EC584E"/>
    <w:rsid w:val="00EC6104"/>
    <w:rsid w:val="00EC7CB0"/>
    <w:rsid w:val="00ED21C0"/>
    <w:rsid w:val="00ED3BD0"/>
    <w:rsid w:val="00ED6536"/>
    <w:rsid w:val="00ED7F0F"/>
    <w:rsid w:val="00EE0F86"/>
    <w:rsid w:val="00EE607B"/>
    <w:rsid w:val="00EF0A21"/>
    <w:rsid w:val="00EF0D3D"/>
    <w:rsid w:val="00EF4C44"/>
    <w:rsid w:val="00EF5900"/>
    <w:rsid w:val="00EF7DC8"/>
    <w:rsid w:val="00F12169"/>
    <w:rsid w:val="00F1279D"/>
    <w:rsid w:val="00F2003E"/>
    <w:rsid w:val="00F20099"/>
    <w:rsid w:val="00F21B81"/>
    <w:rsid w:val="00F231F9"/>
    <w:rsid w:val="00F25C64"/>
    <w:rsid w:val="00F26477"/>
    <w:rsid w:val="00F26995"/>
    <w:rsid w:val="00F32EFB"/>
    <w:rsid w:val="00F33B3B"/>
    <w:rsid w:val="00F35071"/>
    <w:rsid w:val="00F35259"/>
    <w:rsid w:val="00F3796B"/>
    <w:rsid w:val="00F37A86"/>
    <w:rsid w:val="00F43E3B"/>
    <w:rsid w:val="00F456DC"/>
    <w:rsid w:val="00F46C38"/>
    <w:rsid w:val="00F52EC0"/>
    <w:rsid w:val="00F55BBD"/>
    <w:rsid w:val="00F572AC"/>
    <w:rsid w:val="00F60081"/>
    <w:rsid w:val="00F619FE"/>
    <w:rsid w:val="00F621E4"/>
    <w:rsid w:val="00F6290C"/>
    <w:rsid w:val="00F6484D"/>
    <w:rsid w:val="00F648CD"/>
    <w:rsid w:val="00F67304"/>
    <w:rsid w:val="00F76113"/>
    <w:rsid w:val="00F77027"/>
    <w:rsid w:val="00F77364"/>
    <w:rsid w:val="00F822F1"/>
    <w:rsid w:val="00F82A53"/>
    <w:rsid w:val="00F84917"/>
    <w:rsid w:val="00F9117E"/>
    <w:rsid w:val="00F92165"/>
    <w:rsid w:val="00F97105"/>
    <w:rsid w:val="00F971D6"/>
    <w:rsid w:val="00F97C35"/>
    <w:rsid w:val="00FA26D8"/>
    <w:rsid w:val="00FA3E58"/>
    <w:rsid w:val="00FA436B"/>
    <w:rsid w:val="00FA61EE"/>
    <w:rsid w:val="00FA62BB"/>
    <w:rsid w:val="00FB0E65"/>
    <w:rsid w:val="00FB53A1"/>
    <w:rsid w:val="00FB7A42"/>
    <w:rsid w:val="00FC2AE9"/>
    <w:rsid w:val="00FC2CFD"/>
    <w:rsid w:val="00FC7F44"/>
    <w:rsid w:val="00FD1196"/>
    <w:rsid w:val="00FD20B2"/>
    <w:rsid w:val="00FD2E7B"/>
    <w:rsid w:val="00FE04FF"/>
    <w:rsid w:val="00FE22C8"/>
    <w:rsid w:val="00FE36A2"/>
    <w:rsid w:val="00FF2554"/>
    <w:rsid w:val="00FF54F1"/>
    <w:rsid w:val="00FF7082"/>
    <w:rsid w:val="00FF7223"/>
    <w:rsid w:val="00FF751D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8EE5B3"/>
  <w15:chartTrackingRefBased/>
  <w15:docId w15:val="{FCCE0982-C4C0-40D3-A930-A9B7DE4C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4F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84FC7"/>
    <w:pPr>
      <w:keepNext/>
      <w:jc w:val="both"/>
      <w:outlineLvl w:val="0"/>
    </w:pPr>
    <w:rPr>
      <w:szCs w:val="20"/>
    </w:rPr>
  </w:style>
  <w:style w:type="paragraph" w:styleId="Nagwek3">
    <w:name w:val="heading 3"/>
    <w:basedOn w:val="Normalny"/>
    <w:next w:val="Normalny"/>
    <w:qFormat/>
    <w:rsid w:val="00484F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84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5B69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qFormat/>
    <w:rsid w:val="005B69EE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5B69EE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84FC7"/>
    <w:pPr>
      <w:jc w:val="center"/>
    </w:pPr>
    <w:rPr>
      <w:b/>
      <w:sz w:val="28"/>
      <w:szCs w:val="20"/>
    </w:rPr>
  </w:style>
  <w:style w:type="paragraph" w:styleId="Tekstpodstawowy3">
    <w:name w:val="Body Text 3"/>
    <w:basedOn w:val="Normalny"/>
    <w:rsid w:val="00484FC7"/>
    <w:rPr>
      <w:sz w:val="32"/>
      <w:szCs w:val="20"/>
    </w:rPr>
  </w:style>
  <w:style w:type="paragraph" w:styleId="Tekstpodstawowywcity">
    <w:name w:val="Body Text Indent"/>
    <w:basedOn w:val="Normalny"/>
    <w:rsid w:val="00484FC7"/>
    <w:pPr>
      <w:ind w:left="420"/>
    </w:pPr>
    <w:rPr>
      <w:szCs w:val="20"/>
    </w:rPr>
  </w:style>
  <w:style w:type="character" w:styleId="Numerstrony">
    <w:name w:val="page number"/>
    <w:basedOn w:val="Domylnaczcionkaakapitu"/>
    <w:rsid w:val="00484FC7"/>
  </w:style>
  <w:style w:type="paragraph" w:styleId="Stopka">
    <w:name w:val="footer"/>
    <w:basedOn w:val="Normalny"/>
    <w:rsid w:val="00484FC7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rzypisukocowego">
    <w:name w:val="endnote text"/>
    <w:basedOn w:val="Normalny"/>
    <w:semiHidden/>
    <w:rsid w:val="00354241"/>
    <w:rPr>
      <w:sz w:val="20"/>
      <w:szCs w:val="20"/>
    </w:rPr>
  </w:style>
  <w:style w:type="character" w:styleId="Odwoanieprzypisukocowego">
    <w:name w:val="endnote reference"/>
    <w:semiHidden/>
    <w:rsid w:val="00354241"/>
    <w:rPr>
      <w:vertAlign w:val="superscript"/>
    </w:rPr>
  </w:style>
  <w:style w:type="table" w:styleId="Tabela-Siatka">
    <w:name w:val="Table Grid"/>
    <w:basedOn w:val="Standardowy"/>
    <w:rsid w:val="001B3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AA64C6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3B592B"/>
    <w:rPr>
      <w:sz w:val="16"/>
      <w:szCs w:val="16"/>
    </w:rPr>
  </w:style>
  <w:style w:type="paragraph" w:styleId="Tekstkomentarza">
    <w:name w:val="annotation text"/>
    <w:basedOn w:val="Normalny"/>
    <w:semiHidden/>
    <w:rsid w:val="003B59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B592B"/>
    <w:rPr>
      <w:b/>
      <w:bCs/>
    </w:rPr>
  </w:style>
  <w:style w:type="paragraph" w:styleId="Nagwek">
    <w:name w:val="header"/>
    <w:basedOn w:val="Normalny"/>
    <w:rsid w:val="00F25C64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8E7589"/>
    <w:rPr>
      <w:b/>
      <w:bCs/>
    </w:rPr>
  </w:style>
  <w:style w:type="paragraph" w:styleId="Tekstpodstawowy">
    <w:name w:val="Body Text"/>
    <w:basedOn w:val="Normalny"/>
    <w:rsid w:val="005B69EE"/>
    <w:pPr>
      <w:spacing w:after="120"/>
    </w:pPr>
  </w:style>
  <w:style w:type="paragraph" w:styleId="Tekstpodstawowy2">
    <w:name w:val="Body Text 2"/>
    <w:basedOn w:val="Normalny"/>
    <w:rsid w:val="005B69EE"/>
    <w:pPr>
      <w:spacing w:after="120" w:line="480" w:lineRule="auto"/>
    </w:pPr>
  </w:style>
  <w:style w:type="character" w:styleId="Hipercze">
    <w:name w:val="Hyperlink"/>
    <w:rsid w:val="00961B08"/>
    <w:rPr>
      <w:color w:val="0000FF"/>
      <w:u w:val="single"/>
    </w:rPr>
  </w:style>
  <w:style w:type="paragraph" w:styleId="Poprawka">
    <w:name w:val="Revision"/>
    <w:hidden/>
    <w:uiPriority w:val="99"/>
    <w:semiHidden/>
    <w:rsid w:val="003231BA"/>
    <w:rPr>
      <w:sz w:val="24"/>
      <w:szCs w:val="24"/>
    </w:rPr>
  </w:style>
  <w:style w:type="paragraph" w:customStyle="1" w:styleId="Default">
    <w:name w:val="Default"/>
    <w:rsid w:val="00851F5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mz.ezdrowie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7935</Words>
  <Characters>47610</Characters>
  <Application>Microsoft Office Word</Application>
  <DocSecurity>0</DocSecurity>
  <Lines>396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CHARAKTERYSTYKA PRODUKTU LECZNICZEGO</vt:lpstr>
    </vt:vector>
  </TitlesOfParts>
  <Company>Biofarm Sp. z o.o.</Company>
  <LinksUpToDate>false</LinksUpToDate>
  <CharactersWithSpaces>55435</CharactersWithSpaces>
  <SharedDoc>false</SharedDoc>
  <HLinks>
    <vt:vector size="6" baseType="variant">
      <vt:variant>
        <vt:i4>393293</vt:i4>
      </vt:variant>
      <vt:variant>
        <vt:i4>0</vt:i4>
      </vt:variant>
      <vt:variant>
        <vt:i4>0</vt:i4>
      </vt:variant>
      <vt:variant>
        <vt:i4>5</vt:i4>
      </vt:variant>
      <vt:variant>
        <vt:lpwstr>https://smz.ezdrowie.gov.pl/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CHARAKTERYSTYKA PRODUKTU LECZNICZEGO</dc:title>
  <dc:subject/>
  <dc:creator>Magda Malec</dc:creator>
  <cp:keywords/>
  <cp:lastModifiedBy>Tobiasz, Lukasz</cp:lastModifiedBy>
  <cp:revision>2</cp:revision>
  <cp:lastPrinted>2015-07-30T12:04:00Z</cp:lastPrinted>
  <dcterms:created xsi:type="dcterms:W3CDTF">2021-12-28T12:53:00Z</dcterms:created>
  <dcterms:modified xsi:type="dcterms:W3CDTF">2021-12-28T12:53:00Z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6129fb7-f777-4feb-b84e-0390c1a7ed44_Enabled">
    <vt:lpwstr>true</vt:lpwstr>
  </property>
  <property fmtid="{D5CDD505-2E9C-101B-9397-08002B2CF9AE}" pid="3" name="MSIP_Label_36129fb7-f777-4feb-b84e-0390c1a7ed44_SetDate">
    <vt:lpwstr>2022-04-03T07:15:04Z</vt:lpwstr>
  </property>
  <property fmtid="{D5CDD505-2E9C-101B-9397-08002B2CF9AE}" pid="4" name="MSIP_Label_36129fb7-f777-4feb-b84e-0390c1a7ed44_Method">
    <vt:lpwstr>Standard</vt:lpwstr>
  </property>
  <property fmtid="{D5CDD505-2E9C-101B-9397-08002B2CF9AE}" pid="5" name="MSIP_Label_36129fb7-f777-4feb-b84e-0390c1a7ed44_Name">
    <vt:lpwstr>CORP US-CAN Information Label</vt:lpwstr>
  </property>
  <property fmtid="{D5CDD505-2E9C-101B-9397-08002B2CF9AE}" pid="6" name="MSIP_Label_36129fb7-f777-4feb-b84e-0390c1a7ed44_SiteId">
    <vt:lpwstr>a72dda32-ee80-4da8-a3ac-ec0e9e41a50a</vt:lpwstr>
  </property>
  <property fmtid="{D5CDD505-2E9C-101B-9397-08002B2CF9AE}" pid="7" name="MSIP_Label_36129fb7-f777-4feb-b84e-0390c1a7ed44_ActionId">
    <vt:lpwstr>6ac06e84-c736-417f-89a3-c62b2f486b60</vt:lpwstr>
  </property>
  <property fmtid="{D5CDD505-2E9C-101B-9397-08002B2CF9AE}" pid="8" name="MSIP_Label_36129fb7-f777-4feb-b84e-0390c1a7ed44_ContentBits">
    <vt:lpwstr>0</vt:lpwstr>
  </property>
</Properties>
</file>