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3D5D" w14:textId="77777777" w:rsidR="00D7495B" w:rsidRPr="00105A25" w:rsidRDefault="00D7495B" w:rsidP="001D75B1">
      <w:pPr>
        <w:pStyle w:val="Nagwek2"/>
        <w:spacing w:line="240" w:lineRule="auto"/>
        <w:ind w:right="0"/>
        <w:jc w:val="center"/>
        <w:rPr>
          <w:b/>
          <w:caps/>
          <w:sz w:val="22"/>
          <w:szCs w:val="22"/>
        </w:rPr>
      </w:pPr>
      <w:r w:rsidRPr="00105A25">
        <w:rPr>
          <w:b/>
          <w:caps/>
          <w:sz w:val="22"/>
          <w:szCs w:val="22"/>
        </w:rPr>
        <w:t>Charakterystyka Produktu Leczniczego</w:t>
      </w:r>
    </w:p>
    <w:p w14:paraId="4A30D973" w14:textId="77777777" w:rsidR="00D7495B" w:rsidRPr="00105A25" w:rsidRDefault="00D7495B" w:rsidP="001D75B1">
      <w:pPr>
        <w:rPr>
          <w:sz w:val="22"/>
          <w:szCs w:val="22"/>
        </w:rPr>
      </w:pPr>
    </w:p>
    <w:p w14:paraId="4F12E140" w14:textId="77777777" w:rsidR="001D75B1" w:rsidRPr="00105A25" w:rsidRDefault="001D75B1" w:rsidP="001D75B1">
      <w:pPr>
        <w:rPr>
          <w:sz w:val="22"/>
          <w:szCs w:val="22"/>
        </w:rPr>
      </w:pPr>
    </w:p>
    <w:p w14:paraId="2258313D" w14:textId="77777777" w:rsidR="00D7495B" w:rsidRPr="00105A25" w:rsidRDefault="00A64B25" w:rsidP="001D75B1">
      <w:pPr>
        <w:rPr>
          <w:b/>
          <w:sz w:val="22"/>
          <w:szCs w:val="22"/>
        </w:rPr>
      </w:pPr>
      <w:r w:rsidRPr="00105A25">
        <w:rPr>
          <w:b/>
          <w:sz w:val="22"/>
          <w:szCs w:val="22"/>
        </w:rPr>
        <w:t xml:space="preserve">1. </w:t>
      </w:r>
      <w:r w:rsidR="001D75B1" w:rsidRPr="00105A25">
        <w:rPr>
          <w:b/>
          <w:sz w:val="22"/>
          <w:szCs w:val="22"/>
        </w:rPr>
        <w:tab/>
      </w:r>
      <w:r w:rsidRPr="00105A25">
        <w:rPr>
          <w:b/>
          <w:sz w:val="22"/>
          <w:szCs w:val="22"/>
        </w:rPr>
        <w:t xml:space="preserve">NAZWA </w:t>
      </w:r>
      <w:r w:rsidR="00D7495B" w:rsidRPr="00105A25">
        <w:rPr>
          <w:b/>
          <w:sz w:val="22"/>
          <w:szCs w:val="22"/>
        </w:rPr>
        <w:t>PRODUKTU LECZNICZEGO</w:t>
      </w:r>
    </w:p>
    <w:p w14:paraId="2C65B499" w14:textId="77777777" w:rsidR="001D75B1" w:rsidRPr="00105A25" w:rsidRDefault="001D75B1" w:rsidP="001D75B1">
      <w:pPr>
        <w:outlineLvl w:val="0"/>
        <w:rPr>
          <w:sz w:val="22"/>
          <w:szCs w:val="22"/>
        </w:rPr>
      </w:pPr>
    </w:p>
    <w:p w14:paraId="54CE1757" w14:textId="77777777" w:rsidR="00D7495B" w:rsidRPr="00105A25" w:rsidRDefault="00B54941" w:rsidP="001D75B1">
      <w:pPr>
        <w:outlineLvl w:val="0"/>
        <w:rPr>
          <w:sz w:val="22"/>
          <w:szCs w:val="22"/>
        </w:rPr>
      </w:pPr>
      <w:r w:rsidRPr="00105A25">
        <w:rPr>
          <w:sz w:val="22"/>
          <w:szCs w:val="22"/>
        </w:rPr>
        <w:t>TANATRIL</w:t>
      </w:r>
      <w:r w:rsidR="00681A7C">
        <w:rPr>
          <w:sz w:val="22"/>
          <w:szCs w:val="22"/>
        </w:rPr>
        <w:t>,</w:t>
      </w:r>
      <w:r w:rsidRPr="00105A25">
        <w:rPr>
          <w:sz w:val="22"/>
          <w:szCs w:val="22"/>
        </w:rPr>
        <w:t xml:space="preserve"> </w:t>
      </w:r>
      <w:r w:rsidR="008A4F37">
        <w:rPr>
          <w:sz w:val="22"/>
          <w:szCs w:val="22"/>
        </w:rPr>
        <w:t>2</w:t>
      </w:r>
      <w:r w:rsidR="00681A7C">
        <w:rPr>
          <w:sz w:val="22"/>
          <w:szCs w:val="22"/>
        </w:rPr>
        <w:t>0</w:t>
      </w:r>
      <w:r w:rsidR="00143114" w:rsidRPr="00105A25">
        <w:rPr>
          <w:sz w:val="22"/>
          <w:szCs w:val="22"/>
        </w:rPr>
        <w:t> mg</w:t>
      </w:r>
      <w:r w:rsidR="00681A7C">
        <w:rPr>
          <w:sz w:val="22"/>
          <w:szCs w:val="22"/>
        </w:rPr>
        <w:t>,</w:t>
      </w:r>
      <w:r w:rsidR="00D7495B" w:rsidRPr="00105A25">
        <w:rPr>
          <w:sz w:val="22"/>
          <w:szCs w:val="22"/>
        </w:rPr>
        <w:t xml:space="preserve"> tabletki</w:t>
      </w:r>
      <w:r w:rsidR="002C370E" w:rsidRPr="00105A25">
        <w:rPr>
          <w:sz w:val="22"/>
          <w:szCs w:val="22"/>
        </w:rPr>
        <w:t xml:space="preserve"> </w:t>
      </w:r>
    </w:p>
    <w:p w14:paraId="01624292" w14:textId="77777777" w:rsidR="00A64B25" w:rsidRPr="00105A25" w:rsidRDefault="00A64B25" w:rsidP="001D75B1">
      <w:pPr>
        <w:outlineLvl w:val="0"/>
        <w:rPr>
          <w:sz w:val="22"/>
          <w:szCs w:val="22"/>
        </w:rPr>
      </w:pPr>
    </w:p>
    <w:p w14:paraId="31A085F9" w14:textId="77777777" w:rsidR="001D75B1" w:rsidRPr="00105A25" w:rsidRDefault="001D75B1" w:rsidP="001D75B1">
      <w:pPr>
        <w:outlineLvl w:val="0"/>
        <w:rPr>
          <w:sz w:val="22"/>
          <w:szCs w:val="22"/>
        </w:rPr>
      </w:pPr>
    </w:p>
    <w:p w14:paraId="76407E5E" w14:textId="77777777" w:rsidR="00D7495B" w:rsidRPr="00105A25" w:rsidRDefault="00D7495B" w:rsidP="001D75B1">
      <w:pPr>
        <w:outlineLvl w:val="0"/>
        <w:rPr>
          <w:b/>
          <w:sz w:val="22"/>
          <w:szCs w:val="22"/>
        </w:rPr>
      </w:pPr>
      <w:r w:rsidRPr="00105A25">
        <w:rPr>
          <w:b/>
          <w:sz w:val="22"/>
          <w:szCs w:val="22"/>
        </w:rPr>
        <w:t xml:space="preserve">2. </w:t>
      </w:r>
      <w:r w:rsidR="001D75B1" w:rsidRPr="00105A25">
        <w:rPr>
          <w:b/>
          <w:sz w:val="22"/>
          <w:szCs w:val="22"/>
        </w:rPr>
        <w:tab/>
      </w:r>
      <w:r w:rsidRPr="00105A25">
        <w:rPr>
          <w:b/>
          <w:sz w:val="22"/>
          <w:szCs w:val="22"/>
        </w:rPr>
        <w:t>SKŁAD JAKOŚCIOWY</w:t>
      </w:r>
      <w:r w:rsidR="00B13BAF" w:rsidRPr="00105A25">
        <w:rPr>
          <w:b/>
          <w:sz w:val="22"/>
          <w:szCs w:val="22"/>
        </w:rPr>
        <w:t xml:space="preserve"> I ILOŚCIOWY </w:t>
      </w:r>
    </w:p>
    <w:p w14:paraId="233CCA7C" w14:textId="77777777" w:rsidR="001D75B1" w:rsidRPr="00105A25" w:rsidRDefault="001D75B1" w:rsidP="001D75B1">
      <w:pPr>
        <w:outlineLvl w:val="0"/>
        <w:rPr>
          <w:sz w:val="22"/>
          <w:szCs w:val="22"/>
        </w:rPr>
      </w:pPr>
    </w:p>
    <w:p w14:paraId="6E30A952" w14:textId="77777777" w:rsidR="00D7495B" w:rsidRPr="00105A25" w:rsidRDefault="00B13BAF" w:rsidP="001D75B1">
      <w:pPr>
        <w:outlineLvl w:val="0"/>
        <w:rPr>
          <w:sz w:val="22"/>
          <w:szCs w:val="22"/>
        </w:rPr>
      </w:pPr>
      <w:r w:rsidRPr="00105A25">
        <w:rPr>
          <w:sz w:val="22"/>
          <w:szCs w:val="22"/>
        </w:rPr>
        <w:t xml:space="preserve">1 tabletka zawiera </w:t>
      </w:r>
      <w:r w:rsidR="008A4F37">
        <w:rPr>
          <w:sz w:val="22"/>
          <w:szCs w:val="22"/>
        </w:rPr>
        <w:t>2</w:t>
      </w:r>
      <w:r w:rsidR="00BE7D25">
        <w:rPr>
          <w:sz w:val="22"/>
          <w:szCs w:val="22"/>
        </w:rPr>
        <w:t>0</w:t>
      </w:r>
      <w:r w:rsidR="00143114" w:rsidRPr="00105A25">
        <w:rPr>
          <w:sz w:val="22"/>
          <w:szCs w:val="22"/>
        </w:rPr>
        <w:t> mg</w:t>
      </w:r>
      <w:r w:rsidRPr="00105A25">
        <w:rPr>
          <w:sz w:val="22"/>
          <w:szCs w:val="22"/>
        </w:rPr>
        <w:t xml:space="preserve"> imidapry</w:t>
      </w:r>
      <w:r w:rsidR="00D7495B" w:rsidRPr="00105A25">
        <w:rPr>
          <w:sz w:val="22"/>
          <w:szCs w:val="22"/>
        </w:rPr>
        <w:t>lu chlorowodorku</w:t>
      </w:r>
      <w:r w:rsidR="00032083" w:rsidRPr="00105A25">
        <w:rPr>
          <w:sz w:val="22"/>
          <w:szCs w:val="22"/>
        </w:rPr>
        <w:t xml:space="preserve"> </w:t>
      </w:r>
      <w:r w:rsidR="00032083" w:rsidRPr="00105A25">
        <w:rPr>
          <w:i/>
          <w:sz w:val="22"/>
          <w:szCs w:val="22"/>
        </w:rPr>
        <w:t>(Imidaprili hydrochloridum)</w:t>
      </w:r>
    </w:p>
    <w:p w14:paraId="5BDCAA6B" w14:textId="77777777" w:rsidR="00CC2206" w:rsidRPr="00105A25" w:rsidRDefault="00CC2206" w:rsidP="001D75B1">
      <w:pPr>
        <w:outlineLvl w:val="0"/>
        <w:rPr>
          <w:noProof/>
          <w:sz w:val="22"/>
          <w:szCs w:val="22"/>
        </w:rPr>
      </w:pPr>
    </w:p>
    <w:p w14:paraId="3B82BFFC" w14:textId="77777777" w:rsidR="00766DC0" w:rsidRDefault="00766DC0" w:rsidP="001D75B1">
      <w:pPr>
        <w:outlineLvl w:val="0"/>
        <w:rPr>
          <w:sz w:val="22"/>
          <w:szCs w:val="22"/>
        </w:rPr>
      </w:pPr>
      <w:r w:rsidRPr="00105A25">
        <w:rPr>
          <w:noProof/>
          <w:sz w:val="22"/>
          <w:szCs w:val="22"/>
        </w:rPr>
        <w:t>Substancja pomocnicza</w:t>
      </w:r>
      <w:r w:rsidR="00CC2206" w:rsidRPr="00105A25">
        <w:rPr>
          <w:noProof/>
          <w:sz w:val="22"/>
          <w:szCs w:val="22"/>
        </w:rPr>
        <w:t xml:space="preserve"> o znanym działaniu</w:t>
      </w:r>
      <w:r w:rsidRPr="00105A25">
        <w:rPr>
          <w:noProof/>
          <w:sz w:val="22"/>
          <w:szCs w:val="22"/>
        </w:rPr>
        <w:t>: laktoza jednowodna</w:t>
      </w:r>
      <w:r w:rsidRPr="00105A25">
        <w:rPr>
          <w:sz w:val="22"/>
          <w:szCs w:val="22"/>
        </w:rPr>
        <w:t xml:space="preserve"> </w:t>
      </w:r>
    </w:p>
    <w:p w14:paraId="220BFCB7" w14:textId="77777777" w:rsidR="00B60C60" w:rsidRPr="00105A25" w:rsidRDefault="00B60C60" w:rsidP="001D75B1">
      <w:pPr>
        <w:outlineLvl w:val="0"/>
        <w:rPr>
          <w:sz w:val="22"/>
          <w:szCs w:val="22"/>
        </w:rPr>
      </w:pPr>
      <w:r>
        <w:rPr>
          <w:sz w:val="22"/>
          <w:szCs w:val="22"/>
        </w:rPr>
        <w:t xml:space="preserve">1 tabletka zawiera </w:t>
      </w:r>
      <w:r w:rsidR="0093373E">
        <w:rPr>
          <w:sz w:val="22"/>
          <w:szCs w:val="22"/>
        </w:rPr>
        <w:t>90</w:t>
      </w:r>
      <w:r>
        <w:rPr>
          <w:sz w:val="22"/>
          <w:szCs w:val="22"/>
        </w:rPr>
        <w:t xml:space="preserve"> </w:t>
      </w:r>
      <w:r w:rsidR="0093373E">
        <w:rPr>
          <w:sz w:val="22"/>
          <w:szCs w:val="22"/>
        </w:rPr>
        <w:t>m</w:t>
      </w:r>
      <w:r>
        <w:rPr>
          <w:sz w:val="22"/>
          <w:szCs w:val="22"/>
        </w:rPr>
        <w:t>g laktozy</w:t>
      </w:r>
      <w:r w:rsidR="0093373E">
        <w:rPr>
          <w:sz w:val="22"/>
          <w:szCs w:val="22"/>
        </w:rPr>
        <w:t xml:space="preserve"> jednowodnej</w:t>
      </w:r>
    </w:p>
    <w:p w14:paraId="40EACDF9" w14:textId="77777777" w:rsidR="001D75B1" w:rsidRPr="00105A25" w:rsidRDefault="001D75B1" w:rsidP="001D75B1">
      <w:pPr>
        <w:outlineLvl w:val="0"/>
        <w:rPr>
          <w:sz w:val="22"/>
          <w:szCs w:val="22"/>
        </w:rPr>
      </w:pPr>
    </w:p>
    <w:p w14:paraId="0AECACF7" w14:textId="77777777" w:rsidR="00D7495B" w:rsidRPr="00105A25" w:rsidRDefault="00B13BAF" w:rsidP="001D75B1">
      <w:pPr>
        <w:outlineLvl w:val="0"/>
        <w:rPr>
          <w:sz w:val="22"/>
          <w:szCs w:val="22"/>
        </w:rPr>
      </w:pPr>
      <w:r w:rsidRPr="00105A25">
        <w:rPr>
          <w:sz w:val="22"/>
          <w:szCs w:val="22"/>
        </w:rPr>
        <w:t>Pełny wykaz substancji pomocniczych, patrz</w:t>
      </w:r>
      <w:r w:rsidR="00D7495B" w:rsidRPr="00105A25">
        <w:rPr>
          <w:sz w:val="22"/>
          <w:szCs w:val="22"/>
        </w:rPr>
        <w:t xml:space="preserve"> punkt 6.1.</w:t>
      </w:r>
    </w:p>
    <w:p w14:paraId="34B43B99" w14:textId="77777777" w:rsidR="00A64B25" w:rsidRPr="00105A25" w:rsidRDefault="00A64B25" w:rsidP="001D75B1">
      <w:pPr>
        <w:outlineLvl w:val="0"/>
        <w:rPr>
          <w:b/>
          <w:sz w:val="22"/>
          <w:szCs w:val="22"/>
        </w:rPr>
      </w:pPr>
    </w:p>
    <w:p w14:paraId="015F3B72" w14:textId="77777777" w:rsidR="001D75B1" w:rsidRPr="00105A25" w:rsidRDefault="001D75B1" w:rsidP="001D75B1">
      <w:pPr>
        <w:outlineLvl w:val="0"/>
        <w:rPr>
          <w:b/>
          <w:sz w:val="22"/>
          <w:szCs w:val="22"/>
        </w:rPr>
      </w:pPr>
    </w:p>
    <w:p w14:paraId="3D78363E" w14:textId="77777777" w:rsidR="00D7495B" w:rsidRPr="00105A25" w:rsidRDefault="00D7495B" w:rsidP="001D75B1">
      <w:pPr>
        <w:rPr>
          <w:b/>
          <w:sz w:val="22"/>
          <w:szCs w:val="22"/>
        </w:rPr>
      </w:pPr>
      <w:r w:rsidRPr="00105A25">
        <w:rPr>
          <w:b/>
          <w:sz w:val="22"/>
          <w:szCs w:val="22"/>
        </w:rPr>
        <w:t xml:space="preserve">3. </w:t>
      </w:r>
      <w:r w:rsidR="001D75B1" w:rsidRPr="00105A25">
        <w:rPr>
          <w:b/>
          <w:sz w:val="22"/>
          <w:szCs w:val="22"/>
        </w:rPr>
        <w:tab/>
      </w:r>
      <w:r w:rsidRPr="00105A25">
        <w:rPr>
          <w:b/>
          <w:sz w:val="22"/>
          <w:szCs w:val="22"/>
        </w:rPr>
        <w:t>POSTAĆ FARMACEUTYCZNA</w:t>
      </w:r>
    </w:p>
    <w:p w14:paraId="47C5BA59" w14:textId="77777777" w:rsidR="001D75B1" w:rsidRPr="00105A25" w:rsidRDefault="001D75B1" w:rsidP="001D75B1">
      <w:pPr>
        <w:outlineLvl w:val="0"/>
        <w:rPr>
          <w:sz w:val="22"/>
          <w:szCs w:val="22"/>
        </w:rPr>
      </w:pPr>
    </w:p>
    <w:p w14:paraId="078AB4C3" w14:textId="77777777" w:rsidR="001E564C" w:rsidRPr="00105A25" w:rsidRDefault="001E564C" w:rsidP="001D75B1">
      <w:pPr>
        <w:outlineLvl w:val="0"/>
        <w:rPr>
          <w:sz w:val="22"/>
          <w:szCs w:val="22"/>
        </w:rPr>
      </w:pPr>
      <w:r w:rsidRPr="00105A25">
        <w:rPr>
          <w:sz w:val="22"/>
          <w:szCs w:val="22"/>
        </w:rPr>
        <w:t xml:space="preserve">Tabletki </w:t>
      </w:r>
    </w:p>
    <w:p w14:paraId="6F455ACE" w14:textId="2988DADA" w:rsidR="00D7495B" w:rsidRPr="00105A25" w:rsidRDefault="001E564C" w:rsidP="001D75B1">
      <w:pPr>
        <w:outlineLvl w:val="0"/>
        <w:rPr>
          <w:sz w:val="22"/>
          <w:szCs w:val="22"/>
        </w:rPr>
      </w:pPr>
      <w:r w:rsidRPr="00105A25">
        <w:rPr>
          <w:sz w:val="22"/>
          <w:szCs w:val="22"/>
        </w:rPr>
        <w:t xml:space="preserve">Prawie białe, podłużne, </w:t>
      </w:r>
      <w:r w:rsidR="00EC7423">
        <w:rPr>
          <w:sz w:val="22"/>
          <w:szCs w:val="22"/>
        </w:rPr>
        <w:t>obustronnie wypukłe</w:t>
      </w:r>
      <w:r w:rsidRPr="00105A25">
        <w:rPr>
          <w:sz w:val="22"/>
          <w:szCs w:val="22"/>
        </w:rPr>
        <w:t xml:space="preserve"> tabletki o prostych krawędziach</w:t>
      </w:r>
      <w:r w:rsidR="00947F6D" w:rsidRPr="00105A25">
        <w:rPr>
          <w:sz w:val="22"/>
          <w:szCs w:val="22"/>
        </w:rPr>
        <w:t>,</w:t>
      </w:r>
      <w:r w:rsidRPr="00105A25">
        <w:rPr>
          <w:sz w:val="22"/>
          <w:szCs w:val="22"/>
        </w:rPr>
        <w:t xml:space="preserve"> </w:t>
      </w:r>
      <w:r w:rsidR="00D7495B" w:rsidRPr="00105A25">
        <w:rPr>
          <w:sz w:val="22"/>
          <w:szCs w:val="22"/>
        </w:rPr>
        <w:t xml:space="preserve">z rowkiem dzielącym </w:t>
      </w:r>
      <w:r w:rsidR="00947F6D" w:rsidRPr="00105A25">
        <w:rPr>
          <w:sz w:val="22"/>
          <w:szCs w:val="22"/>
        </w:rPr>
        <w:t xml:space="preserve">po </w:t>
      </w:r>
      <w:r w:rsidR="00D7495B" w:rsidRPr="00105A25">
        <w:rPr>
          <w:sz w:val="22"/>
          <w:szCs w:val="22"/>
        </w:rPr>
        <w:t>obu stron</w:t>
      </w:r>
      <w:r w:rsidR="00947F6D" w:rsidRPr="00105A25">
        <w:rPr>
          <w:sz w:val="22"/>
          <w:szCs w:val="22"/>
        </w:rPr>
        <w:t>ach</w:t>
      </w:r>
    </w:p>
    <w:p w14:paraId="52B972FE" w14:textId="77777777" w:rsidR="00A64B25" w:rsidRPr="00105A25" w:rsidRDefault="00A64B25" w:rsidP="001D75B1">
      <w:pPr>
        <w:outlineLvl w:val="0"/>
        <w:rPr>
          <w:sz w:val="22"/>
          <w:szCs w:val="22"/>
        </w:rPr>
      </w:pPr>
    </w:p>
    <w:p w14:paraId="2F7D5251" w14:textId="77777777" w:rsidR="001D75B1" w:rsidRPr="00105A25" w:rsidRDefault="001D75B1" w:rsidP="001D75B1">
      <w:pPr>
        <w:outlineLvl w:val="0"/>
        <w:rPr>
          <w:sz w:val="22"/>
          <w:szCs w:val="22"/>
        </w:rPr>
      </w:pPr>
    </w:p>
    <w:p w14:paraId="75CBB14F" w14:textId="77777777" w:rsidR="00D7495B" w:rsidRPr="00105A25" w:rsidRDefault="00D7495B" w:rsidP="001D75B1">
      <w:pPr>
        <w:rPr>
          <w:b/>
          <w:sz w:val="22"/>
          <w:szCs w:val="22"/>
        </w:rPr>
      </w:pPr>
      <w:r w:rsidRPr="00105A25">
        <w:rPr>
          <w:b/>
          <w:sz w:val="22"/>
          <w:szCs w:val="22"/>
        </w:rPr>
        <w:t xml:space="preserve">4. </w:t>
      </w:r>
      <w:r w:rsidR="001D75B1" w:rsidRPr="00105A25">
        <w:rPr>
          <w:b/>
          <w:sz w:val="22"/>
          <w:szCs w:val="22"/>
        </w:rPr>
        <w:tab/>
      </w:r>
      <w:r w:rsidRPr="00105A25">
        <w:rPr>
          <w:b/>
          <w:sz w:val="22"/>
          <w:szCs w:val="22"/>
        </w:rPr>
        <w:t>SZCZEGÓŁOWE DANE KLINICZNE</w:t>
      </w:r>
    </w:p>
    <w:p w14:paraId="225E1345" w14:textId="77777777" w:rsidR="001D75B1" w:rsidRPr="00105A25" w:rsidRDefault="001D75B1" w:rsidP="001D75B1">
      <w:pPr>
        <w:outlineLvl w:val="0"/>
        <w:rPr>
          <w:b/>
          <w:sz w:val="22"/>
          <w:szCs w:val="22"/>
        </w:rPr>
      </w:pPr>
    </w:p>
    <w:p w14:paraId="0E160361" w14:textId="77777777" w:rsidR="00D7495B" w:rsidRPr="00105A25" w:rsidRDefault="00D7495B" w:rsidP="001D75B1">
      <w:pPr>
        <w:outlineLvl w:val="0"/>
        <w:rPr>
          <w:b/>
          <w:sz w:val="22"/>
          <w:szCs w:val="22"/>
        </w:rPr>
      </w:pPr>
      <w:r w:rsidRPr="00105A25">
        <w:rPr>
          <w:b/>
          <w:sz w:val="22"/>
          <w:szCs w:val="22"/>
        </w:rPr>
        <w:t xml:space="preserve">4.1 </w:t>
      </w:r>
      <w:r w:rsidR="001D75B1" w:rsidRPr="00105A25">
        <w:rPr>
          <w:b/>
          <w:sz w:val="22"/>
          <w:szCs w:val="22"/>
        </w:rPr>
        <w:tab/>
      </w:r>
      <w:r w:rsidRPr="00105A25">
        <w:rPr>
          <w:b/>
          <w:sz w:val="22"/>
          <w:szCs w:val="22"/>
        </w:rPr>
        <w:t>Wskazania do stosowania</w:t>
      </w:r>
    </w:p>
    <w:p w14:paraId="7D8C5463" w14:textId="77777777" w:rsidR="001D75B1" w:rsidRPr="00105A25" w:rsidRDefault="001D75B1" w:rsidP="001D75B1">
      <w:pPr>
        <w:rPr>
          <w:sz w:val="22"/>
          <w:szCs w:val="22"/>
        </w:rPr>
      </w:pPr>
    </w:p>
    <w:p w14:paraId="0B8E43FE" w14:textId="77777777" w:rsidR="00D7495B" w:rsidRPr="00105A25" w:rsidRDefault="00D7495B" w:rsidP="001D75B1">
      <w:pPr>
        <w:rPr>
          <w:sz w:val="22"/>
          <w:szCs w:val="22"/>
        </w:rPr>
      </w:pPr>
      <w:r w:rsidRPr="00105A25">
        <w:rPr>
          <w:sz w:val="22"/>
          <w:szCs w:val="22"/>
        </w:rPr>
        <w:t>Leczenie nadciśnienia</w:t>
      </w:r>
      <w:r w:rsidR="00971F7B">
        <w:rPr>
          <w:sz w:val="22"/>
          <w:szCs w:val="22"/>
        </w:rPr>
        <w:t xml:space="preserve"> tętniczego</w:t>
      </w:r>
      <w:r w:rsidRPr="00105A25">
        <w:rPr>
          <w:sz w:val="22"/>
          <w:szCs w:val="22"/>
        </w:rPr>
        <w:t xml:space="preserve"> samoistnego</w:t>
      </w:r>
      <w:r w:rsidR="00200886">
        <w:rPr>
          <w:sz w:val="22"/>
          <w:szCs w:val="22"/>
        </w:rPr>
        <w:t>.</w:t>
      </w:r>
    </w:p>
    <w:p w14:paraId="6BD31BA5" w14:textId="77777777" w:rsidR="00A64B25" w:rsidRPr="00105A25" w:rsidRDefault="00A64B25" w:rsidP="001D75B1">
      <w:pPr>
        <w:rPr>
          <w:sz w:val="22"/>
          <w:szCs w:val="22"/>
        </w:rPr>
      </w:pPr>
    </w:p>
    <w:p w14:paraId="1CD887DF" w14:textId="77777777" w:rsidR="00D7495B" w:rsidRPr="00105A25" w:rsidRDefault="00D7495B" w:rsidP="001D75B1">
      <w:pPr>
        <w:outlineLvl w:val="0"/>
        <w:rPr>
          <w:b/>
          <w:sz w:val="22"/>
          <w:szCs w:val="22"/>
        </w:rPr>
      </w:pPr>
      <w:r w:rsidRPr="00105A25">
        <w:rPr>
          <w:b/>
          <w:sz w:val="22"/>
          <w:szCs w:val="22"/>
        </w:rPr>
        <w:t xml:space="preserve">4.2 </w:t>
      </w:r>
      <w:r w:rsidR="001D75B1" w:rsidRPr="00105A25">
        <w:rPr>
          <w:b/>
          <w:sz w:val="22"/>
          <w:szCs w:val="22"/>
        </w:rPr>
        <w:tab/>
      </w:r>
      <w:r w:rsidRPr="00105A25">
        <w:rPr>
          <w:b/>
          <w:sz w:val="22"/>
          <w:szCs w:val="22"/>
        </w:rPr>
        <w:t>Dawkowanie i sposób podawania</w:t>
      </w:r>
    </w:p>
    <w:p w14:paraId="39E14476" w14:textId="77777777" w:rsidR="001D75B1" w:rsidRPr="00105A25" w:rsidRDefault="001D75B1" w:rsidP="001D75B1">
      <w:pPr>
        <w:rPr>
          <w:b/>
          <w:sz w:val="22"/>
          <w:szCs w:val="22"/>
        </w:rPr>
      </w:pPr>
    </w:p>
    <w:p w14:paraId="120C4387" w14:textId="77777777" w:rsidR="00CC2206" w:rsidRPr="00105A25" w:rsidRDefault="00CC2206" w:rsidP="00CC2206">
      <w:pPr>
        <w:rPr>
          <w:noProof/>
          <w:sz w:val="22"/>
          <w:szCs w:val="22"/>
          <w:u w:val="single"/>
        </w:rPr>
      </w:pPr>
      <w:r w:rsidRPr="00105A25">
        <w:rPr>
          <w:noProof/>
          <w:sz w:val="22"/>
          <w:szCs w:val="22"/>
          <w:u w:val="single"/>
        </w:rPr>
        <w:t>Dawkowanie</w:t>
      </w:r>
    </w:p>
    <w:p w14:paraId="7B8751A7" w14:textId="77777777" w:rsidR="00D7495B" w:rsidRPr="00105A25" w:rsidRDefault="00EE2AA1" w:rsidP="001D75B1">
      <w:pPr>
        <w:rPr>
          <w:b/>
          <w:sz w:val="22"/>
          <w:szCs w:val="22"/>
        </w:rPr>
      </w:pPr>
      <w:r>
        <w:rPr>
          <w:b/>
          <w:sz w:val="22"/>
          <w:szCs w:val="22"/>
        </w:rPr>
        <w:t>Dorośli</w:t>
      </w:r>
    </w:p>
    <w:p w14:paraId="11547C0A" w14:textId="77777777" w:rsidR="00D7495B" w:rsidRPr="00105A25" w:rsidRDefault="00D7495B" w:rsidP="001D75B1">
      <w:pPr>
        <w:rPr>
          <w:sz w:val="22"/>
          <w:szCs w:val="22"/>
        </w:rPr>
      </w:pPr>
      <w:r w:rsidRPr="00105A25">
        <w:rPr>
          <w:sz w:val="22"/>
          <w:szCs w:val="22"/>
        </w:rPr>
        <w:t>Leczenie należy rozpoczynać od dawki 5</w:t>
      </w:r>
      <w:r w:rsidR="00143114" w:rsidRPr="00105A25">
        <w:rPr>
          <w:sz w:val="22"/>
          <w:szCs w:val="22"/>
        </w:rPr>
        <w:t> mg</w:t>
      </w:r>
      <w:r w:rsidRPr="00105A25">
        <w:rPr>
          <w:sz w:val="22"/>
          <w:szCs w:val="22"/>
        </w:rPr>
        <w:t xml:space="preserve"> raz na dobę. Jeżeli po co najmniej trzech</w:t>
      </w:r>
      <w:r w:rsidR="002C370E" w:rsidRPr="00105A25">
        <w:rPr>
          <w:sz w:val="22"/>
          <w:szCs w:val="22"/>
        </w:rPr>
        <w:t xml:space="preserve"> </w:t>
      </w:r>
      <w:r w:rsidRPr="00105A25">
        <w:rPr>
          <w:sz w:val="22"/>
          <w:szCs w:val="22"/>
        </w:rPr>
        <w:t>tygodniach leczenia nie uzyska się optymalnej kontroli ciśnienia krwi, dawkę dobową należy zwiększyć do 10</w:t>
      </w:r>
      <w:r w:rsidR="00143114" w:rsidRPr="00105A25">
        <w:rPr>
          <w:sz w:val="22"/>
          <w:szCs w:val="22"/>
        </w:rPr>
        <w:t> mg</w:t>
      </w:r>
      <w:r w:rsidRPr="00105A25">
        <w:rPr>
          <w:sz w:val="22"/>
          <w:szCs w:val="22"/>
        </w:rPr>
        <w:t>. U większości pacjentów najmniejsza dawka skuteczna wynosi 10</w:t>
      </w:r>
      <w:r w:rsidR="00143114" w:rsidRPr="00105A25">
        <w:rPr>
          <w:sz w:val="22"/>
          <w:szCs w:val="22"/>
        </w:rPr>
        <w:t> mg</w:t>
      </w:r>
      <w:r w:rsidRPr="00105A25">
        <w:rPr>
          <w:sz w:val="22"/>
          <w:szCs w:val="22"/>
        </w:rPr>
        <w:t xml:space="preserve"> </w:t>
      </w:r>
      <w:r w:rsidR="008E13BB" w:rsidRPr="00105A25">
        <w:rPr>
          <w:sz w:val="22"/>
          <w:szCs w:val="22"/>
        </w:rPr>
        <w:t xml:space="preserve">podawane </w:t>
      </w:r>
      <w:r w:rsidRPr="00105A25">
        <w:rPr>
          <w:sz w:val="22"/>
          <w:szCs w:val="22"/>
        </w:rPr>
        <w:t>raz na dobę.</w:t>
      </w:r>
    </w:p>
    <w:p w14:paraId="71275596" w14:textId="77777777" w:rsidR="001D75B1" w:rsidRPr="00105A25" w:rsidRDefault="001D75B1" w:rsidP="001D75B1">
      <w:pPr>
        <w:rPr>
          <w:sz w:val="22"/>
          <w:szCs w:val="22"/>
        </w:rPr>
      </w:pPr>
    </w:p>
    <w:p w14:paraId="0D0B400D" w14:textId="77777777" w:rsidR="00D7495B" w:rsidRPr="00105A25" w:rsidRDefault="00D7495B" w:rsidP="001D75B1">
      <w:pPr>
        <w:rPr>
          <w:sz w:val="22"/>
          <w:szCs w:val="22"/>
        </w:rPr>
      </w:pPr>
      <w:r w:rsidRPr="00105A25">
        <w:rPr>
          <w:sz w:val="22"/>
          <w:szCs w:val="22"/>
        </w:rPr>
        <w:t>U niewielkiej liczby chorych może być konieczne zwiększenie dawki dobowej do 20</w:t>
      </w:r>
      <w:r w:rsidR="00143114" w:rsidRPr="00105A25">
        <w:rPr>
          <w:sz w:val="22"/>
          <w:szCs w:val="22"/>
        </w:rPr>
        <w:t> mg</w:t>
      </w:r>
      <w:r w:rsidRPr="00105A25">
        <w:rPr>
          <w:sz w:val="22"/>
          <w:szCs w:val="22"/>
        </w:rPr>
        <w:t xml:space="preserve"> (zalecana dawka maksymalna) lub należy rozważyć leczenie skojarzone z lekiem moczopędnym.</w:t>
      </w:r>
    </w:p>
    <w:p w14:paraId="03A4DD36" w14:textId="77777777" w:rsidR="001D75B1" w:rsidRPr="00105A25" w:rsidRDefault="001D75B1" w:rsidP="001D75B1">
      <w:pPr>
        <w:rPr>
          <w:sz w:val="22"/>
          <w:szCs w:val="22"/>
        </w:rPr>
      </w:pPr>
    </w:p>
    <w:p w14:paraId="66C713B7" w14:textId="77777777" w:rsidR="00D7495B" w:rsidRPr="00105A25" w:rsidRDefault="00D7495B" w:rsidP="001D75B1">
      <w:pPr>
        <w:rPr>
          <w:sz w:val="22"/>
          <w:szCs w:val="22"/>
        </w:rPr>
      </w:pPr>
      <w:r w:rsidRPr="00105A25">
        <w:rPr>
          <w:sz w:val="22"/>
          <w:szCs w:val="22"/>
        </w:rPr>
        <w:t xml:space="preserve">Brak danych na temat równoczesnego stosowania </w:t>
      </w:r>
      <w:r w:rsidR="00280FD3" w:rsidRPr="00105A25">
        <w:rPr>
          <w:sz w:val="22"/>
          <w:szCs w:val="22"/>
        </w:rPr>
        <w:t>imidaprylu</w:t>
      </w:r>
      <w:r w:rsidRPr="00105A25">
        <w:rPr>
          <w:sz w:val="22"/>
          <w:szCs w:val="22"/>
        </w:rPr>
        <w:t xml:space="preserve"> i innych leków przeciwnadciśnieniowych.</w:t>
      </w:r>
    </w:p>
    <w:p w14:paraId="7E4C4F09" w14:textId="77777777" w:rsidR="001D75B1" w:rsidRPr="00105A25" w:rsidRDefault="001D75B1" w:rsidP="001D75B1">
      <w:pPr>
        <w:pStyle w:val="Tekstblokowy"/>
        <w:spacing w:line="240" w:lineRule="auto"/>
        <w:ind w:left="0" w:right="0"/>
        <w:rPr>
          <w:sz w:val="22"/>
          <w:szCs w:val="22"/>
        </w:rPr>
      </w:pPr>
    </w:p>
    <w:p w14:paraId="5080FA43" w14:textId="77777777" w:rsidR="00CC2B88" w:rsidRPr="00105A25" w:rsidRDefault="00CC2B88" w:rsidP="00CC2B88">
      <w:pPr>
        <w:rPr>
          <w:noProof/>
          <w:sz w:val="22"/>
          <w:szCs w:val="22"/>
          <w:u w:val="single"/>
        </w:rPr>
      </w:pPr>
      <w:r w:rsidRPr="00105A25">
        <w:rPr>
          <w:noProof/>
          <w:sz w:val="22"/>
          <w:szCs w:val="22"/>
          <w:u w:val="single"/>
        </w:rPr>
        <w:t>Sposób podawania</w:t>
      </w:r>
    </w:p>
    <w:p w14:paraId="7F0DCF0D" w14:textId="77777777" w:rsidR="00D7495B" w:rsidRPr="00105A25" w:rsidRDefault="00D7495B" w:rsidP="001D75B1">
      <w:pPr>
        <w:pStyle w:val="Tekstblokowy"/>
        <w:spacing w:line="240" w:lineRule="auto"/>
        <w:ind w:left="0" w:right="0"/>
        <w:rPr>
          <w:sz w:val="22"/>
          <w:szCs w:val="22"/>
        </w:rPr>
      </w:pPr>
      <w:r w:rsidRPr="00105A25">
        <w:rPr>
          <w:sz w:val="22"/>
          <w:szCs w:val="22"/>
        </w:rPr>
        <w:t>Zaleca się przyjmowanie tabletek o tej samej porze dnia</w:t>
      </w:r>
      <w:r w:rsidR="00AC72A7" w:rsidRPr="00105A25">
        <w:rPr>
          <w:sz w:val="22"/>
          <w:szCs w:val="22"/>
        </w:rPr>
        <w:t>,</w:t>
      </w:r>
      <w:r w:rsidRPr="00105A25">
        <w:rPr>
          <w:sz w:val="22"/>
          <w:szCs w:val="22"/>
        </w:rPr>
        <w:t xml:space="preserve"> około 15 minut przed posiłkiem. </w:t>
      </w:r>
    </w:p>
    <w:p w14:paraId="4FCD2972" w14:textId="77777777" w:rsidR="001D75B1" w:rsidRPr="00105A25" w:rsidRDefault="001D75B1" w:rsidP="001D75B1">
      <w:pPr>
        <w:rPr>
          <w:b/>
          <w:sz w:val="22"/>
          <w:szCs w:val="22"/>
        </w:rPr>
      </w:pPr>
    </w:p>
    <w:p w14:paraId="0CBBE0D8" w14:textId="77777777" w:rsidR="00D7495B" w:rsidRPr="00105A25" w:rsidRDefault="00D7495B" w:rsidP="001D75B1">
      <w:pPr>
        <w:rPr>
          <w:b/>
          <w:sz w:val="22"/>
          <w:szCs w:val="22"/>
        </w:rPr>
      </w:pPr>
      <w:r w:rsidRPr="00105A25">
        <w:rPr>
          <w:b/>
          <w:sz w:val="22"/>
          <w:szCs w:val="22"/>
        </w:rPr>
        <w:t>Pacjenci w podeszłym wieku (powyżej 65 lat)</w:t>
      </w:r>
    </w:p>
    <w:p w14:paraId="1EAD7D90" w14:textId="77777777" w:rsidR="00D7495B" w:rsidRPr="00105A25" w:rsidRDefault="00D7495B" w:rsidP="001D75B1">
      <w:pPr>
        <w:pStyle w:val="Tekstpodstawowywcity"/>
        <w:spacing w:line="240" w:lineRule="auto"/>
        <w:ind w:left="0" w:firstLine="0"/>
        <w:rPr>
          <w:sz w:val="22"/>
          <w:szCs w:val="22"/>
        </w:rPr>
      </w:pPr>
      <w:r w:rsidRPr="00105A25">
        <w:rPr>
          <w:sz w:val="22"/>
          <w:szCs w:val="22"/>
        </w:rPr>
        <w:t>Zalecana początkowa dawka wynosi 2,5</w:t>
      </w:r>
      <w:r w:rsidR="00143114" w:rsidRPr="00105A25">
        <w:rPr>
          <w:sz w:val="22"/>
          <w:szCs w:val="22"/>
        </w:rPr>
        <w:t> mg</w:t>
      </w:r>
      <w:r w:rsidR="002C370E" w:rsidRPr="00105A25">
        <w:rPr>
          <w:sz w:val="22"/>
          <w:szCs w:val="22"/>
        </w:rPr>
        <w:t xml:space="preserve"> </w:t>
      </w:r>
      <w:r w:rsidRPr="00105A25">
        <w:rPr>
          <w:sz w:val="22"/>
          <w:szCs w:val="22"/>
        </w:rPr>
        <w:t>raz na dobę. Dawki należy dostosować do skuteczności leczenia u konkretnego pacjenta. Zalecana dawka maksymalna wynosi 10</w:t>
      </w:r>
      <w:r w:rsidR="00143114" w:rsidRPr="00105A25">
        <w:rPr>
          <w:sz w:val="22"/>
          <w:szCs w:val="22"/>
        </w:rPr>
        <w:t> mg</w:t>
      </w:r>
      <w:r w:rsidRPr="00105A25">
        <w:rPr>
          <w:sz w:val="22"/>
          <w:szCs w:val="22"/>
        </w:rPr>
        <w:t xml:space="preserve"> raz na dobę.</w:t>
      </w:r>
    </w:p>
    <w:p w14:paraId="00B6AE8B" w14:textId="77777777" w:rsidR="001D75B1" w:rsidRPr="00105A25" w:rsidRDefault="001D75B1" w:rsidP="001D75B1">
      <w:pPr>
        <w:pStyle w:val="Tekstpodstawowywcity"/>
        <w:spacing w:line="240" w:lineRule="auto"/>
        <w:ind w:left="0" w:firstLine="0"/>
        <w:rPr>
          <w:b/>
          <w:sz w:val="22"/>
          <w:szCs w:val="22"/>
        </w:rPr>
      </w:pPr>
    </w:p>
    <w:p w14:paraId="7B52CAEE" w14:textId="02409865" w:rsidR="00D7495B" w:rsidRPr="00105A25" w:rsidRDefault="00D7495B" w:rsidP="001D75B1">
      <w:pPr>
        <w:pStyle w:val="Tekstpodstawowywcity"/>
        <w:spacing w:line="240" w:lineRule="auto"/>
        <w:ind w:left="0" w:firstLine="0"/>
        <w:rPr>
          <w:b/>
          <w:sz w:val="22"/>
          <w:szCs w:val="22"/>
        </w:rPr>
      </w:pPr>
      <w:r w:rsidRPr="00105A25">
        <w:rPr>
          <w:b/>
          <w:sz w:val="22"/>
          <w:szCs w:val="22"/>
        </w:rPr>
        <w:t>Pacjenci z zaburzeni</w:t>
      </w:r>
      <w:r w:rsidR="004C7E22">
        <w:rPr>
          <w:b/>
          <w:sz w:val="22"/>
          <w:szCs w:val="22"/>
        </w:rPr>
        <w:t>a</w:t>
      </w:r>
      <w:r w:rsidRPr="00105A25">
        <w:rPr>
          <w:b/>
          <w:sz w:val="22"/>
          <w:szCs w:val="22"/>
        </w:rPr>
        <w:t>m</w:t>
      </w:r>
      <w:r w:rsidR="004C7E22">
        <w:rPr>
          <w:b/>
          <w:sz w:val="22"/>
          <w:szCs w:val="22"/>
        </w:rPr>
        <w:t>i</w:t>
      </w:r>
      <w:r w:rsidRPr="00105A25">
        <w:rPr>
          <w:b/>
          <w:sz w:val="22"/>
          <w:szCs w:val="22"/>
        </w:rPr>
        <w:t xml:space="preserve"> czynności nerek</w:t>
      </w:r>
    </w:p>
    <w:p w14:paraId="324014C2" w14:textId="77777777" w:rsidR="00D7495B" w:rsidRPr="00105A25" w:rsidRDefault="00280FD3" w:rsidP="001D75B1">
      <w:pPr>
        <w:pStyle w:val="Tekstpodstawowywcity"/>
        <w:spacing w:line="240" w:lineRule="auto"/>
        <w:ind w:left="0" w:firstLine="0"/>
        <w:rPr>
          <w:sz w:val="22"/>
          <w:szCs w:val="22"/>
        </w:rPr>
      </w:pPr>
      <w:r w:rsidRPr="00105A25">
        <w:rPr>
          <w:sz w:val="22"/>
          <w:szCs w:val="22"/>
        </w:rPr>
        <w:t>Imidapry</w:t>
      </w:r>
      <w:r w:rsidR="00D7495B" w:rsidRPr="00105A25">
        <w:rPr>
          <w:sz w:val="22"/>
          <w:szCs w:val="22"/>
        </w:rPr>
        <w:t>l i jego farmakologi</w:t>
      </w:r>
      <w:r w:rsidRPr="00105A25">
        <w:rPr>
          <w:sz w:val="22"/>
          <w:szCs w:val="22"/>
        </w:rPr>
        <w:t>cznie aktywny metabolit imidapry</w:t>
      </w:r>
      <w:r w:rsidR="00D7495B" w:rsidRPr="00105A25">
        <w:rPr>
          <w:sz w:val="22"/>
          <w:szCs w:val="22"/>
        </w:rPr>
        <w:t xml:space="preserve">lat wydalane są głównie </w:t>
      </w:r>
      <w:r w:rsidR="004E145F" w:rsidRPr="00105A25">
        <w:rPr>
          <w:sz w:val="22"/>
          <w:szCs w:val="22"/>
        </w:rPr>
        <w:t>w</w:t>
      </w:r>
      <w:r w:rsidR="00D7495B" w:rsidRPr="00105A25">
        <w:rPr>
          <w:sz w:val="22"/>
          <w:szCs w:val="22"/>
        </w:rPr>
        <w:t xml:space="preserve"> mocz</w:t>
      </w:r>
      <w:r w:rsidR="004E145F" w:rsidRPr="00105A25">
        <w:rPr>
          <w:sz w:val="22"/>
          <w:szCs w:val="22"/>
        </w:rPr>
        <w:t>u</w:t>
      </w:r>
      <w:r w:rsidR="00D7495B" w:rsidRPr="00105A25">
        <w:rPr>
          <w:sz w:val="22"/>
          <w:szCs w:val="22"/>
        </w:rPr>
        <w:t>.</w:t>
      </w:r>
    </w:p>
    <w:p w14:paraId="5F692513" w14:textId="77777777" w:rsidR="001D75B1" w:rsidRPr="00105A25" w:rsidRDefault="001D75B1" w:rsidP="001D75B1">
      <w:pPr>
        <w:rPr>
          <w:sz w:val="22"/>
          <w:szCs w:val="22"/>
        </w:rPr>
      </w:pPr>
    </w:p>
    <w:p w14:paraId="5FC0387F" w14:textId="77777777" w:rsidR="00D7495B" w:rsidRPr="00105A25" w:rsidRDefault="00280FD3" w:rsidP="001D75B1">
      <w:pPr>
        <w:rPr>
          <w:sz w:val="22"/>
          <w:szCs w:val="22"/>
        </w:rPr>
      </w:pPr>
      <w:r w:rsidRPr="00105A25">
        <w:rPr>
          <w:sz w:val="22"/>
          <w:szCs w:val="22"/>
        </w:rPr>
        <w:t>U</w:t>
      </w:r>
      <w:r w:rsidR="00D7495B" w:rsidRPr="00105A25">
        <w:rPr>
          <w:sz w:val="22"/>
          <w:szCs w:val="22"/>
        </w:rPr>
        <w:t xml:space="preserve"> pacjentów ze zwiększonym ryzykiem wystąpienia zaburzeń </w:t>
      </w:r>
      <w:r w:rsidR="00AC72A7" w:rsidRPr="00105A25">
        <w:rPr>
          <w:sz w:val="22"/>
          <w:szCs w:val="22"/>
        </w:rPr>
        <w:t>czynnośc</w:t>
      </w:r>
      <w:r w:rsidR="00D7495B" w:rsidRPr="00105A25">
        <w:rPr>
          <w:sz w:val="22"/>
          <w:szCs w:val="22"/>
        </w:rPr>
        <w:t>i nerek, przed</w:t>
      </w:r>
      <w:r w:rsidR="007D0741" w:rsidRPr="00105A25">
        <w:rPr>
          <w:sz w:val="22"/>
          <w:szCs w:val="22"/>
        </w:rPr>
        <w:t xml:space="preserve"> </w:t>
      </w:r>
      <w:r w:rsidR="00D7495B" w:rsidRPr="00105A25">
        <w:rPr>
          <w:sz w:val="22"/>
          <w:szCs w:val="22"/>
        </w:rPr>
        <w:t xml:space="preserve">rozpoczęciem leczenia </w:t>
      </w:r>
      <w:r w:rsidRPr="00105A25">
        <w:rPr>
          <w:sz w:val="22"/>
          <w:szCs w:val="22"/>
        </w:rPr>
        <w:t>imidapryl</w:t>
      </w:r>
      <w:r w:rsidR="00D7495B" w:rsidRPr="00105A25">
        <w:rPr>
          <w:sz w:val="22"/>
          <w:szCs w:val="22"/>
        </w:rPr>
        <w:t>em należy ocenić czynność nerek.</w:t>
      </w:r>
    </w:p>
    <w:p w14:paraId="6C443DDF" w14:textId="77777777" w:rsidR="001D75B1" w:rsidRPr="00105A25" w:rsidRDefault="001D75B1" w:rsidP="001D75B1">
      <w:pPr>
        <w:rPr>
          <w:sz w:val="22"/>
          <w:szCs w:val="22"/>
        </w:rPr>
      </w:pPr>
    </w:p>
    <w:p w14:paraId="110676C5" w14:textId="77777777" w:rsidR="00D7495B" w:rsidRPr="00105A25" w:rsidRDefault="00D7495B" w:rsidP="001D75B1">
      <w:pPr>
        <w:rPr>
          <w:sz w:val="22"/>
          <w:szCs w:val="22"/>
        </w:rPr>
      </w:pPr>
      <w:r w:rsidRPr="00105A25">
        <w:rPr>
          <w:sz w:val="22"/>
          <w:szCs w:val="22"/>
        </w:rPr>
        <w:t>Klirens kreatyniny można oznaczać bezpośrednio lub pośrednio</w:t>
      </w:r>
      <w:r w:rsidR="00814EE1" w:rsidRPr="00105A25">
        <w:rPr>
          <w:sz w:val="22"/>
          <w:szCs w:val="22"/>
        </w:rPr>
        <w:t>,</w:t>
      </w:r>
      <w:r w:rsidRPr="00105A25">
        <w:rPr>
          <w:sz w:val="22"/>
          <w:szCs w:val="22"/>
        </w:rPr>
        <w:t xml:space="preserve"> stosując wzór </w:t>
      </w:r>
      <w:r w:rsidR="00AC72A7" w:rsidRPr="00105A25">
        <w:rPr>
          <w:sz w:val="22"/>
          <w:szCs w:val="22"/>
        </w:rPr>
        <w:t xml:space="preserve">COCKROFTA </w:t>
      </w:r>
      <w:r w:rsidRPr="00105A25">
        <w:rPr>
          <w:sz w:val="22"/>
          <w:szCs w:val="22"/>
        </w:rPr>
        <w:t>i</w:t>
      </w:r>
      <w:r w:rsidR="001E25BD" w:rsidRPr="00105A25">
        <w:rPr>
          <w:sz w:val="22"/>
          <w:szCs w:val="22"/>
        </w:rPr>
        <w:t> </w:t>
      </w:r>
      <w:r w:rsidR="00AC72A7" w:rsidRPr="00105A25">
        <w:rPr>
          <w:sz w:val="22"/>
          <w:szCs w:val="22"/>
        </w:rPr>
        <w:t>GAULTA</w:t>
      </w:r>
      <w:r w:rsidRPr="00105A25">
        <w:rPr>
          <w:sz w:val="22"/>
          <w:szCs w:val="22"/>
        </w:rPr>
        <w:t>:</w:t>
      </w:r>
    </w:p>
    <w:p w14:paraId="400726A1" w14:textId="77777777" w:rsidR="001D75B1" w:rsidRPr="00105A25" w:rsidRDefault="001D75B1" w:rsidP="001D75B1">
      <w:pPr>
        <w:rPr>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683E9E" w:rsidRPr="00105A25" w14:paraId="0EAF249F" w14:textId="77777777" w:rsidTr="001D75B1">
        <w:trPr>
          <w:trHeight w:val="1470"/>
        </w:trPr>
        <w:tc>
          <w:tcPr>
            <w:tcW w:w="9000" w:type="dxa"/>
          </w:tcPr>
          <w:p w14:paraId="6D61B7C4" w14:textId="77777777" w:rsidR="00683E9E" w:rsidRPr="00105A25" w:rsidRDefault="00683E9E" w:rsidP="00765CE7">
            <w:pPr>
              <w:jc w:val="center"/>
              <w:rPr>
                <w:sz w:val="22"/>
                <w:szCs w:val="22"/>
                <w:u w:val="single"/>
              </w:rPr>
            </w:pPr>
            <w:r w:rsidRPr="00105A25">
              <w:rPr>
                <w:sz w:val="22"/>
                <w:szCs w:val="22"/>
                <w:u w:val="single"/>
              </w:rPr>
              <w:t xml:space="preserve">(140 </w:t>
            </w:r>
            <w:r w:rsidRPr="00105A25">
              <w:rPr>
                <w:i/>
                <w:sz w:val="22"/>
                <w:szCs w:val="22"/>
                <w:u w:val="single"/>
              </w:rPr>
              <w:t xml:space="preserve">- </w:t>
            </w:r>
            <w:r w:rsidRPr="00105A25">
              <w:rPr>
                <w:sz w:val="22"/>
                <w:szCs w:val="22"/>
                <w:u w:val="single"/>
              </w:rPr>
              <w:t>wiek [lat] x masa ciała [kg]</w:t>
            </w:r>
          </w:p>
          <w:p w14:paraId="58D3CCC4" w14:textId="4786FDBF" w:rsidR="00683E9E" w:rsidRPr="00105A25" w:rsidRDefault="00ED4E7D" w:rsidP="00867C4D">
            <w:pPr>
              <w:rPr>
                <w:sz w:val="22"/>
                <w:szCs w:val="22"/>
              </w:rPr>
            </w:pPr>
            <w:r>
              <w:rPr>
                <w:sz w:val="22"/>
                <w:szCs w:val="22"/>
              </w:rPr>
              <w:t xml:space="preserve">                 </w:t>
            </w:r>
            <w:r w:rsidR="00683E9E" w:rsidRPr="00105A25">
              <w:rPr>
                <w:sz w:val="22"/>
                <w:szCs w:val="22"/>
              </w:rPr>
              <w:t>Klirens kreatyniny</w:t>
            </w:r>
            <w:r w:rsidR="002C370E" w:rsidRPr="00105A25">
              <w:rPr>
                <w:i/>
                <w:sz w:val="22"/>
                <w:szCs w:val="22"/>
              </w:rPr>
              <w:t xml:space="preserve"> </w:t>
            </w:r>
            <w:r w:rsidR="00683E9E" w:rsidRPr="00105A25">
              <w:rPr>
                <w:i/>
                <w:sz w:val="22"/>
                <w:szCs w:val="22"/>
              </w:rPr>
              <w:t>=</w:t>
            </w:r>
            <w:r w:rsidR="002C370E" w:rsidRPr="00105A25">
              <w:rPr>
                <w:i/>
                <w:sz w:val="22"/>
                <w:szCs w:val="22"/>
              </w:rPr>
              <w:t xml:space="preserve"> </w:t>
            </w:r>
            <w:r w:rsidR="00683E9E" w:rsidRPr="00105A25">
              <w:rPr>
                <w:sz w:val="22"/>
                <w:szCs w:val="22"/>
              </w:rPr>
              <w:t>72 x stężenie kreatyniny w surowicy [mg/dl]</w:t>
            </w:r>
          </w:p>
          <w:p w14:paraId="50637111" w14:textId="77777777" w:rsidR="00683E9E" w:rsidRPr="00105A25" w:rsidRDefault="00683E9E" w:rsidP="001D75B1">
            <w:pPr>
              <w:rPr>
                <w:i/>
                <w:sz w:val="22"/>
                <w:szCs w:val="22"/>
              </w:rPr>
            </w:pPr>
          </w:p>
          <w:p w14:paraId="11F5684E" w14:textId="77777777" w:rsidR="00683E9E" w:rsidRPr="00105A25" w:rsidRDefault="00683E9E" w:rsidP="001D75B1">
            <w:pPr>
              <w:pStyle w:val="Tekstpodstawowywcity3"/>
              <w:spacing w:line="240" w:lineRule="auto"/>
              <w:ind w:left="0"/>
              <w:rPr>
                <w:sz w:val="22"/>
                <w:szCs w:val="22"/>
                <w:u w:val="single"/>
              </w:rPr>
            </w:pPr>
            <w:r w:rsidRPr="00105A25">
              <w:rPr>
                <w:sz w:val="22"/>
                <w:szCs w:val="22"/>
              </w:rPr>
              <w:t>(dla kobiet otrzymaną wartość należy pomnożyć przez 0,85; jeśli</w:t>
            </w:r>
            <w:r w:rsidR="002C370E" w:rsidRPr="00105A25">
              <w:rPr>
                <w:sz w:val="22"/>
                <w:szCs w:val="22"/>
              </w:rPr>
              <w:t xml:space="preserve"> </w:t>
            </w:r>
            <w:r w:rsidRPr="00105A25">
              <w:rPr>
                <w:sz w:val="22"/>
                <w:szCs w:val="22"/>
              </w:rPr>
              <w:t>stos</w:t>
            </w:r>
            <w:r w:rsidR="00814EE1" w:rsidRPr="00105A25">
              <w:rPr>
                <w:sz w:val="22"/>
                <w:szCs w:val="22"/>
              </w:rPr>
              <w:t xml:space="preserve">uje się jednostki </w:t>
            </w:r>
            <w:r w:rsidRPr="00105A25">
              <w:rPr>
                <w:sz w:val="22"/>
                <w:szCs w:val="22"/>
              </w:rPr>
              <w:t>μmol/1 zamiast</w:t>
            </w:r>
            <w:r w:rsidR="00143114" w:rsidRPr="00105A25">
              <w:rPr>
                <w:sz w:val="22"/>
                <w:szCs w:val="22"/>
              </w:rPr>
              <w:t> mg</w:t>
            </w:r>
            <w:r w:rsidRPr="00105A25">
              <w:rPr>
                <w:sz w:val="22"/>
                <w:szCs w:val="22"/>
              </w:rPr>
              <w:t>/dl, współczynnik 72 należy zastąpić współczynnikiem 0,813).</w:t>
            </w:r>
          </w:p>
        </w:tc>
      </w:tr>
    </w:tbl>
    <w:p w14:paraId="701CA8A6" w14:textId="77777777" w:rsidR="001D75B1" w:rsidRPr="00105A25" w:rsidRDefault="001D75B1" w:rsidP="001D75B1">
      <w:pPr>
        <w:rPr>
          <w:sz w:val="22"/>
          <w:szCs w:val="22"/>
        </w:rPr>
      </w:pPr>
    </w:p>
    <w:p w14:paraId="167ECDAF" w14:textId="77777777" w:rsidR="00D7495B" w:rsidRPr="00105A25" w:rsidRDefault="00D7495B" w:rsidP="001D75B1">
      <w:pPr>
        <w:rPr>
          <w:sz w:val="22"/>
          <w:szCs w:val="22"/>
        </w:rPr>
      </w:pPr>
      <w:r w:rsidRPr="00105A25">
        <w:rPr>
          <w:sz w:val="22"/>
          <w:szCs w:val="22"/>
        </w:rPr>
        <w:t>U pacjentów z klirensem kreatyniny wynoszącym od 30</w:t>
      </w:r>
      <w:r w:rsidR="00143114" w:rsidRPr="00105A25">
        <w:rPr>
          <w:sz w:val="22"/>
          <w:szCs w:val="22"/>
        </w:rPr>
        <w:t> ml</w:t>
      </w:r>
      <w:r w:rsidRPr="00105A25">
        <w:rPr>
          <w:sz w:val="22"/>
          <w:szCs w:val="22"/>
        </w:rPr>
        <w:t>/min do 80</w:t>
      </w:r>
      <w:r w:rsidR="00143114" w:rsidRPr="00105A25">
        <w:rPr>
          <w:sz w:val="22"/>
          <w:szCs w:val="22"/>
        </w:rPr>
        <w:t> ml</w:t>
      </w:r>
      <w:r w:rsidRPr="00105A25">
        <w:rPr>
          <w:sz w:val="22"/>
          <w:szCs w:val="22"/>
        </w:rPr>
        <w:t>/min zalecana dawka początkowa wynosi 2,5</w:t>
      </w:r>
      <w:r w:rsidR="00143114" w:rsidRPr="00105A25">
        <w:rPr>
          <w:sz w:val="22"/>
          <w:szCs w:val="22"/>
        </w:rPr>
        <w:t> mg</w:t>
      </w:r>
      <w:r w:rsidRPr="00105A25">
        <w:rPr>
          <w:sz w:val="22"/>
          <w:szCs w:val="22"/>
        </w:rPr>
        <w:t xml:space="preserve"> (patrz</w:t>
      </w:r>
      <w:r w:rsidR="007565E9" w:rsidRPr="00105A25">
        <w:rPr>
          <w:sz w:val="22"/>
          <w:szCs w:val="22"/>
        </w:rPr>
        <w:t xml:space="preserve"> punkt 4.4</w:t>
      </w:r>
      <w:r w:rsidRPr="00105A25">
        <w:rPr>
          <w:sz w:val="22"/>
          <w:szCs w:val="22"/>
        </w:rPr>
        <w:t>).</w:t>
      </w:r>
    </w:p>
    <w:p w14:paraId="19A58346" w14:textId="77777777" w:rsidR="001D75B1" w:rsidRPr="00105A25" w:rsidRDefault="001D75B1" w:rsidP="001D75B1">
      <w:pPr>
        <w:rPr>
          <w:sz w:val="22"/>
          <w:szCs w:val="22"/>
        </w:rPr>
      </w:pPr>
    </w:p>
    <w:p w14:paraId="7DA9DFF4" w14:textId="77777777" w:rsidR="00D7495B" w:rsidRPr="00105A25" w:rsidRDefault="00D7495B" w:rsidP="001D75B1">
      <w:pPr>
        <w:rPr>
          <w:sz w:val="22"/>
          <w:szCs w:val="22"/>
        </w:rPr>
      </w:pPr>
      <w:r w:rsidRPr="00105A25">
        <w:rPr>
          <w:sz w:val="22"/>
          <w:szCs w:val="22"/>
        </w:rPr>
        <w:t>U pacjentów z klirensem kreatyniny od</w:t>
      </w:r>
      <w:r w:rsidR="00280FD3" w:rsidRPr="00105A25">
        <w:rPr>
          <w:sz w:val="22"/>
          <w:szCs w:val="22"/>
        </w:rPr>
        <w:t xml:space="preserve"> 10</w:t>
      </w:r>
      <w:r w:rsidR="00143114" w:rsidRPr="00105A25">
        <w:rPr>
          <w:sz w:val="22"/>
          <w:szCs w:val="22"/>
        </w:rPr>
        <w:t> ml</w:t>
      </w:r>
      <w:r w:rsidR="00280FD3" w:rsidRPr="00105A25">
        <w:rPr>
          <w:sz w:val="22"/>
          <w:szCs w:val="22"/>
        </w:rPr>
        <w:t>/min do 29</w:t>
      </w:r>
      <w:r w:rsidR="00143114" w:rsidRPr="00105A25">
        <w:rPr>
          <w:sz w:val="22"/>
          <w:szCs w:val="22"/>
        </w:rPr>
        <w:t> ml</w:t>
      </w:r>
      <w:r w:rsidR="00280FD3" w:rsidRPr="00105A25">
        <w:rPr>
          <w:sz w:val="22"/>
          <w:szCs w:val="22"/>
        </w:rPr>
        <w:t>/min imidapry</w:t>
      </w:r>
      <w:r w:rsidRPr="00105A25">
        <w:rPr>
          <w:sz w:val="22"/>
          <w:szCs w:val="22"/>
        </w:rPr>
        <w:t>lu nie należy stosować.</w:t>
      </w:r>
    </w:p>
    <w:p w14:paraId="79019770" w14:textId="77777777" w:rsidR="001D75B1" w:rsidRPr="00105A25" w:rsidRDefault="001D75B1" w:rsidP="001D75B1">
      <w:pPr>
        <w:rPr>
          <w:sz w:val="22"/>
          <w:szCs w:val="22"/>
        </w:rPr>
      </w:pPr>
    </w:p>
    <w:p w14:paraId="4D1B9102" w14:textId="77777777" w:rsidR="00D7495B" w:rsidRPr="00105A25" w:rsidRDefault="00D7495B" w:rsidP="001D75B1">
      <w:pPr>
        <w:rPr>
          <w:sz w:val="22"/>
          <w:szCs w:val="22"/>
        </w:rPr>
      </w:pPr>
      <w:r w:rsidRPr="00105A25">
        <w:rPr>
          <w:sz w:val="22"/>
          <w:szCs w:val="22"/>
        </w:rPr>
        <w:t>U pacjentów, u których klirens kreatyniny jest mniejszy niż 10</w:t>
      </w:r>
      <w:r w:rsidR="00143114" w:rsidRPr="00105A25">
        <w:rPr>
          <w:sz w:val="22"/>
          <w:szCs w:val="22"/>
        </w:rPr>
        <w:t> ml</w:t>
      </w:r>
      <w:r w:rsidRPr="00105A25">
        <w:rPr>
          <w:sz w:val="22"/>
          <w:szCs w:val="22"/>
        </w:rPr>
        <w:t>/min, lek jest przeciwwskazany.</w:t>
      </w:r>
    </w:p>
    <w:p w14:paraId="3596D42A" w14:textId="77777777" w:rsidR="001D75B1" w:rsidRPr="00105A25" w:rsidRDefault="001D75B1" w:rsidP="001D75B1">
      <w:pPr>
        <w:rPr>
          <w:b/>
          <w:sz w:val="22"/>
          <w:szCs w:val="22"/>
        </w:rPr>
      </w:pPr>
    </w:p>
    <w:p w14:paraId="7656324F" w14:textId="0322FAD7" w:rsidR="00D7495B" w:rsidRPr="00105A25" w:rsidRDefault="00D7495B" w:rsidP="001D75B1">
      <w:pPr>
        <w:rPr>
          <w:sz w:val="22"/>
          <w:szCs w:val="22"/>
        </w:rPr>
      </w:pPr>
      <w:r w:rsidRPr="00105A25">
        <w:rPr>
          <w:b/>
          <w:sz w:val="22"/>
          <w:szCs w:val="22"/>
        </w:rPr>
        <w:t>Pacjenci z zaburzeni</w:t>
      </w:r>
      <w:r w:rsidR="004C7E22">
        <w:rPr>
          <w:b/>
          <w:sz w:val="22"/>
          <w:szCs w:val="22"/>
        </w:rPr>
        <w:t>a</w:t>
      </w:r>
      <w:r w:rsidRPr="00105A25">
        <w:rPr>
          <w:b/>
          <w:sz w:val="22"/>
          <w:szCs w:val="22"/>
        </w:rPr>
        <w:t>m</w:t>
      </w:r>
      <w:r w:rsidR="004C7E22">
        <w:rPr>
          <w:b/>
          <w:sz w:val="22"/>
          <w:szCs w:val="22"/>
        </w:rPr>
        <w:t>i</w:t>
      </w:r>
      <w:r w:rsidRPr="00105A25">
        <w:rPr>
          <w:b/>
          <w:sz w:val="22"/>
          <w:szCs w:val="22"/>
        </w:rPr>
        <w:t xml:space="preserve"> czynności wątroby</w:t>
      </w:r>
      <w:r w:rsidR="002C370E" w:rsidRPr="00105A25">
        <w:rPr>
          <w:sz w:val="22"/>
          <w:szCs w:val="22"/>
        </w:rPr>
        <w:t xml:space="preserve">  </w:t>
      </w:r>
      <w:r w:rsidRPr="00105A25">
        <w:rPr>
          <w:sz w:val="22"/>
          <w:szCs w:val="22"/>
        </w:rPr>
        <w:t xml:space="preserve"> </w:t>
      </w:r>
    </w:p>
    <w:p w14:paraId="63D505D8" w14:textId="6FFDBAA9" w:rsidR="00D7495B" w:rsidRPr="00105A25" w:rsidRDefault="00D7495B" w:rsidP="001D75B1">
      <w:pPr>
        <w:rPr>
          <w:sz w:val="22"/>
          <w:szCs w:val="22"/>
        </w:rPr>
      </w:pPr>
      <w:r w:rsidRPr="00105A25">
        <w:rPr>
          <w:sz w:val="22"/>
          <w:szCs w:val="22"/>
        </w:rPr>
        <w:t>Zalecana dawka początkowa</w:t>
      </w:r>
      <w:r w:rsidR="00280FD3" w:rsidRPr="00105A25">
        <w:rPr>
          <w:sz w:val="22"/>
          <w:szCs w:val="22"/>
        </w:rPr>
        <w:t xml:space="preserve"> wynosi 2,5</w:t>
      </w:r>
      <w:r w:rsidR="00143114" w:rsidRPr="00105A25">
        <w:rPr>
          <w:sz w:val="22"/>
          <w:szCs w:val="22"/>
        </w:rPr>
        <w:t> mg</w:t>
      </w:r>
      <w:r w:rsidR="00280FD3" w:rsidRPr="00105A25">
        <w:rPr>
          <w:sz w:val="22"/>
          <w:szCs w:val="22"/>
        </w:rPr>
        <w:t xml:space="preserve"> na dobę. Imidapry</w:t>
      </w:r>
      <w:r w:rsidRPr="00105A25">
        <w:rPr>
          <w:sz w:val="22"/>
          <w:szCs w:val="22"/>
        </w:rPr>
        <w:t>l należy stosować ostrożnie u</w:t>
      </w:r>
      <w:r w:rsidR="002C370E" w:rsidRPr="00105A25">
        <w:rPr>
          <w:sz w:val="22"/>
          <w:szCs w:val="22"/>
        </w:rPr>
        <w:t> </w:t>
      </w:r>
      <w:r w:rsidRPr="00105A25">
        <w:rPr>
          <w:sz w:val="22"/>
          <w:szCs w:val="22"/>
        </w:rPr>
        <w:t>pacjentów z zaburzeni</w:t>
      </w:r>
      <w:r w:rsidR="007F49C9">
        <w:rPr>
          <w:sz w:val="22"/>
          <w:szCs w:val="22"/>
        </w:rPr>
        <w:t>a</w:t>
      </w:r>
      <w:r w:rsidRPr="00105A25">
        <w:rPr>
          <w:sz w:val="22"/>
          <w:szCs w:val="22"/>
        </w:rPr>
        <w:t>m</w:t>
      </w:r>
      <w:r w:rsidR="007F49C9">
        <w:rPr>
          <w:sz w:val="22"/>
          <w:szCs w:val="22"/>
        </w:rPr>
        <w:t>i</w:t>
      </w:r>
      <w:r w:rsidRPr="00105A25">
        <w:rPr>
          <w:sz w:val="22"/>
          <w:szCs w:val="22"/>
        </w:rPr>
        <w:t xml:space="preserve"> czynności wątroby.</w:t>
      </w:r>
    </w:p>
    <w:p w14:paraId="7E4E2720" w14:textId="77777777" w:rsidR="001D75B1" w:rsidRPr="00105A25" w:rsidRDefault="001D75B1" w:rsidP="001D75B1">
      <w:pPr>
        <w:rPr>
          <w:b/>
          <w:sz w:val="22"/>
          <w:szCs w:val="22"/>
        </w:rPr>
      </w:pPr>
    </w:p>
    <w:p w14:paraId="173FF9E7" w14:textId="77777777" w:rsidR="00D7495B" w:rsidRPr="00105A25" w:rsidRDefault="00D7495B" w:rsidP="001D75B1">
      <w:pPr>
        <w:rPr>
          <w:sz w:val="22"/>
          <w:szCs w:val="22"/>
        </w:rPr>
      </w:pPr>
      <w:r w:rsidRPr="00105A25">
        <w:rPr>
          <w:b/>
          <w:sz w:val="22"/>
          <w:szCs w:val="22"/>
        </w:rPr>
        <w:t>Pacjenci ze zwiększonym ryzykiem objawowej hipotonii</w:t>
      </w:r>
      <w:r w:rsidRPr="00105A25">
        <w:rPr>
          <w:sz w:val="22"/>
          <w:szCs w:val="22"/>
        </w:rPr>
        <w:t xml:space="preserve"> </w:t>
      </w:r>
    </w:p>
    <w:p w14:paraId="0C62CF63" w14:textId="77777777" w:rsidR="00D7495B" w:rsidRPr="00105A25" w:rsidRDefault="00D7495B" w:rsidP="001D75B1">
      <w:pPr>
        <w:rPr>
          <w:sz w:val="22"/>
          <w:szCs w:val="22"/>
          <w:u w:val="single"/>
        </w:rPr>
      </w:pPr>
      <w:r w:rsidRPr="00105A25">
        <w:rPr>
          <w:sz w:val="22"/>
          <w:szCs w:val="22"/>
        </w:rPr>
        <w:t>U pacjentów z zaburzeniami równowagi wodno – elektrolitowej występuje zwiększone ryzyko objawowego niedociśnienia. Przed rozpoczęciem leczenia należy usunąć zaburzenia równowagi wodno – elektrolitowej i (jeśli to możliwe) odstawić lek moczopędny dwa lub trzy dni przed podaniem pierwszej dawki inhibitora</w:t>
      </w:r>
      <w:r w:rsidR="00ED4E7D">
        <w:rPr>
          <w:sz w:val="22"/>
          <w:szCs w:val="22"/>
        </w:rPr>
        <w:t xml:space="preserve"> konwertazy angiotensyny</w:t>
      </w:r>
      <w:r w:rsidRPr="00105A25">
        <w:rPr>
          <w:sz w:val="22"/>
          <w:szCs w:val="22"/>
        </w:rPr>
        <w:t xml:space="preserve"> </w:t>
      </w:r>
      <w:r w:rsidR="00ED4E7D">
        <w:rPr>
          <w:sz w:val="22"/>
          <w:szCs w:val="22"/>
        </w:rPr>
        <w:t>(</w:t>
      </w:r>
      <w:r w:rsidRPr="00105A25">
        <w:rPr>
          <w:sz w:val="22"/>
          <w:szCs w:val="22"/>
        </w:rPr>
        <w:t>ACE</w:t>
      </w:r>
      <w:r w:rsidR="00ED4E7D">
        <w:rPr>
          <w:sz w:val="22"/>
          <w:szCs w:val="22"/>
        </w:rPr>
        <w:t>)</w:t>
      </w:r>
      <w:r w:rsidRPr="00105A25">
        <w:rPr>
          <w:sz w:val="22"/>
          <w:szCs w:val="22"/>
        </w:rPr>
        <w:t xml:space="preserve">. Jeżeli nie jest to możliwe, początkowa dawka </w:t>
      </w:r>
      <w:r w:rsidR="00280FD3" w:rsidRPr="00105A25">
        <w:rPr>
          <w:sz w:val="22"/>
          <w:szCs w:val="22"/>
        </w:rPr>
        <w:t>imidaprylu</w:t>
      </w:r>
      <w:r w:rsidRPr="00105A25">
        <w:rPr>
          <w:sz w:val="22"/>
          <w:szCs w:val="22"/>
        </w:rPr>
        <w:t xml:space="preserve"> powinna wynosić 2,5</w:t>
      </w:r>
      <w:r w:rsidR="00143114" w:rsidRPr="00105A25">
        <w:rPr>
          <w:sz w:val="22"/>
          <w:szCs w:val="22"/>
        </w:rPr>
        <w:t> mg</w:t>
      </w:r>
      <w:r w:rsidRPr="00105A25">
        <w:rPr>
          <w:sz w:val="22"/>
          <w:szCs w:val="22"/>
        </w:rPr>
        <w:t>.</w:t>
      </w:r>
    </w:p>
    <w:p w14:paraId="45BAD2D8" w14:textId="77777777" w:rsidR="001D75B1" w:rsidRPr="00105A25" w:rsidRDefault="001D75B1" w:rsidP="001D75B1">
      <w:pPr>
        <w:rPr>
          <w:sz w:val="22"/>
          <w:szCs w:val="22"/>
        </w:rPr>
      </w:pPr>
    </w:p>
    <w:p w14:paraId="2B37860E" w14:textId="77777777" w:rsidR="00D7495B" w:rsidRPr="00105A25" w:rsidRDefault="00D7495B" w:rsidP="001D75B1">
      <w:pPr>
        <w:rPr>
          <w:sz w:val="22"/>
          <w:szCs w:val="22"/>
        </w:rPr>
      </w:pPr>
      <w:r w:rsidRPr="00105A25">
        <w:rPr>
          <w:sz w:val="22"/>
          <w:szCs w:val="22"/>
        </w:rPr>
        <w:t xml:space="preserve">U pacjentów z nadciśnieniem i niewydolnością serca leczonych </w:t>
      </w:r>
      <w:r w:rsidR="00ED4E7D">
        <w:rPr>
          <w:sz w:val="22"/>
          <w:szCs w:val="22"/>
        </w:rPr>
        <w:t xml:space="preserve">inhibitorem </w:t>
      </w:r>
      <w:r w:rsidRPr="00105A25">
        <w:rPr>
          <w:sz w:val="22"/>
          <w:szCs w:val="22"/>
        </w:rPr>
        <w:t>ACE występuje zwiększone ryzyko niedociśnienia objawowego. U tych pacjentów zalecana dawka początkowa wynosi 2,5</w:t>
      </w:r>
      <w:r w:rsidR="00143114" w:rsidRPr="00105A25">
        <w:rPr>
          <w:sz w:val="22"/>
          <w:szCs w:val="22"/>
        </w:rPr>
        <w:t> mg</w:t>
      </w:r>
      <w:r w:rsidRPr="00105A25">
        <w:rPr>
          <w:sz w:val="22"/>
          <w:szCs w:val="22"/>
        </w:rPr>
        <w:t xml:space="preserve"> </w:t>
      </w:r>
      <w:r w:rsidR="00280FD3" w:rsidRPr="00105A25">
        <w:rPr>
          <w:sz w:val="22"/>
          <w:szCs w:val="22"/>
        </w:rPr>
        <w:t>imidaprylu</w:t>
      </w:r>
      <w:r w:rsidRPr="00105A25">
        <w:rPr>
          <w:sz w:val="22"/>
          <w:szCs w:val="22"/>
        </w:rPr>
        <w:t xml:space="preserve"> raz na dobę, </w:t>
      </w:r>
      <w:r w:rsidR="00943262" w:rsidRPr="00105A25">
        <w:rPr>
          <w:sz w:val="22"/>
          <w:szCs w:val="22"/>
        </w:rPr>
        <w:t xml:space="preserve">podawane </w:t>
      </w:r>
      <w:r w:rsidRPr="00105A25">
        <w:rPr>
          <w:sz w:val="22"/>
          <w:szCs w:val="22"/>
        </w:rPr>
        <w:t>pod ścisłym nadzorem medycznym. Pacjenci z</w:t>
      </w:r>
      <w:r w:rsidR="002C370E" w:rsidRPr="00105A25">
        <w:rPr>
          <w:sz w:val="22"/>
          <w:szCs w:val="22"/>
        </w:rPr>
        <w:t> </w:t>
      </w:r>
      <w:r w:rsidRPr="00105A25">
        <w:rPr>
          <w:sz w:val="22"/>
          <w:szCs w:val="22"/>
        </w:rPr>
        <w:t xml:space="preserve">wysokim ryzykiem wystąpienia ciężkiego, objawowego niedociśnienia po pierwszej dawce, powinni </w:t>
      </w:r>
      <w:r w:rsidR="00814EE1" w:rsidRPr="00105A25">
        <w:rPr>
          <w:sz w:val="22"/>
          <w:szCs w:val="22"/>
        </w:rPr>
        <w:t>pozostawać pod nadzorem</w:t>
      </w:r>
      <w:r w:rsidRPr="00105A25">
        <w:rPr>
          <w:sz w:val="22"/>
          <w:szCs w:val="22"/>
        </w:rPr>
        <w:t xml:space="preserve"> </w:t>
      </w:r>
      <w:r w:rsidR="00814EE1" w:rsidRPr="00105A25">
        <w:rPr>
          <w:sz w:val="22"/>
          <w:szCs w:val="22"/>
        </w:rPr>
        <w:t>medycznym</w:t>
      </w:r>
      <w:r w:rsidRPr="00105A25">
        <w:rPr>
          <w:sz w:val="22"/>
          <w:szCs w:val="22"/>
        </w:rPr>
        <w:t xml:space="preserve">, najlepiej w szpitalu, przez 6-8 godzin po podaniu pierwszej dawki oraz po każdym zwiększeniu dawki </w:t>
      </w:r>
      <w:r w:rsidR="00280FD3" w:rsidRPr="00105A25">
        <w:rPr>
          <w:sz w:val="22"/>
          <w:szCs w:val="22"/>
        </w:rPr>
        <w:t>imidaprylu</w:t>
      </w:r>
      <w:r w:rsidRPr="00105A25">
        <w:rPr>
          <w:sz w:val="22"/>
          <w:szCs w:val="22"/>
        </w:rPr>
        <w:t xml:space="preserve"> lub leku moczopędnego w przypadku leczenia skojarzonego. Dawka początkowa powinna wynosić 2,5</w:t>
      </w:r>
      <w:r w:rsidR="00143114" w:rsidRPr="00105A25">
        <w:rPr>
          <w:sz w:val="22"/>
          <w:szCs w:val="22"/>
        </w:rPr>
        <w:t> mg</w:t>
      </w:r>
      <w:r w:rsidRPr="00105A25">
        <w:rPr>
          <w:sz w:val="22"/>
          <w:szCs w:val="22"/>
        </w:rPr>
        <w:t xml:space="preserve">. Te same zasady należy stosować u pacjentów z dławicą piersiową i niewydolnością tętnic zaopatrujących mózg. </w:t>
      </w:r>
      <w:r w:rsidR="00943262" w:rsidRPr="00105A25">
        <w:rPr>
          <w:sz w:val="22"/>
          <w:szCs w:val="22"/>
        </w:rPr>
        <w:t>Tacy p</w:t>
      </w:r>
      <w:r w:rsidRPr="00105A25">
        <w:rPr>
          <w:sz w:val="22"/>
          <w:szCs w:val="22"/>
        </w:rPr>
        <w:t>acjenci należą do grupy zwiększonego ryzyka wystąpienia zawału mięśnia sercowego lub udaru mózgu w</w:t>
      </w:r>
      <w:r w:rsidR="002C370E" w:rsidRPr="00105A25">
        <w:rPr>
          <w:sz w:val="22"/>
          <w:szCs w:val="22"/>
        </w:rPr>
        <w:t xml:space="preserve"> </w:t>
      </w:r>
      <w:r w:rsidRPr="00105A25">
        <w:rPr>
          <w:sz w:val="22"/>
          <w:szCs w:val="22"/>
        </w:rPr>
        <w:t>przypadku znacznego niedociśnienia.</w:t>
      </w:r>
    </w:p>
    <w:p w14:paraId="0C1E9BE9" w14:textId="77777777" w:rsidR="001D75B1" w:rsidRPr="00105A25" w:rsidRDefault="001D75B1" w:rsidP="001D75B1">
      <w:pPr>
        <w:pStyle w:val="Nagwek4"/>
        <w:spacing w:line="240" w:lineRule="auto"/>
        <w:ind w:left="0"/>
        <w:jc w:val="left"/>
        <w:rPr>
          <w:b/>
          <w:sz w:val="22"/>
          <w:szCs w:val="22"/>
          <w:u w:val="none"/>
        </w:rPr>
      </w:pPr>
    </w:p>
    <w:p w14:paraId="0D4FDE70" w14:textId="77777777" w:rsidR="00D7495B" w:rsidRPr="00105A25" w:rsidRDefault="00D7495B" w:rsidP="001D75B1">
      <w:pPr>
        <w:pStyle w:val="Nagwek4"/>
        <w:spacing w:line="240" w:lineRule="auto"/>
        <w:ind w:left="0"/>
        <w:jc w:val="left"/>
        <w:rPr>
          <w:b/>
          <w:sz w:val="22"/>
          <w:szCs w:val="22"/>
          <w:u w:val="none"/>
        </w:rPr>
      </w:pPr>
      <w:r w:rsidRPr="00105A25">
        <w:rPr>
          <w:b/>
          <w:sz w:val="22"/>
          <w:szCs w:val="22"/>
          <w:u w:val="none"/>
        </w:rPr>
        <w:t>Dzieci</w:t>
      </w:r>
      <w:r w:rsidR="00CC2206" w:rsidRPr="00105A25">
        <w:rPr>
          <w:b/>
          <w:sz w:val="22"/>
          <w:szCs w:val="22"/>
          <w:u w:val="none"/>
        </w:rPr>
        <w:t xml:space="preserve"> i</w:t>
      </w:r>
      <w:r w:rsidR="00EE2AA1">
        <w:rPr>
          <w:b/>
          <w:sz w:val="22"/>
          <w:szCs w:val="22"/>
          <w:u w:val="none"/>
        </w:rPr>
        <w:t> mł</w:t>
      </w:r>
      <w:r w:rsidR="00CC2206" w:rsidRPr="00105A25">
        <w:rPr>
          <w:b/>
          <w:sz w:val="22"/>
          <w:szCs w:val="22"/>
          <w:u w:val="none"/>
        </w:rPr>
        <w:t>odzież</w:t>
      </w:r>
    </w:p>
    <w:p w14:paraId="4C152948" w14:textId="77777777" w:rsidR="00D7495B" w:rsidRPr="00105A25" w:rsidRDefault="00D7495B" w:rsidP="001D75B1">
      <w:pPr>
        <w:rPr>
          <w:sz w:val="22"/>
          <w:szCs w:val="22"/>
        </w:rPr>
      </w:pPr>
      <w:r w:rsidRPr="00105A25">
        <w:rPr>
          <w:sz w:val="22"/>
          <w:szCs w:val="22"/>
        </w:rPr>
        <w:t>Nie ustalono skuteczności i bezpieczeństwa stosowania u dzieci</w:t>
      </w:r>
      <w:r w:rsidR="00CC2B88" w:rsidRPr="00105A25">
        <w:rPr>
          <w:sz w:val="22"/>
          <w:szCs w:val="22"/>
        </w:rPr>
        <w:t xml:space="preserve"> i młodzieży</w:t>
      </w:r>
      <w:r w:rsidRPr="00105A25">
        <w:rPr>
          <w:sz w:val="22"/>
          <w:szCs w:val="22"/>
        </w:rPr>
        <w:t xml:space="preserve">. </w:t>
      </w:r>
    </w:p>
    <w:p w14:paraId="62DD8AA4" w14:textId="77777777" w:rsidR="00D7495B" w:rsidRPr="00105A25" w:rsidRDefault="00280FD3" w:rsidP="001D75B1">
      <w:pPr>
        <w:rPr>
          <w:sz w:val="22"/>
          <w:szCs w:val="22"/>
        </w:rPr>
      </w:pPr>
      <w:r w:rsidRPr="00105A25">
        <w:rPr>
          <w:sz w:val="22"/>
          <w:szCs w:val="22"/>
        </w:rPr>
        <w:t>Imidaprylu</w:t>
      </w:r>
      <w:r w:rsidR="00D7495B" w:rsidRPr="00105A25">
        <w:rPr>
          <w:sz w:val="22"/>
          <w:szCs w:val="22"/>
        </w:rPr>
        <w:t xml:space="preserve"> nie należy podawać dzieciom</w:t>
      </w:r>
      <w:r w:rsidR="00CC2B88" w:rsidRPr="00105A25">
        <w:rPr>
          <w:sz w:val="22"/>
          <w:szCs w:val="22"/>
        </w:rPr>
        <w:t xml:space="preserve"> i młodzieży</w:t>
      </w:r>
      <w:r w:rsidR="00D7495B" w:rsidRPr="00105A25">
        <w:rPr>
          <w:sz w:val="22"/>
          <w:szCs w:val="22"/>
        </w:rPr>
        <w:t xml:space="preserve">. </w:t>
      </w:r>
    </w:p>
    <w:p w14:paraId="681CAD76" w14:textId="77777777" w:rsidR="00A64B25" w:rsidRPr="00105A25" w:rsidRDefault="00A64B25" w:rsidP="001D75B1">
      <w:pPr>
        <w:rPr>
          <w:sz w:val="22"/>
          <w:szCs w:val="22"/>
        </w:rPr>
      </w:pPr>
    </w:p>
    <w:p w14:paraId="2F3779AF" w14:textId="77777777" w:rsidR="00D7495B" w:rsidRPr="00105A25" w:rsidRDefault="00D7495B" w:rsidP="001D75B1">
      <w:pPr>
        <w:outlineLvl w:val="0"/>
        <w:rPr>
          <w:b/>
          <w:sz w:val="22"/>
          <w:szCs w:val="22"/>
        </w:rPr>
      </w:pPr>
      <w:r w:rsidRPr="00105A25">
        <w:rPr>
          <w:b/>
          <w:sz w:val="22"/>
          <w:szCs w:val="22"/>
        </w:rPr>
        <w:t xml:space="preserve">4.3 </w:t>
      </w:r>
      <w:r w:rsidR="001D75B1" w:rsidRPr="00105A25">
        <w:rPr>
          <w:b/>
          <w:sz w:val="22"/>
          <w:szCs w:val="22"/>
        </w:rPr>
        <w:tab/>
      </w:r>
      <w:r w:rsidRPr="00105A25">
        <w:rPr>
          <w:b/>
          <w:sz w:val="22"/>
          <w:szCs w:val="22"/>
        </w:rPr>
        <w:t>Przeciwwskazania</w:t>
      </w:r>
    </w:p>
    <w:p w14:paraId="7E44050A" w14:textId="77777777" w:rsidR="00CC2206" w:rsidRPr="00105A25" w:rsidRDefault="00CC2206" w:rsidP="001D75B1">
      <w:pPr>
        <w:outlineLvl w:val="0"/>
        <w:rPr>
          <w:b/>
          <w:sz w:val="22"/>
          <w:szCs w:val="22"/>
        </w:rPr>
      </w:pPr>
    </w:p>
    <w:p w14:paraId="12824201" w14:textId="77777777" w:rsidR="00D7495B" w:rsidRPr="00105A25" w:rsidRDefault="00D7495B" w:rsidP="00CC2206">
      <w:pPr>
        <w:numPr>
          <w:ilvl w:val="0"/>
          <w:numId w:val="2"/>
        </w:numPr>
        <w:tabs>
          <w:tab w:val="clear" w:pos="780"/>
          <w:tab w:val="num" w:pos="567"/>
        </w:tabs>
        <w:ind w:left="567" w:hanging="567"/>
        <w:rPr>
          <w:sz w:val="22"/>
          <w:szCs w:val="22"/>
        </w:rPr>
      </w:pPr>
      <w:r w:rsidRPr="00105A25">
        <w:rPr>
          <w:sz w:val="22"/>
          <w:szCs w:val="22"/>
        </w:rPr>
        <w:t xml:space="preserve">nadwrażliwość na </w:t>
      </w:r>
      <w:r w:rsidR="00280FD3" w:rsidRPr="00105A25">
        <w:rPr>
          <w:sz w:val="22"/>
          <w:szCs w:val="22"/>
        </w:rPr>
        <w:t>imidapryl</w:t>
      </w:r>
      <w:r w:rsidRPr="00105A25">
        <w:rPr>
          <w:sz w:val="22"/>
          <w:szCs w:val="22"/>
        </w:rPr>
        <w:t xml:space="preserve"> lub inny inhibitor konwertazy angiotensyny</w:t>
      </w:r>
      <w:r w:rsidR="00CC2206" w:rsidRPr="00105A25">
        <w:rPr>
          <w:sz w:val="22"/>
          <w:szCs w:val="22"/>
        </w:rPr>
        <w:t xml:space="preserve"> lub na którąkolwiek substancję pomocniczą</w:t>
      </w:r>
      <w:r w:rsidR="00CC2206" w:rsidRPr="00105A25">
        <w:rPr>
          <w:noProof/>
          <w:sz w:val="22"/>
          <w:szCs w:val="22"/>
        </w:rPr>
        <w:t xml:space="preserve"> wymienioną w punkcie 6.1</w:t>
      </w:r>
      <w:r w:rsidR="00EE2AA1">
        <w:rPr>
          <w:sz w:val="22"/>
          <w:szCs w:val="22"/>
        </w:rPr>
        <w:t>;</w:t>
      </w:r>
    </w:p>
    <w:p w14:paraId="2A2ACD19" w14:textId="77777777" w:rsidR="00D7495B" w:rsidRPr="00105A25" w:rsidRDefault="00D7495B" w:rsidP="001D75B1">
      <w:pPr>
        <w:numPr>
          <w:ilvl w:val="0"/>
          <w:numId w:val="2"/>
        </w:numPr>
        <w:tabs>
          <w:tab w:val="clear" w:pos="780"/>
          <w:tab w:val="num" w:pos="567"/>
        </w:tabs>
        <w:ind w:left="0" w:firstLine="0"/>
        <w:rPr>
          <w:b/>
          <w:sz w:val="22"/>
          <w:szCs w:val="22"/>
        </w:rPr>
      </w:pPr>
      <w:r w:rsidRPr="00105A25">
        <w:rPr>
          <w:sz w:val="22"/>
          <w:szCs w:val="22"/>
        </w:rPr>
        <w:t>obrzęk naczynioruchowy związany z uprzednim leczeniem inhibitorem ACE</w:t>
      </w:r>
      <w:r w:rsidR="00EE2AA1">
        <w:rPr>
          <w:sz w:val="22"/>
          <w:szCs w:val="22"/>
        </w:rPr>
        <w:t>;</w:t>
      </w:r>
    </w:p>
    <w:p w14:paraId="470AFC6B" w14:textId="77777777" w:rsidR="00D7495B" w:rsidRPr="00105A25" w:rsidRDefault="00D7495B" w:rsidP="001D75B1">
      <w:pPr>
        <w:numPr>
          <w:ilvl w:val="0"/>
          <w:numId w:val="2"/>
        </w:numPr>
        <w:tabs>
          <w:tab w:val="clear" w:pos="780"/>
          <w:tab w:val="num" w:pos="567"/>
        </w:tabs>
        <w:ind w:left="0" w:firstLine="0"/>
        <w:rPr>
          <w:sz w:val="22"/>
          <w:szCs w:val="22"/>
        </w:rPr>
      </w:pPr>
      <w:r w:rsidRPr="00105A25">
        <w:rPr>
          <w:sz w:val="22"/>
          <w:szCs w:val="22"/>
        </w:rPr>
        <w:t>dziedziczny lub sa</w:t>
      </w:r>
      <w:r w:rsidR="00EE2AA1">
        <w:rPr>
          <w:sz w:val="22"/>
          <w:szCs w:val="22"/>
        </w:rPr>
        <w:t>moistny obrzęk naczynioruchowy;</w:t>
      </w:r>
    </w:p>
    <w:p w14:paraId="0B826187" w14:textId="73676793" w:rsidR="007D0741" w:rsidRPr="00105A25" w:rsidRDefault="00115232" w:rsidP="001D75B1">
      <w:pPr>
        <w:numPr>
          <w:ilvl w:val="0"/>
          <w:numId w:val="2"/>
        </w:numPr>
        <w:tabs>
          <w:tab w:val="clear" w:pos="780"/>
          <w:tab w:val="num" w:pos="567"/>
        </w:tabs>
        <w:ind w:left="0" w:firstLine="0"/>
        <w:rPr>
          <w:sz w:val="22"/>
          <w:szCs w:val="22"/>
        </w:rPr>
      </w:pPr>
      <w:r w:rsidRPr="00105A25">
        <w:rPr>
          <w:sz w:val="22"/>
          <w:szCs w:val="22"/>
        </w:rPr>
        <w:t>drugi i trzeci trymestr ciąży (patrz punkt</w:t>
      </w:r>
      <w:r w:rsidR="00F24977">
        <w:rPr>
          <w:sz w:val="22"/>
          <w:szCs w:val="22"/>
        </w:rPr>
        <w:t>y</w:t>
      </w:r>
      <w:r w:rsidRPr="00105A25">
        <w:rPr>
          <w:sz w:val="22"/>
          <w:szCs w:val="22"/>
        </w:rPr>
        <w:t xml:space="preserve"> 4.4 i 4.6)</w:t>
      </w:r>
      <w:r w:rsidR="00EE2AA1">
        <w:rPr>
          <w:sz w:val="22"/>
          <w:szCs w:val="22"/>
        </w:rPr>
        <w:t>;</w:t>
      </w:r>
    </w:p>
    <w:p w14:paraId="23E4248D" w14:textId="77777777" w:rsidR="00D7495B" w:rsidRPr="00105A25" w:rsidRDefault="00EE2AA1" w:rsidP="001D75B1">
      <w:pPr>
        <w:numPr>
          <w:ilvl w:val="0"/>
          <w:numId w:val="2"/>
        </w:numPr>
        <w:tabs>
          <w:tab w:val="clear" w:pos="780"/>
          <w:tab w:val="num" w:pos="567"/>
        </w:tabs>
        <w:ind w:left="0" w:firstLine="0"/>
        <w:rPr>
          <w:sz w:val="22"/>
          <w:szCs w:val="22"/>
        </w:rPr>
      </w:pPr>
      <w:r>
        <w:rPr>
          <w:sz w:val="22"/>
          <w:szCs w:val="22"/>
        </w:rPr>
        <w:t>karmienie piersią;</w:t>
      </w:r>
    </w:p>
    <w:p w14:paraId="025B0B05" w14:textId="77777777" w:rsidR="00D7495B" w:rsidRPr="00105A25" w:rsidRDefault="00D7495B" w:rsidP="001D75B1">
      <w:pPr>
        <w:numPr>
          <w:ilvl w:val="0"/>
          <w:numId w:val="2"/>
        </w:numPr>
        <w:tabs>
          <w:tab w:val="clear" w:pos="780"/>
          <w:tab w:val="num" w:pos="567"/>
        </w:tabs>
        <w:ind w:left="0" w:firstLine="0"/>
        <w:rPr>
          <w:sz w:val="22"/>
          <w:szCs w:val="22"/>
        </w:rPr>
      </w:pPr>
      <w:r w:rsidRPr="00105A25">
        <w:rPr>
          <w:sz w:val="22"/>
          <w:szCs w:val="22"/>
        </w:rPr>
        <w:t>nadciśnieni</w:t>
      </w:r>
      <w:r w:rsidR="00EE2AA1">
        <w:rPr>
          <w:sz w:val="22"/>
          <w:szCs w:val="22"/>
        </w:rPr>
        <w:t>e tętnicze naczyniowo – nerkowe;</w:t>
      </w:r>
    </w:p>
    <w:p w14:paraId="79C27177" w14:textId="77777777" w:rsidR="0085485D" w:rsidRDefault="00D7495B" w:rsidP="001D75B1">
      <w:pPr>
        <w:numPr>
          <w:ilvl w:val="0"/>
          <w:numId w:val="2"/>
        </w:numPr>
        <w:tabs>
          <w:tab w:val="clear" w:pos="780"/>
          <w:tab w:val="num" w:pos="567"/>
        </w:tabs>
        <w:ind w:left="567" w:hanging="567"/>
        <w:rPr>
          <w:sz w:val="22"/>
          <w:szCs w:val="22"/>
        </w:rPr>
      </w:pPr>
      <w:r w:rsidRPr="00105A25">
        <w:rPr>
          <w:sz w:val="22"/>
          <w:szCs w:val="22"/>
        </w:rPr>
        <w:t>niewydolność nerek</w:t>
      </w:r>
      <w:r w:rsidR="00A65C83" w:rsidRPr="00105A25">
        <w:rPr>
          <w:sz w:val="22"/>
          <w:szCs w:val="22"/>
        </w:rPr>
        <w:t>,</w:t>
      </w:r>
      <w:r w:rsidRPr="00105A25">
        <w:rPr>
          <w:sz w:val="22"/>
          <w:szCs w:val="22"/>
        </w:rPr>
        <w:t xml:space="preserve"> </w:t>
      </w:r>
      <w:r w:rsidR="009654D1" w:rsidRPr="00105A25">
        <w:rPr>
          <w:sz w:val="22"/>
          <w:szCs w:val="22"/>
        </w:rPr>
        <w:t xml:space="preserve">zarówno leczona hemodializą jak i </w:t>
      </w:r>
      <w:r w:rsidRPr="00105A25">
        <w:rPr>
          <w:sz w:val="22"/>
          <w:szCs w:val="22"/>
        </w:rPr>
        <w:t>bez hemodializy (klirens kreatyniny &lt;</w:t>
      </w:r>
      <w:r w:rsidR="001E25BD" w:rsidRPr="00105A25">
        <w:rPr>
          <w:sz w:val="22"/>
          <w:szCs w:val="22"/>
        </w:rPr>
        <w:t> </w:t>
      </w:r>
      <w:r w:rsidRPr="00105A25">
        <w:rPr>
          <w:sz w:val="22"/>
          <w:szCs w:val="22"/>
        </w:rPr>
        <w:t>10</w:t>
      </w:r>
      <w:r w:rsidR="00143114" w:rsidRPr="00105A25">
        <w:rPr>
          <w:sz w:val="22"/>
          <w:szCs w:val="22"/>
        </w:rPr>
        <w:t> ml</w:t>
      </w:r>
      <w:r w:rsidRPr="00105A25">
        <w:rPr>
          <w:sz w:val="22"/>
          <w:szCs w:val="22"/>
        </w:rPr>
        <w:t>/min)</w:t>
      </w:r>
      <w:r w:rsidR="0085485D">
        <w:rPr>
          <w:sz w:val="22"/>
          <w:szCs w:val="22"/>
        </w:rPr>
        <w:t>;</w:t>
      </w:r>
    </w:p>
    <w:p w14:paraId="3387DA58" w14:textId="77777777" w:rsidR="000D1055" w:rsidRDefault="00ED4E7D" w:rsidP="002D3EB7">
      <w:pPr>
        <w:numPr>
          <w:ilvl w:val="0"/>
          <w:numId w:val="2"/>
        </w:numPr>
        <w:tabs>
          <w:tab w:val="clear" w:pos="780"/>
          <w:tab w:val="num" w:pos="567"/>
        </w:tabs>
        <w:ind w:left="567" w:hanging="567"/>
        <w:rPr>
          <w:sz w:val="22"/>
          <w:szCs w:val="22"/>
        </w:rPr>
      </w:pPr>
      <w:r>
        <w:rPr>
          <w:sz w:val="22"/>
          <w:szCs w:val="22"/>
        </w:rPr>
        <w:lastRenderedPageBreak/>
        <w:t xml:space="preserve">jednoczesne </w:t>
      </w:r>
      <w:r w:rsidR="0085485D">
        <w:rPr>
          <w:sz w:val="22"/>
          <w:szCs w:val="22"/>
        </w:rPr>
        <w:t xml:space="preserve">stosowanie </w:t>
      </w:r>
      <w:r>
        <w:rPr>
          <w:sz w:val="22"/>
          <w:szCs w:val="22"/>
        </w:rPr>
        <w:t xml:space="preserve">produktu leczniczego Tanatril </w:t>
      </w:r>
      <w:r w:rsidR="0085485D">
        <w:rPr>
          <w:sz w:val="22"/>
          <w:szCs w:val="22"/>
        </w:rPr>
        <w:t xml:space="preserve">z produktami zawierającymi aliskiren u pacjentów z cukrzycą lub zaburzeniem czynności nerek </w:t>
      </w:r>
      <w:r w:rsidR="0085485D" w:rsidRPr="004B2224">
        <w:rPr>
          <w:iCs/>
          <w:sz w:val="22"/>
          <w:szCs w:val="22"/>
        </w:rPr>
        <w:t>(współczynnik filtracji kłębuszkowej, GFR&lt;60 ml/min/1,73 m</w:t>
      </w:r>
      <w:r w:rsidR="0085485D" w:rsidRPr="004B2224">
        <w:rPr>
          <w:iCs/>
          <w:sz w:val="22"/>
          <w:szCs w:val="22"/>
          <w:vertAlign w:val="superscript"/>
        </w:rPr>
        <w:t>2</w:t>
      </w:r>
      <w:r w:rsidR="0085485D" w:rsidRPr="004B2224">
        <w:rPr>
          <w:iCs/>
          <w:sz w:val="22"/>
          <w:szCs w:val="22"/>
        </w:rPr>
        <w:t>) (patrz punkty 4.5 i 5.1)</w:t>
      </w:r>
      <w:r w:rsidR="000D1055">
        <w:rPr>
          <w:iCs/>
          <w:sz w:val="22"/>
          <w:szCs w:val="22"/>
        </w:rPr>
        <w:t>;</w:t>
      </w:r>
    </w:p>
    <w:p w14:paraId="7DD032F6" w14:textId="2AE89092" w:rsidR="00F070F1" w:rsidRDefault="00D07393" w:rsidP="007816FE">
      <w:pPr>
        <w:widowControl w:val="0"/>
        <w:numPr>
          <w:ilvl w:val="0"/>
          <w:numId w:val="2"/>
        </w:numPr>
        <w:shd w:val="clear" w:color="auto" w:fill="FFFFFF"/>
        <w:tabs>
          <w:tab w:val="clear" w:pos="780"/>
          <w:tab w:val="left" w:pos="567"/>
        </w:tabs>
        <w:autoSpaceDE w:val="0"/>
        <w:autoSpaceDN w:val="0"/>
        <w:adjustRightInd w:val="0"/>
        <w:ind w:left="567" w:hanging="567"/>
        <w:rPr>
          <w:color w:val="000000"/>
          <w:sz w:val="22"/>
          <w:szCs w:val="22"/>
        </w:rPr>
      </w:pPr>
      <w:r>
        <w:rPr>
          <w:color w:val="000000"/>
          <w:sz w:val="22"/>
          <w:szCs w:val="22"/>
        </w:rPr>
        <w:t>j</w:t>
      </w:r>
      <w:r w:rsidR="00F070F1">
        <w:rPr>
          <w:color w:val="000000"/>
          <w:sz w:val="22"/>
          <w:szCs w:val="22"/>
        </w:rPr>
        <w:t xml:space="preserve">ednoczesne stosowanie z produktem złożonym zawierającym sakubitryl i walsartan. Nie </w:t>
      </w:r>
      <w:r w:rsidR="00673233">
        <w:rPr>
          <w:color w:val="000000"/>
          <w:sz w:val="22"/>
          <w:szCs w:val="22"/>
        </w:rPr>
        <w:t>należy</w:t>
      </w:r>
      <w:r w:rsidR="00F070F1">
        <w:rPr>
          <w:color w:val="000000"/>
          <w:sz w:val="22"/>
          <w:szCs w:val="22"/>
        </w:rPr>
        <w:t xml:space="preserve"> rozpoczynać leczenia imidaprylem wcześniej niż po upływie 36 godzin od przyjęcia ostatniej dawki produktu złożonego zawierającego sakubitryl i walsartan (patrz także punkty 4.4 i 4.5).</w:t>
      </w:r>
    </w:p>
    <w:p w14:paraId="37401522" w14:textId="77777777" w:rsidR="0085485D" w:rsidRPr="00685343" w:rsidRDefault="0085485D" w:rsidP="000D1055">
      <w:pPr>
        <w:ind w:left="567"/>
        <w:rPr>
          <w:sz w:val="22"/>
          <w:szCs w:val="22"/>
        </w:rPr>
      </w:pPr>
    </w:p>
    <w:p w14:paraId="3077864E" w14:textId="77777777" w:rsidR="00D7495B" w:rsidRPr="00105A25" w:rsidRDefault="00D7495B" w:rsidP="001D75B1">
      <w:pPr>
        <w:outlineLvl w:val="0"/>
        <w:rPr>
          <w:b/>
          <w:sz w:val="22"/>
          <w:szCs w:val="22"/>
        </w:rPr>
      </w:pPr>
      <w:r w:rsidRPr="00105A25">
        <w:rPr>
          <w:b/>
          <w:sz w:val="22"/>
          <w:szCs w:val="22"/>
        </w:rPr>
        <w:t xml:space="preserve">4.4 </w:t>
      </w:r>
      <w:r w:rsidR="001D75B1" w:rsidRPr="00105A25">
        <w:rPr>
          <w:b/>
          <w:sz w:val="22"/>
          <w:szCs w:val="22"/>
        </w:rPr>
        <w:tab/>
      </w:r>
      <w:r w:rsidRPr="00105A25">
        <w:rPr>
          <w:b/>
          <w:sz w:val="22"/>
          <w:szCs w:val="22"/>
        </w:rPr>
        <w:t>Specjalne ostrzeżenia i środki ostrożności dotyczące stosowania</w:t>
      </w:r>
    </w:p>
    <w:p w14:paraId="746826B7" w14:textId="77777777" w:rsidR="001D75B1" w:rsidRPr="00105A25" w:rsidRDefault="001D75B1" w:rsidP="001D75B1">
      <w:pPr>
        <w:rPr>
          <w:b/>
          <w:sz w:val="22"/>
          <w:szCs w:val="22"/>
        </w:rPr>
      </w:pPr>
    </w:p>
    <w:p w14:paraId="5AA22627" w14:textId="77777777" w:rsidR="00D7495B" w:rsidRPr="00105A25" w:rsidRDefault="00D7495B" w:rsidP="001D75B1">
      <w:pPr>
        <w:rPr>
          <w:b/>
          <w:sz w:val="22"/>
          <w:szCs w:val="22"/>
        </w:rPr>
      </w:pPr>
      <w:r w:rsidRPr="00105A25">
        <w:rPr>
          <w:b/>
          <w:sz w:val="22"/>
          <w:szCs w:val="22"/>
        </w:rPr>
        <w:t>Niedociśnienie</w:t>
      </w:r>
    </w:p>
    <w:p w14:paraId="199E80C2" w14:textId="77777777" w:rsidR="00D7495B" w:rsidRPr="00105A25" w:rsidRDefault="00280FD3" w:rsidP="001D75B1">
      <w:pPr>
        <w:rPr>
          <w:sz w:val="22"/>
          <w:szCs w:val="22"/>
        </w:rPr>
      </w:pPr>
      <w:r w:rsidRPr="00105A25">
        <w:rPr>
          <w:sz w:val="22"/>
          <w:szCs w:val="22"/>
        </w:rPr>
        <w:t>Imidapryl</w:t>
      </w:r>
      <w:r w:rsidR="00D7495B" w:rsidRPr="00105A25">
        <w:rPr>
          <w:sz w:val="22"/>
          <w:szCs w:val="22"/>
        </w:rPr>
        <w:t>, podobnie jak inne inhibitory ACE, może powodować objawowe niedociśnienie</w:t>
      </w:r>
      <w:r w:rsidR="00D43E66" w:rsidRPr="00105A25">
        <w:rPr>
          <w:sz w:val="22"/>
          <w:szCs w:val="22"/>
        </w:rPr>
        <w:t>,</w:t>
      </w:r>
      <w:r w:rsidR="00D7495B" w:rsidRPr="00105A25">
        <w:rPr>
          <w:sz w:val="22"/>
          <w:szCs w:val="22"/>
        </w:rPr>
        <w:t xml:space="preserve"> najczęściej po podaniu pierwszej dawki.</w:t>
      </w:r>
      <w:r w:rsidR="002C370E" w:rsidRPr="00105A25">
        <w:rPr>
          <w:sz w:val="22"/>
          <w:szCs w:val="22"/>
        </w:rPr>
        <w:t xml:space="preserve"> </w:t>
      </w:r>
    </w:p>
    <w:p w14:paraId="70BE5D1A" w14:textId="77777777" w:rsidR="001D75B1" w:rsidRPr="00105A25" w:rsidRDefault="001D75B1" w:rsidP="001D75B1">
      <w:pPr>
        <w:rPr>
          <w:sz w:val="22"/>
          <w:szCs w:val="22"/>
        </w:rPr>
      </w:pPr>
    </w:p>
    <w:p w14:paraId="5206AB5A" w14:textId="77777777" w:rsidR="00D7495B" w:rsidRPr="00105A25" w:rsidRDefault="00D7495B" w:rsidP="001D75B1">
      <w:pPr>
        <w:rPr>
          <w:sz w:val="22"/>
          <w:szCs w:val="22"/>
        </w:rPr>
      </w:pPr>
      <w:r w:rsidRPr="00105A25">
        <w:rPr>
          <w:sz w:val="22"/>
          <w:szCs w:val="22"/>
        </w:rPr>
        <w:t xml:space="preserve">Objawowe niedociśnienie u pacjentów z niepowikłanym nadciśnieniem jest stosunkowo rzadkie. Wystąpienie objawowego niedociśnienia jest bardziej prawdopodobne u pacjentów, którzy byli leczeni lekami moczopędnymi, stosowali dietę z ograniczeniem soli, byli </w:t>
      </w:r>
      <w:r w:rsidR="00A65C83" w:rsidRPr="00105A25">
        <w:rPr>
          <w:sz w:val="22"/>
          <w:szCs w:val="22"/>
        </w:rPr>
        <w:t xml:space="preserve">poddawani </w:t>
      </w:r>
      <w:r w:rsidRPr="00105A25">
        <w:rPr>
          <w:sz w:val="22"/>
          <w:szCs w:val="22"/>
        </w:rPr>
        <w:t>dializi</w:t>
      </w:r>
      <w:r w:rsidR="00A65C83" w:rsidRPr="00105A25">
        <w:rPr>
          <w:sz w:val="22"/>
          <w:szCs w:val="22"/>
        </w:rPr>
        <w:t>e</w:t>
      </w:r>
      <w:r w:rsidRPr="00105A25">
        <w:rPr>
          <w:sz w:val="22"/>
          <w:szCs w:val="22"/>
        </w:rPr>
        <w:t xml:space="preserve"> oraz </w:t>
      </w:r>
      <w:r w:rsidR="00A65C83" w:rsidRPr="00105A25">
        <w:rPr>
          <w:sz w:val="22"/>
          <w:szCs w:val="22"/>
        </w:rPr>
        <w:t>u</w:t>
      </w:r>
      <w:r w:rsidR="001E25BD" w:rsidRPr="00105A25">
        <w:rPr>
          <w:sz w:val="22"/>
          <w:szCs w:val="22"/>
        </w:rPr>
        <w:t> </w:t>
      </w:r>
      <w:r w:rsidRPr="00105A25">
        <w:rPr>
          <w:sz w:val="22"/>
          <w:szCs w:val="22"/>
        </w:rPr>
        <w:t>pacjentów z biegunką lub wymiotami.</w:t>
      </w:r>
    </w:p>
    <w:p w14:paraId="64E86DBD" w14:textId="77777777" w:rsidR="001D75B1" w:rsidRPr="00105A25" w:rsidRDefault="001D75B1" w:rsidP="001D75B1">
      <w:pPr>
        <w:rPr>
          <w:sz w:val="22"/>
          <w:szCs w:val="22"/>
        </w:rPr>
      </w:pPr>
    </w:p>
    <w:p w14:paraId="43C6E7E4" w14:textId="77777777" w:rsidR="00D7495B" w:rsidRPr="00105A25" w:rsidRDefault="00D7495B" w:rsidP="001D75B1">
      <w:pPr>
        <w:rPr>
          <w:sz w:val="22"/>
          <w:szCs w:val="22"/>
        </w:rPr>
      </w:pPr>
      <w:r w:rsidRPr="00105A25">
        <w:rPr>
          <w:sz w:val="22"/>
          <w:szCs w:val="22"/>
        </w:rPr>
        <w:t xml:space="preserve">Niedociśnienie występowało głównie u chorych z ciężką niewydolnością serca z </w:t>
      </w:r>
      <w:r w:rsidR="00AA1C9E" w:rsidRPr="00105A25">
        <w:rPr>
          <w:sz w:val="22"/>
          <w:szCs w:val="22"/>
        </w:rPr>
        <w:t xml:space="preserve">towarzyszącą niewydolnością </w:t>
      </w:r>
      <w:r w:rsidRPr="00105A25">
        <w:rPr>
          <w:sz w:val="22"/>
          <w:szCs w:val="22"/>
        </w:rPr>
        <w:t>lub bez niewydolności nerek. Jego wystąpienie jest bardziej prawdopodobne u</w:t>
      </w:r>
      <w:r w:rsidR="00105A25">
        <w:rPr>
          <w:sz w:val="22"/>
          <w:szCs w:val="22"/>
        </w:rPr>
        <w:t> </w:t>
      </w:r>
      <w:r w:rsidRPr="00105A25">
        <w:rPr>
          <w:sz w:val="22"/>
          <w:szCs w:val="22"/>
        </w:rPr>
        <w:t>pacjentów stosujących wysokie dawki pętlowych</w:t>
      </w:r>
      <w:r w:rsidR="00AA1C9E" w:rsidRPr="00105A25">
        <w:rPr>
          <w:sz w:val="22"/>
          <w:szCs w:val="22"/>
        </w:rPr>
        <w:t xml:space="preserve"> leków moczopędnych</w:t>
      </w:r>
      <w:r w:rsidRPr="00105A25">
        <w:rPr>
          <w:sz w:val="22"/>
          <w:szCs w:val="22"/>
        </w:rPr>
        <w:t xml:space="preserve">, </w:t>
      </w:r>
      <w:r w:rsidR="00D43E66" w:rsidRPr="00105A25">
        <w:rPr>
          <w:sz w:val="22"/>
          <w:szCs w:val="22"/>
        </w:rPr>
        <w:t>u </w:t>
      </w:r>
      <w:r w:rsidRPr="00105A25">
        <w:rPr>
          <w:sz w:val="22"/>
          <w:szCs w:val="22"/>
        </w:rPr>
        <w:t>pacjentów z niedoborem sodu we krwi lub z zaburzeniem czynności nerek. U pacjentów z</w:t>
      </w:r>
      <w:r w:rsidR="002C370E" w:rsidRPr="00105A25">
        <w:rPr>
          <w:sz w:val="22"/>
          <w:szCs w:val="22"/>
        </w:rPr>
        <w:t> </w:t>
      </w:r>
      <w:r w:rsidRPr="00105A25">
        <w:rPr>
          <w:sz w:val="22"/>
          <w:szCs w:val="22"/>
        </w:rPr>
        <w:t xml:space="preserve">wymienionymi zaburzeniami leczenie należy rozpoczynać pod bardzo ścisłym nadzorem medycznym, najlepiej w szpitalu, dawką </w:t>
      </w:r>
      <w:r w:rsidR="00280FD3" w:rsidRPr="00105A25">
        <w:rPr>
          <w:sz w:val="22"/>
          <w:szCs w:val="22"/>
        </w:rPr>
        <w:t>imidaprylu</w:t>
      </w:r>
      <w:r w:rsidRPr="00105A25">
        <w:rPr>
          <w:sz w:val="22"/>
          <w:szCs w:val="22"/>
        </w:rPr>
        <w:t xml:space="preserve"> 2,5</w:t>
      </w:r>
      <w:r w:rsidR="00143114" w:rsidRPr="00105A25">
        <w:rPr>
          <w:sz w:val="22"/>
          <w:szCs w:val="22"/>
        </w:rPr>
        <w:t> mg</w:t>
      </w:r>
      <w:r w:rsidRPr="00105A25">
        <w:rPr>
          <w:sz w:val="22"/>
          <w:szCs w:val="22"/>
        </w:rPr>
        <w:t xml:space="preserve"> i ostrożnie zwiększać dawkę</w:t>
      </w:r>
      <w:r w:rsidRPr="008B2B73">
        <w:rPr>
          <w:sz w:val="22"/>
          <w:szCs w:val="22"/>
        </w:rPr>
        <w:t xml:space="preserve">. </w:t>
      </w:r>
      <w:r w:rsidRPr="007F37C3">
        <w:rPr>
          <w:sz w:val="22"/>
          <w:szCs w:val="22"/>
        </w:rPr>
        <w:t>Jeśli jest to możliwe, leczenie lekiem moczopędnym należy okresowo przerwać</w:t>
      </w:r>
      <w:r w:rsidRPr="008B2B73">
        <w:rPr>
          <w:sz w:val="22"/>
          <w:szCs w:val="22"/>
        </w:rPr>
        <w:t>. Takie same zasady należy</w:t>
      </w:r>
      <w:r w:rsidRPr="00105A25">
        <w:rPr>
          <w:sz w:val="22"/>
          <w:szCs w:val="22"/>
        </w:rPr>
        <w:t xml:space="preserve"> stosować u pacjentów z dławicą piersiową lub niewydolnością tętnic zaopatruj</w:t>
      </w:r>
      <w:r w:rsidR="00D0628D" w:rsidRPr="00105A25">
        <w:rPr>
          <w:sz w:val="22"/>
          <w:szCs w:val="22"/>
        </w:rPr>
        <w:t>ą</w:t>
      </w:r>
      <w:r w:rsidRPr="00105A25">
        <w:rPr>
          <w:sz w:val="22"/>
          <w:szCs w:val="22"/>
        </w:rPr>
        <w:t>cych mózg, u których znaczne niedociśnienie mogłoby spowodować zawał mięśnia sercowego lub udar mózgu.</w:t>
      </w:r>
    </w:p>
    <w:p w14:paraId="40BAF5D0" w14:textId="77777777" w:rsidR="001D75B1" w:rsidRPr="00105A25" w:rsidRDefault="001D75B1" w:rsidP="001D75B1">
      <w:pPr>
        <w:rPr>
          <w:sz w:val="22"/>
          <w:szCs w:val="22"/>
        </w:rPr>
      </w:pPr>
    </w:p>
    <w:p w14:paraId="5F74FA30" w14:textId="77777777" w:rsidR="00D7495B" w:rsidRDefault="00D7495B" w:rsidP="001D75B1">
      <w:pPr>
        <w:rPr>
          <w:sz w:val="22"/>
          <w:szCs w:val="22"/>
        </w:rPr>
      </w:pPr>
      <w:r w:rsidRPr="00105A25">
        <w:rPr>
          <w:sz w:val="22"/>
          <w:szCs w:val="22"/>
        </w:rPr>
        <w:t>W przypadku objawowego niedociśnienia, pacjenta należy ułożyć w pozycji leżącej na plecach z</w:t>
      </w:r>
      <w:r w:rsidR="001E25BD" w:rsidRPr="00105A25">
        <w:rPr>
          <w:sz w:val="22"/>
          <w:szCs w:val="22"/>
        </w:rPr>
        <w:t> </w:t>
      </w:r>
      <w:r w:rsidRPr="00105A25">
        <w:rPr>
          <w:sz w:val="22"/>
          <w:szCs w:val="22"/>
        </w:rPr>
        <w:t xml:space="preserve">uniesionymi nogami. Może być konieczne podanie we wlewie dożylnym 0,9% roztworu chlorku sodu w celu zwiększenia objętości krwi krążącej. Wystąpienie niedociśnienia po dawce początkowej nie wyklucza późniejszego stosowania </w:t>
      </w:r>
      <w:r w:rsidR="00280FD3" w:rsidRPr="00105A25">
        <w:rPr>
          <w:sz w:val="22"/>
          <w:szCs w:val="22"/>
        </w:rPr>
        <w:t>imidaprylu</w:t>
      </w:r>
      <w:r w:rsidRPr="00105A25">
        <w:rPr>
          <w:sz w:val="22"/>
          <w:szCs w:val="22"/>
        </w:rPr>
        <w:t>. Należy jednak bardzo ostrożnie zwiększać dawki i</w:t>
      </w:r>
      <w:r w:rsidR="001E25BD" w:rsidRPr="00105A25">
        <w:rPr>
          <w:sz w:val="22"/>
          <w:szCs w:val="22"/>
        </w:rPr>
        <w:t> </w:t>
      </w:r>
      <w:r w:rsidRPr="00105A25">
        <w:rPr>
          <w:sz w:val="22"/>
          <w:szCs w:val="22"/>
        </w:rPr>
        <w:t xml:space="preserve">monitorować pacjenta w czasie leczenia </w:t>
      </w:r>
      <w:r w:rsidR="00280FD3" w:rsidRPr="00105A25">
        <w:rPr>
          <w:sz w:val="22"/>
          <w:szCs w:val="22"/>
        </w:rPr>
        <w:t>imidapryl</w:t>
      </w:r>
      <w:r w:rsidRPr="00105A25">
        <w:rPr>
          <w:sz w:val="22"/>
          <w:szCs w:val="22"/>
        </w:rPr>
        <w:t>em.</w:t>
      </w:r>
    </w:p>
    <w:p w14:paraId="25AEE42C" w14:textId="77777777" w:rsidR="0085485D" w:rsidRDefault="0085485D" w:rsidP="001D75B1">
      <w:pPr>
        <w:rPr>
          <w:sz w:val="22"/>
          <w:szCs w:val="22"/>
        </w:rPr>
      </w:pPr>
    </w:p>
    <w:p w14:paraId="41743291" w14:textId="77777777" w:rsidR="00200886" w:rsidRDefault="0085485D" w:rsidP="0085485D">
      <w:pPr>
        <w:rPr>
          <w:iCs/>
          <w:sz w:val="22"/>
          <w:szCs w:val="22"/>
        </w:rPr>
      </w:pPr>
      <w:r w:rsidRPr="004B2224">
        <w:rPr>
          <w:b/>
          <w:iCs/>
          <w:sz w:val="22"/>
          <w:szCs w:val="22"/>
        </w:rPr>
        <w:t xml:space="preserve">Podwójna blokada układu renina-angiotensyna-aldosteron (RAA) </w:t>
      </w:r>
    </w:p>
    <w:p w14:paraId="21C4C290" w14:textId="77777777" w:rsidR="0085485D" w:rsidRPr="00EF4F11" w:rsidRDefault="0085485D" w:rsidP="0085485D">
      <w:pPr>
        <w:rPr>
          <w:sz w:val="22"/>
          <w:szCs w:val="22"/>
        </w:rPr>
      </w:pPr>
      <w:r w:rsidRPr="004B2224">
        <w:rPr>
          <w:iCs/>
          <w:sz w:val="22"/>
          <w:szCs w:val="22"/>
        </w:rPr>
        <w:t>Istnieją dowody, iż jednoczesne stosowanie inhibitorów konwertazy angiotensyny (ACE)</w:t>
      </w:r>
      <w:r w:rsidRPr="00431F40">
        <w:rPr>
          <w:iCs/>
          <w:sz w:val="22"/>
          <w:szCs w:val="22"/>
        </w:rPr>
        <w:t>, antagonistów receptora</w:t>
      </w:r>
      <w:r w:rsidR="00C3781C" w:rsidRPr="00431F40">
        <w:rPr>
          <w:iCs/>
          <w:sz w:val="22"/>
          <w:szCs w:val="22"/>
        </w:rPr>
        <w:t xml:space="preserve"> AT</w:t>
      </w:r>
      <w:r w:rsidR="00C3781C" w:rsidRPr="00431F40">
        <w:rPr>
          <w:iCs/>
          <w:sz w:val="22"/>
          <w:szCs w:val="22"/>
          <w:vertAlign w:val="subscript"/>
        </w:rPr>
        <w:t>1</w:t>
      </w:r>
      <w:r w:rsidR="00C3781C" w:rsidRPr="00431F40">
        <w:rPr>
          <w:iCs/>
          <w:sz w:val="22"/>
          <w:szCs w:val="22"/>
        </w:rPr>
        <w:t xml:space="preserve"> dla</w:t>
      </w:r>
      <w:r w:rsidRPr="00431F40">
        <w:rPr>
          <w:iCs/>
          <w:sz w:val="22"/>
          <w:szCs w:val="22"/>
        </w:rPr>
        <w:t xml:space="preserve"> angiotensyny II (</w:t>
      </w:r>
      <w:r w:rsidR="00200886" w:rsidRPr="00431F40">
        <w:rPr>
          <w:iCs/>
          <w:sz w:val="22"/>
          <w:szCs w:val="22"/>
        </w:rPr>
        <w:t>AI</w:t>
      </w:r>
      <w:r w:rsidR="00200886">
        <w:rPr>
          <w:iCs/>
          <w:sz w:val="22"/>
          <w:szCs w:val="22"/>
        </w:rPr>
        <w:t>IRA</w:t>
      </w:r>
      <w:r w:rsidRPr="004B2224">
        <w:rPr>
          <w:iCs/>
          <w:sz w:val="22"/>
          <w:szCs w:val="22"/>
        </w:rPr>
        <w:t xml:space="preserve">) lub aliskirenu zwiększa ryzyko niedociśnienia, hiperkaliemii oraz zaburzenia czynności nerek (w tym ostrej niewydolności nerek). W związku z tym nie zaleca się podwójnego blokowania układu RAA poprzez jednoczesne zastosowanie inhibitorów ACE, antagonistów receptora </w:t>
      </w:r>
      <w:r w:rsidR="00C3781C">
        <w:rPr>
          <w:iCs/>
          <w:sz w:val="22"/>
          <w:szCs w:val="22"/>
        </w:rPr>
        <w:t>AT</w:t>
      </w:r>
      <w:r w:rsidR="00C3781C" w:rsidRPr="00275449">
        <w:rPr>
          <w:iCs/>
          <w:sz w:val="22"/>
          <w:szCs w:val="22"/>
          <w:vertAlign w:val="subscript"/>
        </w:rPr>
        <w:t>1</w:t>
      </w:r>
      <w:r w:rsidR="00C3781C">
        <w:rPr>
          <w:iCs/>
          <w:sz w:val="22"/>
          <w:szCs w:val="22"/>
        </w:rPr>
        <w:t xml:space="preserve"> dla </w:t>
      </w:r>
      <w:r w:rsidRPr="004B2224">
        <w:rPr>
          <w:iCs/>
          <w:sz w:val="22"/>
          <w:szCs w:val="22"/>
        </w:rPr>
        <w:t xml:space="preserve">angiotensyny II lub aliskirenu (patrz punkty 4.5 i 5.1). </w:t>
      </w:r>
    </w:p>
    <w:p w14:paraId="1468D8A5" w14:textId="77777777" w:rsidR="0085485D" w:rsidRPr="00EF4F11" w:rsidRDefault="0085485D" w:rsidP="0085485D">
      <w:pPr>
        <w:rPr>
          <w:sz w:val="22"/>
          <w:szCs w:val="22"/>
        </w:rPr>
      </w:pPr>
      <w:r w:rsidRPr="004B2224">
        <w:rPr>
          <w:iCs/>
          <w:sz w:val="22"/>
          <w:szCs w:val="22"/>
        </w:rPr>
        <w:t xml:space="preserve">Jeśli zastosowanie podwójnej blokady układu RAA jest absolutnie konieczne, powinno być prowadzone wyłącznie pod nadzorem specjalisty, a parametry życiowe pacjenta, takie jak: czynność nerek, stężenie elektrolitów oraz ciśnienie krwi powinny być ściśle monitorowane. </w:t>
      </w:r>
    </w:p>
    <w:p w14:paraId="154BEC9D" w14:textId="77777777" w:rsidR="0085485D" w:rsidRPr="00105A25" w:rsidRDefault="0085485D" w:rsidP="0085485D">
      <w:pPr>
        <w:rPr>
          <w:sz w:val="22"/>
          <w:szCs w:val="22"/>
        </w:rPr>
      </w:pPr>
      <w:r w:rsidRPr="004B2224">
        <w:rPr>
          <w:iCs/>
          <w:sz w:val="22"/>
          <w:szCs w:val="22"/>
        </w:rPr>
        <w:t>U pacjentów z nefropatią cukrzycową nie należy stosować jednocześnie inhibitorów ACE oraz antagonistów receptora</w:t>
      </w:r>
      <w:r w:rsidR="00C3781C">
        <w:rPr>
          <w:iCs/>
          <w:sz w:val="22"/>
          <w:szCs w:val="22"/>
        </w:rPr>
        <w:t xml:space="preserve"> AT</w:t>
      </w:r>
      <w:r w:rsidR="00C3781C" w:rsidRPr="00275449">
        <w:rPr>
          <w:iCs/>
          <w:sz w:val="22"/>
          <w:szCs w:val="22"/>
          <w:vertAlign w:val="subscript"/>
        </w:rPr>
        <w:t>1</w:t>
      </w:r>
      <w:r w:rsidR="00C3781C">
        <w:rPr>
          <w:iCs/>
          <w:sz w:val="22"/>
          <w:szCs w:val="22"/>
        </w:rPr>
        <w:t xml:space="preserve"> dla</w:t>
      </w:r>
      <w:r w:rsidRPr="004B2224">
        <w:rPr>
          <w:iCs/>
          <w:sz w:val="22"/>
          <w:szCs w:val="22"/>
        </w:rPr>
        <w:t xml:space="preserve"> angiotensyny II.</w:t>
      </w:r>
    </w:p>
    <w:p w14:paraId="1CC0FF21" w14:textId="77777777" w:rsidR="001D75B1" w:rsidRPr="00105A25" w:rsidRDefault="001D75B1" w:rsidP="001D75B1">
      <w:pPr>
        <w:rPr>
          <w:b/>
          <w:sz w:val="22"/>
          <w:szCs w:val="22"/>
        </w:rPr>
      </w:pPr>
    </w:p>
    <w:p w14:paraId="33086264" w14:textId="77777777" w:rsidR="00D7495B" w:rsidRPr="00105A25" w:rsidRDefault="00D7495B" w:rsidP="001D75B1">
      <w:pPr>
        <w:rPr>
          <w:b/>
          <w:sz w:val="22"/>
          <w:szCs w:val="22"/>
        </w:rPr>
      </w:pPr>
      <w:r w:rsidRPr="00105A25">
        <w:rPr>
          <w:b/>
          <w:sz w:val="22"/>
          <w:szCs w:val="22"/>
        </w:rPr>
        <w:t>Pacjenci z nadciśnieniem naczyniowo – nerkowym</w:t>
      </w:r>
    </w:p>
    <w:p w14:paraId="63B36227" w14:textId="1B6C918C" w:rsidR="00392167" w:rsidRPr="00105A25" w:rsidRDefault="00D7495B" w:rsidP="001D75B1">
      <w:pPr>
        <w:rPr>
          <w:sz w:val="22"/>
          <w:szCs w:val="22"/>
        </w:rPr>
      </w:pPr>
      <w:r w:rsidRPr="00105A25">
        <w:rPr>
          <w:sz w:val="22"/>
          <w:szCs w:val="22"/>
        </w:rPr>
        <w:t xml:space="preserve">Brak dostępnych danych na temat stosowania </w:t>
      </w:r>
      <w:r w:rsidR="00280FD3" w:rsidRPr="00105A25">
        <w:rPr>
          <w:sz w:val="22"/>
          <w:szCs w:val="22"/>
        </w:rPr>
        <w:t>imidaprylu</w:t>
      </w:r>
      <w:r w:rsidRPr="00105A25">
        <w:rPr>
          <w:sz w:val="22"/>
          <w:szCs w:val="22"/>
        </w:rPr>
        <w:t xml:space="preserve"> u pacjentów z nadciśnieniem naczyniowo - nerkowym.</w:t>
      </w:r>
      <w:r w:rsidR="002C370E" w:rsidRPr="00105A25">
        <w:rPr>
          <w:sz w:val="22"/>
          <w:szCs w:val="22"/>
        </w:rPr>
        <w:t xml:space="preserve"> </w:t>
      </w:r>
      <w:r w:rsidRPr="00105A25">
        <w:rPr>
          <w:sz w:val="22"/>
          <w:szCs w:val="22"/>
        </w:rPr>
        <w:t>Leczenie takich pacjentów</w:t>
      </w:r>
      <w:r w:rsidR="002C370E" w:rsidRPr="00105A25">
        <w:rPr>
          <w:sz w:val="22"/>
          <w:szCs w:val="22"/>
        </w:rPr>
        <w:t xml:space="preserve"> </w:t>
      </w:r>
      <w:r w:rsidR="00280FD3" w:rsidRPr="00105A25">
        <w:rPr>
          <w:sz w:val="22"/>
          <w:szCs w:val="22"/>
        </w:rPr>
        <w:t>imidapryl</w:t>
      </w:r>
      <w:r w:rsidRPr="00105A25">
        <w:rPr>
          <w:sz w:val="22"/>
          <w:szCs w:val="22"/>
        </w:rPr>
        <w:t>em</w:t>
      </w:r>
      <w:r w:rsidR="002C370E" w:rsidRPr="00105A25">
        <w:rPr>
          <w:sz w:val="22"/>
          <w:szCs w:val="22"/>
        </w:rPr>
        <w:t xml:space="preserve"> </w:t>
      </w:r>
      <w:r w:rsidRPr="00105A25">
        <w:rPr>
          <w:sz w:val="22"/>
          <w:szCs w:val="22"/>
        </w:rPr>
        <w:t>jest więc</w:t>
      </w:r>
      <w:r w:rsidR="002C370E" w:rsidRPr="00105A25">
        <w:rPr>
          <w:sz w:val="22"/>
          <w:szCs w:val="22"/>
        </w:rPr>
        <w:t xml:space="preserve"> </w:t>
      </w:r>
      <w:r w:rsidRPr="00105A25">
        <w:rPr>
          <w:sz w:val="22"/>
          <w:szCs w:val="22"/>
        </w:rPr>
        <w:t>przeciwwskazane (patrz</w:t>
      </w:r>
      <w:r w:rsidR="007565E9" w:rsidRPr="00105A25">
        <w:rPr>
          <w:sz w:val="22"/>
          <w:szCs w:val="22"/>
        </w:rPr>
        <w:t xml:space="preserve"> punkt 4.3</w:t>
      </w:r>
      <w:r w:rsidRPr="00105A25">
        <w:rPr>
          <w:sz w:val="22"/>
          <w:szCs w:val="22"/>
        </w:rPr>
        <w:t>). W</w:t>
      </w:r>
      <w:r w:rsidR="00105A25">
        <w:rPr>
          <w:sz w:val="22"/>
          <w:szCs w:val="22"/>
        </w:rPr>
        <w:t> </w:t>
      </w:r>
      <w:r w:rsidRPr="00105A25">
        <w:rPr>
          <w:sz w:val="22"/>
          <w:szCs w:val="22"/>
        </w:rPr>
        <w:t xml:space="preserve">przypadku gdy </w:t>
      </w:r>
      <w:r w:rsidR="00280FD3" w:rsidRPr="00105A25">
        <w:rPr>
          <w:sz w:val="22"/>
          <w:szCs w:val="22"/>
        </w:rPr>
        <w:t>imidapryl</w:t>
      </w:r>
      <w:r w:rsidRPr="00105A25">
        <w:rPr>
          <w:sz w:val="22"/>
          <w:szCs w:val="22"/>
        </w:rPr>
        <w:t xml:space="preserve"> jest jednak podawany pacjentowi z nadciśnieniem naczyniowo - nerkowym i wcześniej</w:t>
      </w:r>
      <w:r w:rsidR="002C370E" w:rsidRPr="00105A25">
        <w:rPr>
          <w:sz w:val="22"/>
          <w:szCs w:val="22"/>
        </w:rPr>
        <w:t xml:space="preserve"> </w:t>
      </w:r>
      <w:r w:rsidRPr="00105A25">
        <w:rPr>
          <w:sz w:val="22"/>
          <w:szCs w:val="22"/>
        </w:rPr>
        <w:t>występującym obustronnym zwężeniem tętnic nerkowych lub zwężeniem tętnicy u pacjenta z jedną nerką, występuje zwiększone ryzyko wystąpienia ciężkiego</w:t>
      </w:r>
      <w:r w:rsidR="002C370E" w:rsidRPr="00105A25">
        <w:rPr>
          <w:sz w:val="22"/>
          <w:szCs w:val="22"/>
        </w:rPr>
        <w:t xml:space="preserve"> </w:t>
      </w:r>
      <w:r w:rsidRPr="00105A25">
        <w:rPr>
          <w:sz w:val="22"/>
          <w:szCs w:val="22"/>
        </w:rPr>
        <w:t xml:space="preserve"> niedociśnienia i</w:t>
      </w:r>
      <w:r w:rsidR="00105A25">
        <w:rPr>
          <w:sz w:val="22"/>
          <w:szCs w:val="22"/>
        </w:rPr>
        <w:t> </w:t>
      </w:r>
      <w:r w:rsidRPr="00105A25">
        <w:rPr>
          <w:sz w:val="22"/>
          <w:szCs w:val="22"/>
        </w:rPr>
        <w:t xml:space="preserve">niewydolności nerek. Jednoczesne stosowanie leków moczopędnych dodatkowo </w:t>
      </w:r>
      <w:r w:rsidR="00D0628D" w:rsidRPr="00105A25">
        <w:rPr>
          <w:sz w:val="22"/>
          <w:szCs w:val="22"/>
        </w:rPr>
        <w:t>zwiększa</w:t>
      </w:r>
      <w:r w:rsidR="00D0628D" w:rsidRPr="00105A25" w:rsidDel="00030F19">
        <w:rPr>
          <w:sz w:val="22"/>
          <w:szCs w:val="22"/>
        </w:rPr>
        <w:t xml:space="preserve"> </w:t>
      </w:r>
      <w:r w:rsidRPr="00105A25">
        <w:rPr>
          <w:sz w:val="22"/>
          <w:szCs w:val="22"/>
        </w:rPr>
        <w:t>ryzyko. Znaczne zaburzenie czynności nerek może objawiać się jedynie niewielkimi zmianami stężenia kreatyniny w surowicy, także u pacjentów z jednostronnym zwężeniem tętnicy nerkowej.</w:t>
      </w:r>
      <w:r w:rsidR="002E7C74" w:rsidRPr="002E7C74">
        <w:t xml:space="preserve"> </w:t>
      </w:r>
      <w:r w:rsidR="002E7C74" w:rsidRPr="002E7C74">
        <w:rPr>
          <w:sz w:val="22"/>
          <w:szCs w:val="22"/>
        </w:rPr>
        <w:t xml:space="preserve">U tych </w:t>
      </w:r>
      <w:r w:rsidR="002E7C74" w:rsidRPr="002E7C74">
        <w:rPr>
          <w:sz w:val="22"/>
          <w:szCs w:val="22"/>
        </w:rPr>
        <w:lastRenderedPageBreak/>
        <w:t xml:space="preserve">pacjentów leczenie należy rozpoczynać pod </w:t>
      </w:r>
      <w:r w:rsidR="007F37C3">
        <w:rPr>
          <w:sz w:val="22"/>
          <w:szCs w:val="22"/>
        </w:rPr>
        <w:t>ścisłym nadzorem medycznym</w:t>
      </w:r>
      <w:r w:rsidR="002E7C74" w:rsidRPr="002E7C74">
        <w:rPr>
          <w:sz w:val="22"/>
          <w:szCs w:val="22"/>
        </w:rPr>
        <w:t>, stosując małe dawki, ostrożn</w:t>
      </w:r>
      <w:r w:rsidR="007F37C3">
        <w:rPr>
          <w:sz w:val="22"/>
          <w:szCs w:val="22"/>
        </w:rPr>
        <w:t>ie je</w:t>
      </w:r>
      <w:r w:rsidR="002E7C74" w:rsidRPr="002E7C74">
        <w:rPr>
          <w:sz w:val="22"/>
          <w:szCs w:val="22"/>
        </w:rPr>
        <w:t xml:space="preserve"> </w:t>
      </w:r>
      <w:r w:rsidR="002E7C74">
        <w:rPr>
          <w:sz w:val="22"/>
          <w:szCs w:val="22"/>
        </w:rPr>
        <w:t>zwiększa</w:t>
      </w:r>
      <w:r w:rsidR="007F37C3">
        <w:rPr>
          <w:sz w:val="22"/>
          <w:szCs w:val="22"/>
        </w:rPr>
        <w:t>jąc</w:t>
      </w:r>
      <w:r w:rsidR="002E7C74" w:rsidRPr="002E7C74">
        <w:rPr>
          <w:sz w:val="22"/>
          <w:szCs w:val="22"/>
        </w:rPr>
        <w:t xml:space="preserve"> i monitor</w:t>
      </w:r>
      <w:r w:rsidR="007F37C3">
        <w:rPr>
          <w:sz w:val="22"/>
          <w:szCs w:val="22"/>
        </w:rPr>
        <w:t>ować</w:t>
      </w:r>
      <w:r w:rsidR="002E7C74" w:rsidRPr="002E7C74">
        <w:rPr>
          <w:sz w:val="22"/>
          <w:szCs w:val="22"/>
        </w:rPr>
        <w:t xml:space="preserve"> czynność nerek.</w:t>
      </w:r>
    </w:p>
    <w:p w14:paraId="73C96B79" w14:textId="77777777" w:rsidR="00392167" w:rsidRDefault="00392167" w:rsidP="001D75B1">
      <w:pPr>
        <w:rPr>
          <w:b/>
          <w:sz w:val="22"/>
          <w:szCs w:val="22"/>
        </w:rPr>
      </w:pPr>
    </w:p>
    <w:p w14:paraId="112D0416" w14:textId="77777777" w:rsidR="00D7495B" w:rsidRPr="00105A25" w:rsidRDefault="00D7495B" w:rsidP="001D75B1">
      <w:pPr>
        <w:rPr>
          <w:b/>
          <w:sz w:val="22"/>
          <w:szCs w:val="22"/>
        </w:rPr>
      </w:pPr>
      <w:r w:rsidRPr="00105A25">
        <w:rPr>
          <w:b/>
          <w:sz w:val="22"/>
          <w:szCs w:val="22"/>
        </w:rPr>
        <w:t>Pacjenci z niewydolnością nerek</w:t>
      </w:r>
    </w:p>
    <w:p w14:paraId="07026EAD" w14:textId="77777777" w:rsidR="00D7495B" w:rsidRPr="00105A25" w:rsidRDefault="00D7495B" w:rsidP="001D75B1">
      <w:pPr>
        <w:rPr>
          <w:sz w:val="22"/>
          <w:szCs w:val="22"/>
        </w:rPr>
      </w:pPr>
      <w:r w:rsidRPr="00105A25">
        <w:rPr>
          <w:sz w:val="22"/>
          <w:szCs w:val="22"/>
        </w:rPr>
        <w:t>U pacjentów podatnych można spodziewać się zaburzeń czynności nerek na skutek</w:t>
      </w:r>
      <w:r w:rsidR="002C370E" w:rsidRPr="00105A25">
        <w:rPr>
          <w:sz w:val="22"/>
          <w:szCs w:val="22"/>
        </w:rPr>
        <w:t xml:space="preserve"> </w:t>
      </w:r>
      <w:r w:rsidRPr="00105A25">
        <w:rPr>
          <w:sz w:val="22"/>
          <w:szCs w:val="22"/>
        </w:rPr>
        <w:t xml:space="preserve">hamowania układu renina - angiotensyna - aldosteron. Dlatego </w:t>
      </w:r>
      <w:r w:rsidR="00280FD3" w:rsidRPr="00105A25">
        <w:rPr>
          <w:sz w:val="22"/>
          <w:szCs w:val="22"/>
        </w:rPr>
        <w:t>imidapryl</w:t>
      </w:r>
      <w:r w:rsidRPr="00105A25">
        <w:rPr>
          <w:sz w:val="22"/>
          <w:szCs w:val="22"/>
        </w:rPr>
        <w:t>, podobnie jak inne inhibitory ACE, należy stosować ostrożnie u pacjentów z niewydolnością nerek. Dla pacjentów z klirensem kreatyniny między 30</w:t>
      </w:r>
      <w:r w:rsidR="00143114" w:rsidRPr="00105A25">
        <w:rPr>
          <w:sz w:val="22"/>
          <w:szCs w:val="22"/>
        </w:rPr>
        <w:t> ml</w:t>
      </w:r>
      <w:r w:rsidRPr="00105A25">
        <w:rPr>
          <w:sz w:val="22"/>
          <w:szCs w:val="22"/>
        </w:rPr>
        <w:t>/min a 80</w:t>
      </w:r>
      <w:r w:rsidR="00143114" w:rsidRPr="00105A25">
        <w:rPr>
          <w:sz w:val="22"/>
          <w:szCs w:val="22"/>
        </w:rPr>
        <w:t> ml</w:t>
      </w:r>
      <w:r w:rsidRPr="00105A25">
        <w:rPr>
          <w:sz w:val="22"/>
          <w:szCs w:val="22"/>
        </w:rPr>
        <w:t>/min konieczne jest zmniejszenie dawki początkowej (patrz</w:t>
      </w:r>
      <w:r w:rsidR="007565E9" w:rsidRPr="00105A25">
        <w:rPr>
          <w:sz w:val="22"/>
          <w:szCs w:val="22"/>
        </w:rPr>
        <w:t xml:space="preserve"> punkt 4.2</w:t>
      </w:r>
      <w:r w:rsidRPr="00105A25">
        <w:rPr>
          <w:sz w:val="22"/>
          <w:szCs w:val="22"/>
        </w:rPr>
        <w:t>).</w:t>
      </w:r>
    </w:p>
    <w:p w14:paraId="035C9C8C" w14:textId="77777777" w:rsidR="001D75B1" w:rsidRPr="00105A25" w:rsidRDefault="001D75B1" w:rsidP="001D75B1">
      <w:pPr>
        <w:rPr>
          <w:sz w:val="22"/>
          <w:szCs w:val="22"/>
        </w:rPr>
      </w:pPr>
    </w:p>
    <w:p w14:paraId="12EE5518" w14:textId="77777777" w:rsidR="00D7495B" w:rsidRPr="00105A25" w:rsidRDefault="00280FD3" w:rsidP="001D75B1">
      <w:pPr>
        <w:rPr>
          <w:sz w:val="22"/>
          <w:szCs w:val="22"/>
        </w:rPr>
      </w:pPr>
      <w:r w:rsidRPr="00105A25">
        <w:rPr>
          <w:sz w:val="22"/>
          <w:szCs w:val="22"/>
        </w:rPr>
        <w:t>Imidaprylu</w:t>
      </w:r>
      <w:r w:rsidR="00D7495B" w:rsidRPr="00105A25">
        <w:rPr>
          <w:sz w:val="22"/>
          <w:szCs w:val="22"/>
        </w:rPr>
        <w:t xml:space="preserve"> nie należy podawać pacjentom z klirensem kreatyniny poniżej 30</w:t>
      </w:r>
      <w:r w:rsidR="00143114" w:rsidRPr="00105A25">
        <w:rPr>
          <w:sz w:val="22"/>
          <w:szCs w:val="22"/>
        </w:rPr>
        <w:t> ml</w:t>
      </w:r>
      <w:r w:rsidR="00D7495B" w:rsidRPr="00105A25">
        <w:rPr>
          <w:sz w:val="22"/>
          <w:szCs w:val="22"/>
        </w:rPr>
        <w:t>/min, z</w:t>
      </w:r>
      <w:r w:rsidR="002C370E" w:rsidRPr="00105A25">
        <w:rPr>
          <w:sz w:val="22"/>
          <w:szCs w:val="22"/>
        </w:rPr>
        <w:t xml:space="preserve"> </w:t>
      </w:r>
      <w:r w:rsidR="00D7495B" w:rsidRPr="00105A25">
        <w:rPr>
          <w:sz w:val="22"/>
          <w:szCs w:val="22"/>
        </w:rPr>
        <w:t>uwagi na ograniczone doświadczenia ze stosowaniem leku w tej grupie pacjentów</w:t>
      </w:r>
      <w:r w:rsidR="002C370E" w:rsidRPr="00105A25">
        <w:rPr>
          <w:sz w:val="22"/>
          <w:szCs w:val="22"/>
        </w:rPr>
        <w:t xml:space="preserve"> </w:t>
      </w:r>
      <w:r w:rsidR="00D7495B" w:rsidRPr="00105A25">
        <w:rPr>
          <w:sz w:val="22"/>
          <w:szCs w:val="22"/>
        </w:rPr>
        <w:t>(patrz</w:t>
      </w:r>
      <w:r w:rsidR="007565E9" w:rsidRPr="00105A25">
        <w:rPr>
          <w:sz w:val="22"/>
          <w:szCs w:val="22"/>
        </w:rPr>
        <w:t xml:space="preserve"> punkt</w:t>
      </w:r>
      <w:r w:rsidR="00D0628D" w:rsidRPr="00105A25">
        <w:rPr>
          <w:sz w:val="22"/>
          <w:szCs w:val="22"/>
        </w:rPr>
        <w:t>y</w:t>
      </w:r>
      <w:r w:rsidR="007565E9" w:rsidRPr="00105A25">
        <w:rPr>
          <w:sz w:val="22"/>
          <w:szCs w:val="22"/>
        </w:rPr>
        <w:t xml:space="preserve"> 4.2</w:t>
      </w:r>
      <w:r w:rsidR="00D0628D" w:rsidRPr="00105A25">
        <w:rPr>
          <w:sz w:val="22"/>
          <w:szCs w:val="22"/>
        </w:rPr>
        <w:t xml:space="preserve"> i</w:t>
      </w:r>
      <w:r w:rsidR="007565E9" w:rsidRPr="00105A25">
        <w:rPr>
          <w:sz w:val="22"/>
          <w:szCs w:val="22"/>
        </w:rPr>
        <w:t xml:space="preserve"> 5.2</w:t>
      </w:r>
      <w:r w:rsidR="00D7495B" w:rsidRPr="00105A25">
        <w:rPr>
          <w:sz w:val="22"/>
          <w:szCs w:val="22"/>
        </w:rPr>
        <w:t>). W</w:t>
      </w:r>
      <w:r w:rsidR="002C370E" w:rsidRPr="00105A25">
        <w:rPr>
          <w:sz w:val="22"/>
          <w:szCs w:val="22"/>
        </w:rPr>
        <w:t> </w:t>
      </w:r>
      <w:r w:rsidR="00D7495B" w:rsidRPr="00105A25">
        <w:rPr>
          <w:sz w:val="22"/>
          <w:szCs w:val="22"/>
        </w:rPr>
        <w:t>przypadkach, w których leczenie inhibitorem ACE jest konieczne, należy odpowiednio często kontrolować czynności nerek.</w:t>
      </w:r>
    </w:p>
    <w:p w14:paraId="5C432FF7" w14:textId="77777777" w:rsidR="001D75B1" w:rsidRPr="00105A25" w:rsidRDefault="001D75B1" w:rsidP="001D75B1">
      <w:pPr>
        <w:rPr>
          <w:sz w:val="22"/>
          <w:szCs w:val="22"/>
        </w:rPr>
      </w:pPr>
    </w:p>
    <w:p w14:paraId="1894040E" w14:textId="77777777" w:rsidR="00D7495B" w:rsidRPr="00105A25" w:rsidRDefault="00D7495B" w:rsidP="001D75B1">
      <w:pPr>
        <w:rPr>
          <w:sz w:val="22"/>
          <w:szCs w:val="22"/>
        </w:rPr>
      </w:pPr>
      <w:r w:rsidRPr="00105A25">
        <w:rPr>
          <w:sz w:val="22"/>
          <w:szCs w:val="22"/>
        </w:rPr>
        <w:t xml:space="preserve">Niewydolność nerek w związku ze stosowaniem inhibitorów ACE </w:t>
      </w:r>
      <w:r w:rsidR="00D43E66" w:rsidRPr="00105A25">
        <w:rPr>
          <w:sz w:val="22"/>
          <w:szCs w:val="22"/>
        </w:rPr>
        <w:t xml:space="preserve">występowała </w:t>
      </w:r>
      <w:r w:rsidRPr="00105A25">
        <w:rPr>
          <w:sz w:val="22"/>
          <w:szCs w:val="22"/>
        </w:rPr>
        <w:t>głównie u pacjentów z ciężką niewydolnością serca lub chorobą nerek, w tym</w:t>
      </w:r>
      <w:r w:rsidR="002C370E" w:rsidRPr="00105A25">
        <w:rPr>
          <w:sz w:val="22"/>
          <w:szCs w:val="22"/>
        </w:rPr>
        <w:t xml:space="preserve"> </w:t>
      </w:r>
      <w:r w:rsidRPr="00105A25">
        <w:rPr>
          <w:sz w:val="22"/>
          <w:szCs w:val="22"/>
        </w:rPr>
        <w:t>zwężeniem tętnicy nerkowej. U niektórych pacjentów bez zdiagnozowanej choroby nerek zaobserwowano zwiększenie stężeń mocznika i</w:t>
      </w:r>
      <w:r w:rsidR="001E25BD" w:rsidRPr="00105A25">
        <w:rPr>
          <w:sz w:val="22"/>
          <w:szCs w:val="22"/>
        </w:rPr>
        <w:t> </w:t>
      </w:r>
      <w:r w:rsidRPr="00105A25">
        <w:rPr>
          <w:sz w:val="22"/>
          <w:szCs w:val="22"/>
        </w:rPr>
        <w:t xml:space="preserve">kreatyniny w krwi przy równoczesnym stosowaniu </w:t>
      </w:r>
      <w:r w:rsidR="00280FD3" w:rsidRPr="00105A25">
        <w:rPr>
          <w:sz w:val="22"/>
          <w:szCs w:val="22"/>
        </w:rPr>
        <w:t>imidapryl</w:t>
      </w:r>
      <w:r w:rsidR="00D43E66" w:rsidRPr="00105A25">
        <w:rPr>
          <w:sz w:val="22"/>
          <w:szCs w:val="22"/>
        </w:rPr>
        <w:t>u i</w:t>
      </w:r>
      <w:r w:rsidRPr="00105A25">
        <w:rPr>
          <w:sz w:val="22"/>
          <w:szCs w:val="22"/>
        </w:rPr>
        <w:t xml:space="preserve"> leku moczopędnego. Może być konieczne zmniejszenie dawki inhibitora ACE </w:t>
      </w:r>
      <w:r w:rsidR="003C4AEC" w:rsidRPr="00105A25">
        <w:rPr>
          <w:sz w:val="22"/>
          <w:szCs w:val="22"/>
        </w:rPr>
        <w:t>i</w:t>
      </w:r>
      <w:r w:rsidR="00030F19" w:rsidRPr="00105A25">
        <w:rPr>
          <w:sz w:val="22"/>
          <w:szCs w:val="22"/>
        </w:rPr>
        <w:t> </w:t>
      </w:r>
      <w:r w:rsidR="003C4AEC" w:rsidRPr="00105A25">
        <w:rPr>
          <w:sz w:val="22"/>
          <w:szCs w:val="22"/>
        </w:rPr>
        <w:t xml:space="preserve">(lub) </w:t>
      </w:r>
      <w:r w:rsidRPr="00105A25">
        <w:rPr>
          <w:sz w:val="22"/>
          <w:szCs w:val="22"/>
        </w:rPr>
        <w:t>przerwa w podawaniu leku moczopędnego. Zaleca się, aby w pierwszych tygodniach leczenia szczególnie często kontrolować czynność nerek.</w:t>
      </w:r>
    </w:p>
    <w:p w14:paraId="016C4117" w14:textId="77777777" w:rsidR="00105A25" w:rsidRDefault="00105A25" w:rsidP="001D75B1">
      <w:pPr>
        <w:pStyle w:val="Nagwek6"/>
        <w:spacing w:line="240" w:lineRule="auto"/>
        <w:ind w:left="0"/>
        <w:rPr>
          <w:b/>
          <w:sz w:val="22"/>
          <w:szCs w:val="22"/>
          <w:u w:val="none"/>
        </w:rPr>
      </w:pPr>
    </w:p>
    <w:p w14:paraId="3109C515"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 xml:space="preserve">Pacjenci </w:t>
      </w:r>
      <w:r w:rsidR="00030F19" w:rsidRPr="00105A25">
        <w:rPr>
          <w:b/>
          <w:sz w:val="22"/>
          <w:szCs w:val="22"/>
          <w:u w:val="none"/>
        </w:rPr>
        <w:t xml:space="preserve">poddawani </w:t>
      </w:r>
      <w:r w:rsidRPr="00105A25">
        <w:rPr>
          <w:b/>
          <w:sz w:val="22"/>
          <w:szCs w:val="22"/>
          <w:u w:val="none"/>
        </w:rPr>
        <w:t>hemodiali</w:t>
      </w:r>
      <w:r w:rsidR="00200886">
        <w:rPr>
          <w:b/>
          <w:sz w:val="22"/>
          <w:szCs w:val="22"/>
          <w:u w:val="none"/>
        </w:rPr>
        <w:t>zoterapii</w:t>
      </w:r>
    </w:p>
    <w:p w14:paraId="5EDA732C" w14:textId="77777777" w:rsidR="00D7495B" w:rsidRPr="00105A25" w:rsidRDefault="00D7495B" w:rsidP="001D75B1">
      <w:pPr>
        <w:rPr>
          <w:sz w:val="22"/>
          <w:szCs w:val="22"/>
        </w:rPr>
      </w:pPr>
      <w:r w:rsidRPr="00105A25">
        <w:rPr>
          <w:sz w:val="22"/>
          <w:szCs w:val="22"/>
        </w:rPr>
        <w:t xml:space="preserve">Stosowanie </w:t>
      </w:r>
      <w:r w:rsidR="00280FD3" w:rsidRPr="00105A25">
        <w:rPr>
          <w:sz w:val="22"/>
          <w:szCs w:val="22"/>
        </w:rPr>
        <w:t>imidaprylu</w:t>
      </w:r>
      <w:r w:rsidRPr="00105A25">
        <w:rPr>
          <w:sz w:val="22"/>
          <w:szCs w:val="22"/>
        </w:rPr>
        <w:t xml:space="preserve"> u pacjentów</w:t>
      </w:r>
      <w:r w:rsidR="00030F19" w:rsidRPr="00105A25">
        <w:rPr>
          <w:sz w:val="22"/>
          <w:szCs w:val="22"/>
        </w:rPr>
        <w:t xml:space="preserve"> poddawanych</w:t>
      </w:r>
      <w:r w:rsidRPr="00105A25">
        <w:rPr>
          <w:sz w:val="22"/>
          <w:szCs w:val="22"/>
        </w:rPr>
        <w:t xml:space="preserve"> </w:t>
      </w:r>
      <w:r w:rsidR="00030F19" w:rsidRPr="00105A25">
        <w:rPr>
          <w:sz w:val="22"/>
          <w:szCs w:val="22"/>
        </w:rPr>
        <w:t>hemodiali</w:t>
      </w:r>
      <w:r w:rsidR="00200886">
        <w:rPr>
          <w:sz w:val="22"/>
          <w:szCs w:val="22"/>
        </w:rPr>
        <w:t>zoterapii</w:t>
      </w:r>
      <w:r w:rsidR="00030F19" w:rsidRPr="00105A25">
        <w:rPr>
          <w:sz w:val="22"/>
          <w:szCs w:val="22"/>
        </w:rPr>
        <w:t xml:space="preserve"> </w:t>
      </w:r>
      <w:r w:rsidRPr="00105A25">
        <w:rPr>
          <w:sz w:val="22"/>
          <w:szCs w:val="22"/>
        </w:rPr>
        <w:t>jest obecnie przeciwwskazane (patrz</w:t>
      </w:r>
      <w:r w:rsidR="007565E9" w:rsidRPr="00105A25">
        <w:rPr>
          <w:sz w:val="22"/>
          <w:szCs w:val="22"/>
        </w:rPr>
        <w:t xml:space="preserve"> punkt 4.3</w:t>
      </w:r>
      <w:r w:rsidR="00D0628D" w:rsidRPr="00105A25" w:rsidDel="00D0628D">
        <w:rPr>
          <w:sz w:val="22"/>
          <w:szCs w:val="22"/>
        </w:rPr>
        <w:t xml:space="preserve"> </w:t>
      </w:r>
      <w:r w:rsidRPr="00105A25">
        <w:rPr>
          <w:sz w:val="22"/>
          <w:szCs w:val="22"/>
        </w:rPr>
        <w:t>) z uwagi na brak danych dotyczących stosowania w tej grupie pacjentów.</w:t>
      </w:r>
      <w:r w:rsidR="002C370E" w:rsidRPr="00105A25">
        <w:rPr>
          <w:sz w:val="22"/>
          <w:szCs w:val="22"/>
        </w:rPr>
        <w:t xml:space="preserve"> </w:t>
      </w:r>
    </w:p>
    <w:p w14:paraId="7D813B54" w14:textId="77777777" w:rsidR="001D75B1" w:rsidRPr="00105A25" w:rsidRDefault="001D75B1" w:rsidP="001D75B1">
      <w:pPr>
        <w:rPr>
          <w:sz w:val="22"/>
          <w:szCs w:val="22"/>
        </w:rPr>
      </w:pPr>
    </w:p>
    <w:p w14:paraId="61CE1407" w14:textId="77777777" w:rsidR="00D7495B" w:rsidRPr="00105A25" w:rsidRDefault="00D7495B" w:rsidP="001D75B1">
      <w:pPr>
        <w:rPr>
          <w:sz w:val="22"/>
          <w:szCs w:val="22"/>
        </w:rPr>
      </w:pPr>
      <w:r w:rsidRPr="00105A25">
        <w:rPr>
          <w:sz w:val="22"/>
          <w:szCs w:val="22"/>
        </w:rPr>
        <w:t xml:space="preserve">W przypadku, gdy hemodializa jest konieczna u pacjenta już leczonego </w:t>
      </w:r>
      <w:r w:rsidR="00280FD3" w:rsidRPr="00105A25">
        <w:rPr>
          <w:sz w:val="22"/>
          <w:szCs w:val="22"/>
        </w:rPr>
        <w:t>imidapryl</w:t>
      </w:r>
      <w:r w:rsidRPr="00105A25">
        <w:rPr>
          <w:sz w:val="22"/>
          <w:szCs w:val="22"/>
        </w:rPr>
        <w:t>em, nie należy stosować poliakrylonitrylowych błon dializacyjnych o wysokiej przepuszczalności</w:t>
      </w:r>
      <w:r w:rsidR="00030F19" w:rsidRPr="00105A25">
        <w:rPr>
          <w:sz w:val="22"/>
          <w:szCs w:val="22"/>
        </w:rPr>
        <w:t>,</w:t>
      </w:r>
      <w:r w:rsidR="002C370E" w:rsidRPr="00105A25">
        <w:rPr>
          <w:sz w:val="22"/>
          <w:szCs w:val="22"/>
        </w:rPr>
        <w:t xml:space="preserve"> </w:t>
      </w:r>
      <w:r w:rsidR="00030F19" w:rsidRPr="00105A25">
        <w:rPr>
          <w:sz w:val="22"/>
          <w:szCs w:val="22"/>
        </w:rPr>
        <w:t>z </w:t>
      </w:r>
      <w:r w:rsidRPr="00105A25">
        <w:rPr>
          <w:sz w:val="22"/>
          <w:szCs w:val="22"/>
        </w:rPr>
        <w:t>uwagi na zwiększone ryzyko wystąpienia reakcji</w:t>
      </w:r>
      <w:r w:rsidR="00200886">
        <w:rPr>
          <w:sz w:val="22"/>
          <w:szCs w:val="22"/>
        </w:rPr>
        <w:t xml:space="preserve"> rzekomoanafilaktycznych</w:t>
      </w:r>
      <w:r w:rsidRPr="00105A25">
        <w:rPr>
          <w:sz w:val="22"/>
          <w:szCs w:val="22"/>
        </w:rPr>
        <w:t>, takich jak obrzmienie twarzy, nagłe zaczerwienienie, niedociśnienie i duszność. Objawy występują zwykle w ciągu paru minut po rozpoczęciu hemodializy. Zaleca się stosowanie innego rodzaju błon dializacyjnych albo - jeśli jest to możliwe - odpowiednio wcześniej</w:t>
      </w:r>
      <w:r w:rsidR="000F50B7" w:rsidRPr="00105A25">
        <w:rPr>
          <w:sz w:val="22"/>
          <w:szCs w:val="22"/>
        </w:rPr>
        <w:t>sze</w:t>
      </w:r>
      <w:r w:rsidRPr="00105A25">
        <w:rPr>
          <w:sz w:val="22"/>
          <w:szCs w:val="22"/>
        </w:rPr>
        <w:t xml:space="preserve"> odstawi</w:t>
      </w:r>
      <w:r w:rsidR="000F50B7" w:rsidRPr="00105A25">
        <w:rPr>
          <w:sz w:val="22"/>
          <w:szCs w:val="22"/>
        </w:rPr>
        <w:t>enie</w:t>
      </w:r>
      <w:r w:rsidRPr="00105A25">
        <w:rPr>
          <w:sz w:val="22"/>
          <w:szCs w:val="22"/>
        </w:rPr>
        <w:t xml:space="preserve"> </w:t>
      </w:r>
      <w:r w:rsidR="00ED4E7D">
        <w:rPr>
          <w:sz w:val="22"/>
          <w:szCs w:val="22"/>
        </w:rPr>
        <w:t xml:space="preserve">inhibitora </w:t>
      </w:r>
      <w:r w:rsidRPr="00105A25">
        <w:rPr>
          <w:sz w:val="22"/>
          <w:szCs w:val="22"/>
        </w:rPr>
        <w:t xml:space="preserve">ACE </w:t>
      </w:r>
      <w:r w:rsidR="00030F19" w:rsidRPr="00105A25">
        <w:rPr>
          <w:sz w:val="22"/>
          <w:szCs w:val="22"/>
        </w:rPr>
        <w:t>oraz </w:t>
      </w:r>
      <w:r w:rsidR="000F50B7" w:rsidRPr="00105A25">
        <w:rPr>
          <w:sz w:val="22"/>
          <w:szCs w:val="22"/>
        </w:rPr>
        <w:t xml:space="preserve">zmianę sposobu </w:t>
      </w:r>
      <w:r w:rsidRPr="00105A25">
        <w:rPr>
          <w:sz w:val="22"/>
          <w:szCs w:val="22"/>
        </w:rPr>
        <w:t>leczenia nadciśnienia.</w:t>
      </w:r>
    </w:p>
    <w:p w14:paraId="39E33CF7" w14:textId="77777777" w:rsidR="001D75B1" w:rsidRPr="00105A25" w:rsidRDefault="001D75B1" w:rsidP="001D75B1">
      <w:pPr>
        <w:rPr>
          <w:b/>
          <w:sz w:val="22"/>
          <w:szCs w:val="22"/>
        </w:rPr>
      </w:pPr>
    </w:p>
    <w:p w14:paraId="5DA6A333" w14:textId="77777777" w:rsidR="0039742C" w:rsidRPr="00105A25" w:rsidRDefault="0039742C" w:rsidP="0039742C">
      <w:pPr>
        <w:pStyle w:val="Nagwek3"/>
        <w:spacing w:line="240" w:lineRule="auto"/>
        <w:ind w:left="0"/>
        <w:rPr>
          <w:b/>
          <w:sz w:val="22"/>
          <w:szCs w:val="22"/>
          <w:u w:val="none"/>
        </w:rPr>
      </w:pPr>
      <w:r w:rsidRPr="00105A25">
        <w:rPr>
          <w:b/>
          <w:sz w:val="22"/>
          <w:szCs w:val="22"/>
          <w:u w:val="none"/>
        </w:rPr>
        <w:t>Przeszczepienie nerki</w:t>
      </w:r>
    </w:p>
    <w:p w14:paraId="5CCFC2B4" w14:textId="77777777" w:rsidR="0039742C" w:rsidRPr="00105A25" w:rsidRDefault="0039742C" w:rsidP="0039742C">
      <w:pPr>
        <w:rPr>
          <w:sz w:val="22"/>
          <w:szCs w:val="22"/>
        </w:rPr>
      </w:pPr>
      <w:r w:rsidRPr="00105A25">
        <w:rPr>
          <w:sz w:val="22"/>
          <w:szCs w:val="22"/>
        </w:rPr>
        <w:t>Brak doświadczeń dotyczących podawania imidaprylu pacjentom po przeszczepieniu nerki.</w:t>
      </w:r>
    </w:p>
    <w:p w14:paraId="296D51CD" w14:textId="77777777" w:rsidR="0039742C" w:rsidRPr="00105A25" w:rsidRDefault="0039742C" w:rsidP="001D75B1">
      <w:pPr>
        <w:rPr>
          <w:b/>
          <w:sz w:val="22"/>
          <w:szCs w:val="22"/>
        </w:rPr>
      </w:pPr>
    </w:p>
    <w:p w14:paraId="61E7FA37" w14:textId="77777777" w:rsidR="00D7495B" w:rsidRPr="00105A25" w:rsidRDefault="00D7495B" w:rsidP="001D75B1">
      <w:pPr>
        <w:rPr>
          <w:b/>
          <w:sz w:val="22"/>
          <w:szCs w:val="22"/>
        </w:rPr>
      </w:pPr>
      <w:r w:rsidRPr="00105A25">
        <w:rPr>
          <w:b/>
          <w:sz w:val="22"/>
          <w:szCs w:val="22"/>
        </w:rPr>
        <w:t>Pacjenci poddawani zabiegowi aferezy lipoprotein o małej gęstości (LDL)</w:t>
      </w:r>
    </w:p>
    <w:p w14:paraId="1B76FA88" w14:textId="77777777" w:rsidR="00D7495B" w:rsidRPr="00105A25" w:rsidRDefault="00D7495B" w:rsidP="001D75B1">
      <w:pPr>
        <w:rPr>
          <w:sz w:val="22"/>
          <w:szCs w:val="22"/>
        </w:rPr>
      </w:pPr>
      <w:r w:rsidRPr="00105A25">
        <w:rPr>
          <w:sz w:val="22"/>
          <w:szCs w:val="22"/>
        </w:rPr>
        <w:t>U pacjentów leczonych inhibitorem ACE i poddawanych zabiegowi aferezy LDL z użyciem siarczanu dekstranu występuje zwiększone ryzyko reakcji anafilaktoidalnych podobnych do reakcji obserwowanych u pacjentów poddawanych hemodializie przy użyciu błon dializacyjnych o wysokiej przepuszczalności. W takich przypadkach zaleca się zmianę sposobu leczenia nadciśnienia.</w:t>
      </w:r>
    </w:p>
    <w:p w14:paraId="3E75F21F" w14:textId="77777777" w:rsidR="001D75B1" w:rsidRPr="00105A25" w:rsidRDefault="001D75B1" w:rsidP="001D75B1">
      <w:pPr>
        <w:pStyle w:val="Nagwek7"/>
        <w:spacing w:line="240" w:lineRule="auto"/>
        <w:ind w:left="0" w:right="0"/>
        <w:jc w:val="left"/>
        <w:rPr>
          <w:b/>
          <w:sz w:val="22"/>
          <w:szCs w:val="22"/>
          <w:u w:val="none"/>
        </w:rPr>
      </w:pPr>
    </w:p>
    <w:p w14:paraId="4DD66A60" w14:textId="77777777" w:rsidR="00D7495B" w:rsidRPr="00105A25" w:rsidRDefault="00D7495B" w:rsidP="001D75B1">
      <w:pPr>
        <w:pStyle w:val="Nagwek7"/>
        <w:spacing w:line="240" w:lineRule="auto"/>
        <w:ind w:left="0" w:right="0"/>
        <w:jc w:val="left"/>
        <w:rPr>
          <w:b/>
          <w:sz w:val="22"/>
          <w:szCs w:val="22"/>
          <w:u w:val="none"/>
        </w:rPr>
      </w:pPr>
      <w:r w:rsidRPr="00105A25">
        <w:rPr>
          <w:b/>
          <w:sz w:val="22"/>
          <w:szCs w:val="22"/>
          <w:u w:val="none"/>
        </w:rPr>
        <w:t>Nadwrażliwość na jad owadów i leczenie odczulające</w:t>
      </w:r>
    </w:p>
    <w:p w14:paraId="35BBB9EB" w14:textId="77777777" w:rsidR="00D7495B" w:rsidRPr="00105A25" w:rsidRDefault="00D7495B" w:rsidP="001D75B1">
      <w:pPr>
        <w:rPr>
          <w:sz w:val="22"/>
          <w:szCs w:val="22"/>
        </w:rPr>
      </w:pPr>
      <w:r w:rsidRPr="00105A25">
        <w:rPr>
          <w:sz w:val="22"/>
          <w:szCs w:val="22"/>
        </w:rPr>
        <w:t>Pacjenci nadwrażliwi na jad owadów</w:t>
      </w:r>
      <w:r w:rsidR="00030F19" w:rsidRPr="00105A25">
        <w:rPr>
          <w:sz w:val="22"/>
          <w:szCs w:val="22"/>
        </w:rPr>
        <w:t xml:space="preserve"> poddawani </w:t>
      </w:r>
      <w:r w:rsidRPr="00105A25">
        <w:rPr>
          <w:sz w:val="22"/>
          <w:szCs w:val="22"/>
        </w:rPr>
        <w:t>leczeniu odczulającemu wykazują zwiększone ryzyko wystąpienia ciężkich reakcji uczuleniowych podczas</w:t>
      </w:r>
      <w:r w:rsidR="002C370E" w:rsidRPr="00105A25">
        <w:rPr>
          <w:sz w:val="22"/>
          <w:szCs w:val="22"/>
        </w:rPr>
        <w:t xml:space="preserve"> </w:t>
      </w:r>
      <w:r w:rsidRPr="00105A25">
        <w:rPr>
          <w:sz w:val="22"/>
          <w:szCs w:val="22"/>
        </w:rPr>
        <w:t xml:space="preserve">leczenia inhibitorem ACE. Przed leczeniem odczulającym należy przerwać leczenie </w:t>
      </w:r>
      <w:r w:rsidR="00280FD3" w:rsidRPr="00105A25">
        <w:rPr>
          <w:sz w:val="22"/>
          <w:szCs w:val="22"/>
        </w:rPr>
        <w:t>imidapryl</w:t>
      </w:r>
      <w:r w:rsidRPr="00105A25">
        <w:rPr>
          <w:sz w:val="22"/>
          <w:szCs w:val="22"/>
        </w:rPr>
        <w:t>em.</w:t>
      </w:r>
    </w:p>
    <w:p w14:paraId="7DD84C6D" w14:textId="77777777" w:rsidR="001D75B1" w:rsidRPr="00105A25" w:rsidRDefault="001D75B1" w:rsidP="001D75B1">
      <w:pPr>
        <w:rPr>
          <w:sz w:val="22"/>
          <w:szCs w:val="22"/>
        </w:rPr>
      </w:pPr>
    </w:p>
    <w:p w14:paraId="6DF8EC8D" w14:textId="77777777" w:rsidR="00D7495B" w:rsidRPr="00105A25" w:rsidRDefault="00D7495B" w:rsidP="001D75B1">
      <w:pPr>
        <w:rPr>
          <w:sz w:val="22"/>
          <w:szCs w:val="22"/>
        </w:rPr>
      </w:pPr>
      <w:r w:rsidRPr="00105A25">
        <w:rPr>
          <w:sz w:val="22"/>
          <w:szCs w:val="22"/>
        </w:rPr>
        <w:t xml:space="preserve">Objawy ciężkich reakcji uczuleniowych mogą wystąpić u osób z nierozpoznaną wrażliwością na jad owadów. </w:t>
      </w:r>
    </w:p>
    <w:p w14:paraId="0197E047" w14:textId="77777777" w:rsidR="001D75B1" w:rsidRPr="00105A25" w:rsidRDefault="001D75B1" w:rsidP="001D75B1">
      <w:pPr>
        <w:rPr>
          <w:b/>
          <w:sz w:val="22"/>
          <w:szCs w:val="22"/>
        </w:rPr>
      </w:pPr>
    </w:p>
    <w:p w14:paraId="3A83AB6E" w14:textId="77777777" w:rsidR="00D7495B" w:rsidRPr="00105A25" w:rsidRDefault="000D6499" w:rsidP="001D75B1">
      <w:pPr>
        <w:rPr>
          <w:b/>
          <w:sz w:val="22"/>
          <w:szCs w:val="22"/>
        </w:rPr>
      </w:pPr>
      <w:r>
        <w:rPr>
          <w:b/>
          <w:sz w:val="22"/>
          <w:szCs w:val="22"/>
        </w:rPr>
        <w:t>Nadwrażliwość/o</w:t>
      </w:r>
      <w:r w:rsidR="00D7495B" w:rsidRPr="00105A25">
        <w:rPr>
          <w:b/>
          <w:sz w:val="22"/>
          <w:szCs w:val="22"/>
        </w:rPr>
        <w:t>brzęk naczynioruchowy</w:t>
      </w:r>
    </w:p>
    <w:p w14:paraId="6854782C" w14:textId="77777777" w:rsidR="000D6499" w:rsidRDefault="00D7495B" w:rsidP="001D75B1">
      <w:pPr>
        <w:rPr>
          <w:sz w:val="22"/>
          <w:szCs w:val="22"/>
        </w:rPr>
      </w:pPr>
      <w:r w:rsidRPr="00105A25">
        <w:rPr>
          <w:sz w:val="22"/>
          <w:szCs w:val="22"/>
        </w:rPr>
        <w:t xml:space="preserve">U pacjentów leczonych </w:t>
      </w:r>
      <w:r w:rsidR="00280FD3" w:rsidRPr="00105A25">
        <w:rPr>
          <w:sz w:val="22"/>
          <w:szCs w:val="22"/>
        </w:rPr>
        <w:t>imidapryl</w:t>
      </w:r>
      <w:r w:rsidRPr="00105A25">
        <w:rPr>
          <w:sz w:val="22"/>
          <w:szCs w:val="22"/>
        </w:rPr>
        <w:t xml:space="preserve">em może wystąpić obrzęk naczynioruchowy twarzy, kończyn, warg, błon śluzowych, języka, głośni </w:t>
      </w:r>
      <w:r w:rsidR="003C4AEC" w:rsidRPr="00105A25">
        <w:rPr>
          <w:sz w:val="22"/>
          <w:szCs w:val="22"/>
        </w:rPr>
        <w:t xml:space="preserve">i (lub) </w:t>
      </w:r>
      <w:r w:rsidRPr="00105A25">
        <w:rPr>
          <w:sz w:val="22"/>
          <w:szCs w:val="22"/>
        </w:rPr>
        <w:t>krtani. Obrzęk naczynioruchowy najczęściej występuje w</w:t>
      </w:r>
      <w:r w:rsidR="00105A25">
        <w:rPr>
          <w:sz w:val="22"/>
          <w:szCs w:val="22"/>
        </w:rPr>
        <w:t> </w:t>
      </w:r>
      <w:r w:rsidRPr="00105A25">
        <w:rPr>
          <w:sz w:val="22"/>
          <w:szCs w:val="22"/>
        </w:rPr>
        <w:t>pierwszych tygodniach leczenia, ale może także wystąpić w</w:t>
      </w:r>
      <w:r w:rsidR="002C370E" w:rsidRPr="00105A25">
        <w:rPr>
          <w:sz w:val="22"/>
          <w:szCs w:val="22"/>
        </w:rPr>
        <w:t> </w:t>
      </w:r>
      <w:r w:rsidRPr="00105A25">
        <w:rPr>
          <w:sz w:val="22"/>
          <w:szCs w:val="22"/>
        </w:rPr>
        <w:t xml:space="preserve">dowolnym momencie leczenia inhibitorem ACE. W takich przypadkach </w:t>
      </w:r>
      <w:r w:rsidR="00280FD3" w:rsidRPr="00105A25">
        <w:rPr>
          <w:sz w:val="22"/>
          <w:szCs w:val="22"/>
        </w:rPr>
        <w:t>imidapryl</w:t>
      </w:r>
      <w:r w:rsidRPr="00105A25">
        <w:rPr>
          <w:sz w:val="22"/>
          <w:szCs w:val="22"/>
        </w:rPr>
        <w:t xml:space="preserve"> należy natychmiast odstawić i zmienić sposób leczenia nadciśnienia. </w:t>
      </w:r>
    </w:p>
    <w:p w14:paraId="0B9313CB" w14:textId="77777777" w:rsidR="00200886" w:rsidRPr="00105A25" w:rsidRDefault="00200886" w:rsidP="001D75B1">
      <w:pPr>
        <w:rPr>
          <w:sz w:val="22"/>
          <w:szCs w:val="22"/>
        </w:rPr>
      </w:pPr>
    </w:p>
    <w:p w14:paraId="246B0420" w14:textId="77777777" w:rsidR="00D7495B" w:rsidRDefault="00D7495B" w:rsidP="001D75B1">
      <w:pPr>
        <w:rPr>
          <w:sz w:val="22"/>
          <w:szCs w:val="22"/>
        </w:rPr>
      </w:pPr>
      <w:r w:rsidRPr="007816FE">
        <w:rPr>
          <w:sz w:val="22"/>
          <w:szCs w:val="22"/>
        </w:rPr>
        <w:lastRenderedPageBreak/>
        <w:t>W przypadku wystąpienia obrzęku należy natychmiast podać podskórnie od 0,3 do 0,5</w:t>
      </w:r>
      <w:r w:rsidR="00143114" w:rsidRPr="007816FE">
        <w:rPr>
          <w:sz w:val="22"/>
          <w:szCs w:val="22"/>
        </w:rPr>
        <w:t> ml</w:t>
      </w:r>
      <w:r w:rsidRPr="007816FE">
        <w:rPr>
          <w:sz w:val="22"/>
          <w:szCs w:val="22"/>
        </w:rPr>
        <w:t xml:space="preserve"> roztworu adrenaliny (epinefryna) rozcieńczonego 1:1000 (należy przestrzegać instrukcji rozcieńczania) lub powoli dożylnie roztwór adrenaliny 1</w:t>
      </w:r>
      <w:r w:rsidR="00143114" w:rsidRPr="007816FE">
        <w:rPr>
          <w:sz w:val="22"/>
          <w:szCs w:val="22"/>
        </w:rPr>
        <w:t> mg</w:t>
      </w:r>
      <w:r w:rsidRPr="007816FE">
        <w:rPr>
          <w:sz w:val="22"/>
          <w:szCs w:val="22"/>
        </w:rPr>
        <w:t xml:space="preserve">/ml, kontrolując czynność serca (elektrokardiogram) i ciśnienie tętnicze krwi. </w:t>
      </w:r>
      <w:r w:rsidR="00C42E66" w:rsidRPr="007816FE">
        <w:rPr>
          <w:sz w:val="22"/>
          <w:szCs w:val="22"/>
        </w:rPr>
        <w:t>Dodatkowo należy zapewnić</w:t>
      </w:r>
      <w:r w:rsidR="00C42E66">
        <w:rPr>
          <w:sz w:val="22"/>
          <w:szCs w:val="22"/>
        </w:rPr>
        <w:t xml:space="preserve"> drożność dróg oddechowych.</w:t>
      </w:r>
      <w:r w:rsidR="00C42E66" w:rsidRPr="00105A25">
        <w:rPr>
          <w:sz w:val="22"/>
          <w:szCs w:val="22"/>
        </w:rPr>
        <w:t xml:space="preserve"> </w:t>
      </w:r>
      <w:r w:rsidRPr="00105A25">
        <w:rPr>
          <w:sz w:val="22"/>
          <w:szCs w:val="22"/>
        </w:rPr>
        <w:t>Pacjenta należy hospitalizować do czasu ustąpienia objawów, ale nie krócej niż 12 do 24 godzin. Obrzęk naczynioruchowy języka, głośni, krtani bezpośrednio zagraża życiu.</w:t>
      </w:r>
    </w:p>
    <w:p w14:paraId="388A0E00" w14:textId="77777777" w:rsidR="000D1055" w:rsidRDefault="000D1055" w:rsidP="000D1055">
      <w:pPr>
        <w:rPr>
          <w:sz w:val="22"/>
          <w:szCs w:val="22"/>
        </w:rPr>
      </w:pPr>
    </w:p>
    <w:p w14:paraId="2347EFB1" w14:textId="77777777" w:rsidR="00F070F1" w:rsidRDefault="00F070F1" w:rsidP="00F070F1">
      <w:pPr>
        <w:shd w:val="clear" w:color="auto" w:fill="FFFFFF"/>
        <w:rPr>
          <w:sz w:val="22"/>
          <w:szCs w:val="22"/>
        </w:rPr>
      </w:pPr>
      <w:r>
        <w:rPr>
          <w:sz w:val="22"/>
          <w:szCs w:val="22"/>
        </w:rPr>
        <w:t>Jednoczesne stosowanie inhibitorów ACE z produktem złożonym zawierającym sakubitryl i walsartan jest przeciwwskazane z powodu zwiększonego ryzyka obrzęku naczynioruchowego. Nie wolno rozpoczynać leczenia produktem złożonym zawierającym sakubitryl i walsartan wcześniej niż po upływie 36 godzin od przyjęcia ostatniej dawki imidaprylu. Nie wolno rozpoczynać leczenia imidaprylem wcześniej niż po upływie 36 godzin od przyjęcia ostatniej dawki produktu złożonego zawierającego sakubitryl i walsartan (patrz punkty 4.3 i 4.5).</w:t>
      </w:r>
    </w:p>
    <w:p w14:paraId="19C31D0A" w14:textId="77777777" w:rsidR="00F070F1" w:rsidRDefault="00F070F1" w:rsidP="000D1055">
      <w:pPr>
        <w:rPr>
          <w:sz w:val="22"/>
          <w:szCs w:val="22"/>
        </w:rPr>
      </w:pPr>
    </w:p>
    <w:p w14:paraId="6D3DC3E6" w14:textId="2F1862AE" w:rsidR="00F070F1" w:rsidRDefault="00F070F1" w:rsidP="00F070F1">
      <w:pPr>
        <w:shd w:val="clear" w:color="auto" w:fill="FFFFFF"/>
        <w:rPr>
          <w:sz w:val="22"/>
          <w:szCs w:val="22"/>
        </w:rPr>
      </w:pPr>
      <w:r>
        <w:rPr>
          <w:sz w:val="22"/>
          <w:szCs w:val="22"/>
        </w:rPr>
        <w:t>Jednoczesne stosowanie inhibitorów ACE z racekadotrylem, inhibitorami mTOR (np. syrolimusem, ewerolimusem, temsyrolimu</w:t>
      </w:r>
      <w:r w:rsidR="001D38BE">
        <w:rPr>
          <w:sz w:val="22"/>
          <w:szCs w:val="22"/>
        </w:rPr>
        <w:t>sem</w:t>
      </w:r>
      <w:r>
        <w:rPr>
          <w:sz w:val="22"/>
          <w:szCs w:val="22"/>
        </w:rPr>
        <w:t>) lub wildagliptyną może prowadzić do zwiększenia ryzyka obrzęku naczynioruchowego (np. obrzęku dróg oddechowych lub języka, z zaburzeniami oddychania lub bez) (patrz punkt 4.5). Należy zachować ostrożność rozpoczynając leczenie racekadotrylem, inhibitorami mTOR (np. syrolimusem, ewerolimusem, temsyrolimusem) lub wildagliptyną u pacjentów przyjmujących  inhibitor ACE.</w:t>
      </w:r>
    </w:p>
    <w:p w14:paraId="75914264" w14:textId="77777777" w:rsidR="001D75B1" w:rsidRPr="00105A25" w:rsidRDefault="001D75B1" w:rsidP="001D75B1">
      <w:pPr>
        <w:pStyle w:val="Nagwek8"/>
        <w:spacing w:before="0" w:line="240" w:lineRule="auto"/>
        <w:ind w:left="0" w:right="0"/>
        <w:jc w:val="left"/>
        <w:rPr>
          <w:b/>
          <w:sz w:val="22"/>
          <w:szCs w:val="22"/>
          <w:u w:val="none"/>
        </w:rPr>
      </w:pPr>
    </w:p>
    <w:p w14:paraId="60ACEFA3" w14:textId="77777777" w:rsidR="0034791F" w:rsidRPr="00105A25" w:rsidRDefault="0034791F" w:rsidP="0034791F">
      <w:pPr>
        <w:rPr>
          <w:b/>
          <w:sz w:val="22"/>
          <w:szCs w:val="22"/>
        </w:rPr>
      </w:pPr>
      <w:r w:rsidRPr="00105A25">
        <w:rPr>
          <w:b/>
          <w:sz w:val="22"/>
          <w:szCs w:val="22"/>
        </w:rPr>
        <w:t>Pacjenci z niewydolnością wątroby</w:t>
      </w:r>
    </w:p>
    <w:p w14:paraId="65721D0D" w14:textId="77777777" w:rsidR="0034791F" w:rsidRPr="00105A25" w:rsidRDefault="0034791F" w:rsidP="00105A25">
      <w:pPr>
        <w:autoSpaceDE w:val="0"/>
        <w:autoSpaceDN w:val="0"/>
        <w:adjustRightInd w:val="0"/>
        <w:rPr>
          <w:sz w:val="22"/>
          <w:szCs w:val="22"/>
        </w:rPr>
      </w:pPr>
      <w:r w:rsidRPr="00105A25">
        <w:rPr>
          <w:sz w:val="22"/>
          <w:szCs w:val="22"/>
        </w:rPr>
        <w:t>Bardzo rzadko, stosowanie inhibitorów ACE było związane z zespołem rozpoczynającym się od</w:t>
      </w:r>
      <w:r w:rsidR="00105A25">
        <w:rPr>
          <w:sz w:val="22"/>
          <w:szCs w:val="22"/>
        </w:rPr>
        <w:t xml:space="preserve"> </w:t>
      </w:r>
      <w:r w:rsidRPr="00105A25">
        <w:rPr>
          <w:sz w:val="22"/>
          <w:szCs w:val="22"/>
        </w:rPr>
        <w:t>żółtaczki cholestatycznej, prowadzącej do piorunującej martwicy wątroby i (czasami) zgonu.</w:t>
      </w:r>
      <w:r w:rsidR="00105A25">
        <w:rPr>
          <w:sz w:val="22"/>
          <w:szCs w:val="22"/>
        </w:rPr>
        <w:t xml:space="preserve"> </w:t>
      </w:r>
      <w:r w:rsidRPr="00105A25">
        <w:rPr>
          <w:sz w:val="22"/>
          <w:szCs w:val="22"/>
        </w:rPr>
        <w:t>Mechanizm tego zespołu nie jest znany. U pacjentów leczonych inhibitorami ACE, u których</w:t>
      </w:r>
      <w:r w:rsidR="00105A25">
        <w:rPr>
          <w:sz w:val="22"/>
          <w:szCs w:val="22"/>
        </w:rPr>
        <w:t xml:space="preserve"> </w:t>
      </w:r>
      <w:r w:rsidRPr="00105A25">
        <w:rPr>
          <w:sz w:val="22"/>
          <w:szCs w:val="22"/>
        </w:rPr>
        <w:t>wystąpiła żółtaczka lub zwiększyła się aktywność enzymów wątrobowych, należy przerwać</w:t>
      </w:r>
      <w:r w:rsidR="00105A25">
        <w:rPr>
          <w:sz w:val="22"/>
          <w:szCs w:val="22"/>
        </w:rPr>
        <w:t xml:space="preserve"> </w:t>
      </w:r>
      <w:r w:rsidRPr="00105A25">
        <w:rPr>
          <w:sz w:val="22"/>
          <w:szCs w:val="22"/>
        </w:rPr>
        <w:t>stosowanie inhibitora ACE oraz rozpocząć odpowiednie leczenie.</w:t>
      </w:r>
    </w:p>
    <w:p w14:paraId="65D15795" w14:textId="77777777" w:rsidR="0034791F" w:rsidRPr="00105A25" w:rsidRDefault="0034791F" w:rsidP="0034791F">
      <w:pPr>
        <w:rPr>
          <w:b/>
          <w:sz w:val="22"/>
          <w:szCs w:val="22"/>
        </w:rPr>
      </w:pPr>
    </w:p>
    <w:p w14:paraId="2B19E37F" w14:textId="77777777" w:rsidR="00D7495B" w:rsidRPr="00105A25" w:rsidRDefault="00D7495B" w:rsidP="001D75B1">
      <w:pPr>
        <w:pStyle w:val="Nagwek8"/>
        <w:spacing w:before="0" w:line="240" w:lineRule="auto"/>
        <w:ind w:left="0" w:right="0"/>
        <w:jc w:val="left"/>
        <w:rPr>
          <w:b/>
          <w:sz w:val="22"/>
          <w:szCs w:val="22"/>
          <w:u w:val="none"/>
        </w:rPr>
      </w:pPr>
      <w:r w:rsidRPr="00105A25">
        <w:rPr>
          <w:b/>
          <w:sz w:val="22"/>
          <w:szCs w:val="22"/>
          <w:u w:val="none"/>
        </w:rPr>
        <w:t>Kaszel</w:t>
      </w:r>
    </w:p>
    <w:p w14:paraId="1B3935FD" w14:textId="558E773D" w:rsidR="00D7495B" w:rsidRPr="00105A25" w:rsidRDefault="00D7495B" w:rsidP="001D75B1">
      <w:pPr>
        <w:rPr>
          <w:sz w:val="22"/>
          <w:szCs w:val="22"/>
        </w:rPr>
      </w:pPr>
      <w:r w:rsidRPr="00105A25">
        <w:rPr>
          <w:sz w:val="22"/>
          <w:szCs w:val="22"/>
        </w:rPr>
        <w:t xml:space="preserve">W czasie leczenia </w:t>
      </w:r>
      <w:r w:rsidR="00280FD3" w:rsidRPr="00105A25">
        <w:rPr>
          <w:sz w:val="22"/>
          <w:szCs w:val="22"/>
        </w:rPr>
        <w:t>imidapryl</w:t>
      </w:r>
      <w:r w:rsidRPr="00105A25">
        <w:rPr>
          <w:sz w:val="22"/>
          <w:szCs w:val="22"/>
        </w:rPr>
        <w:t xml:space="preserve">em może wystąpić suchy kaszel bez odkrztuszania, który </w:t>
      </w:r>
      <w:r w:rsidR="008B2B73">
        <w:rPr>
          <w:sz w:val="22"/>
          <w:szCs w:val="22"/>
        </w:rPr>
        <w:t xml:space="preserve">ustępuje bez konieczności leczenia </w:t>
      </w:r>
      <w:r w:rsidRPr="00105A25">
        <w:rPr>
          <w:sz w:val="22"/>
          <w:szCs w:val="22"/>
        </w:rPr>
        <w:t xml:space="preserve"> po przerwaniu leczenia </w:t>
      </w:r>
      <w:r w:rsidR="00280FD3" w:rsidRPr="00105A25">
        <w:rPr>
          <w:sz w:val="22"/>
          <w:szCs w:val="22"/>
        </w:rPr>
        <w:t>imidapryl</w:t>
      </w:r>
      <w:r w:rsidRPr="00105A25">
        <w:rPr>
          <w:sz w:val="22"/>
          <w:szCs w:val="22"/>
        </w:rPr>
        <w:t>em.</w:t>
      </w:r>
    </w:p>
    <w:p w14:paraId="7CD8DCE2" w14:textId="77777777" w:rsidR="001D75B1" w:rsidRPr="00105A25" w:rsidRDefault="001D75B1" w:rsidP="001D75B1">
      <w:pPr>
        <w:rPr>
          <w:b/>
          <w:sz w:val="22"/>
          <w:szCs w:val="22"/>
        </w:rPr>
      </w:pPr>
    </w:p>
    <w:p w14:paraId="269ED03A" w14:textId="77777777" w:rsidR="00D7495B" w:rsidRPr="00105A25" w:rsidRDefault="00D7495B" w:rsidP="001D75B1">
      <w:pPr>
        <w:rPr>
          <w:b/>
          <w:sz w:val="22"/>
          <w:szCs w:val="22"/>
        </w:rPr>
      </w:pPr>
      <w:r w:rsidRPr="00105A25">
        <w:rPr>
          <w:b/>
          <w:sz w:val="22"/>
          <w:szCs w:val="22"/>
        </w:rPr>
        <w:t>Pacjenci w podeszłym wieku (powyżej 65 lat)</w:t>
      </w:r>
    </w:p>
    <w:p w14:paraId="35A6F9F1" w14:textId="55814AAE" w:rsidR="00D7495B" w:rsidRPr="00105A25" w:rsidRDefault="00D7495B" w:rsidP="001D75B1">
      <w:pPr>
        <w:rPr>
          <w:sz w:val="22"/>
          <w:szCs w:val="22"/>
        </w:rPr>
      </w:pPr>
      <w:r w:rsidRPr="00105A25">
        <w:rPr>
          <w:sz w:val="22"/>
          <w:szCs w:val="22"/>
        </w:rPr>
        <w:t xml:space="preserve">Niektórzy pacjenci w podeszłym wieku mogą silniej reagować na </w:t>
      </w:r>
      <w:r w:rsidR="00280FD3" w:rsidRPr="00105A25">
        <w:rPr>
          <w:sz w:val="22"/>
          <w:szCs w:val="22"/>
        </w:rPr>
        <w:t>imidapryl</w:t>
      </w:r>
      <w:r w:rsidRPr="00105A25">
        <w:rPr>
          <w:sz w:val="22"/>
          <w:szCs w:val="22"/>
        </w:rPr>
        <w:t xml:space="preserve"> niż pacjenci młodsi. </w:t>
      </w:r>
      <w:r w:rsidR="00605DA8">
        <w:rPr>
          <w:sz w:val="22"/>
          <w:szCs w:val="22"/>
        </w:rPr>
        <w:t xml:space="preserve">Leczenie </w:t>
      </w:r>
      <w:r w:rsidRPr="00105A25">
        <w:rPr>
          <w:sz w:val="22"/>
          <w:szCs w:val="22"/>
        </w:rPr>
        <w:t xml:space="preserve">pacjentów w wieku powyżej 65 lat </w:t>
      </w:r>
      <w:r w:rsidR="00605DA8">
        <w:rPr>
          <w:sz w:val="22"/>
          <w:szCs w:val="22"/>
        </w:rPr>
        <w:t xml:space="preserve">powinno się rozpoczynać pod ścisłą kontrolą lekarską a </w:t>
      </w:r>
      <w:r w:rsidRPr="00105A25">
        <w:rPr>
          <w:sz w:val="22"/>
          <w:szCs w:val="22"/>
        </w:rPr>
        <w:t xml:space="preserve">zalecana początkowa dawka dobowa </w:t>
      </w:r>
      <w:r w:rsidR="00280FD3" w:rsidRPr="00105A25">
        <w:rPr>
          <w:sz w:val="22"/>
          <w:szCs w:val="22"/>
        </w:rPr>
        <w:t>imidaprylu</w:t>
      </w:r>
      <w:r w:rsidRPr="00105A25">
        <w:rPr>
          <w:sz w:val="22"/>
          <w:szCs w:val="22"/>
        </w:rPr>
        <w:t xml:space="preserve"> powinna wynosić 2,5</w:t>
      </w:r>
      <w:r w:rsidR="00143114" w:rsidRPr="00105A25">
        <w:rPr>
          <w:sz w:val="22"/>
          <w:szCs w:val="22"/>
        </w:rPr>
        <w:t> mg</w:t>
      </w:r>
      <w:r w:rsidRPr="00105A25">
        <w:rPr>
          <w:sz w:val="22"/>
          <w:szCs w:val="22"/>
        </w:rPr>
        <w:t>. Zaleca się przeprowadzanie oceny czynności nerek po rozpoczęciu leczenia.</w:t>
      </w:r>
    </w:p>
    <w:p w14:paraId="61CF6738" w14:textId="77777777" w:rsidR="001D75B1" w:rsidRPr="00105A25" w:rsidRDefault="001D75B1" w:rsidP="001D75B1">
      <w:pPr>
        <w:pStyle w:val="Nagwek6"/>
        <w:spacing w:line="240" w:lineRule="auto"/>
        <w:ind w:left="0"/>
        <w:rPr>
          <w:b/>
          <w:sz w:val="22"/>
          <w:szCs w:val="22"/>
          <w:u w:val="none"/>
        </w:rPr>
      </w:pPr>
    </w:p>
    <w:p w14:paraId="6CB7B2EC"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Dzieci</w:t>
      </w:r>
      <w:r w:rsidR="0039742C" w:rsidRPr="00105A25">
        <w:rPr>
          <w:b/>
          <w:sz w:val="22"/>
          <w:szCs w:val="22"/>
          <w:u w:val="none"/>
        </w:rPr>
        <w:t xml:space="preserve"> i młodzież</w:t>
      </w:r>
    </w:p>
    <w:p w14:paraId="5E57F0EF" w14:textId="77777777" w:rsidR="00D7495B" w:rsidRPr="00105A25" w:rsidRDefault="00280FD3" w:rsidP="001D75B1">
      <w:pPr>
        <w:outlineLvl w:val="0"/>
        <w:rPr>
          <w:sz w:val="22"/>
          <w:szCs w:val="22"/>
        </w:rPr>
      </w:pPr>
      <w:r w:rsidRPr="00105A25">
        <w:rPr>
          <w:sz w:val="22"/>
          <w:szCs w:val="22"/>
        </w:rPr>
        <w:t>Imidapryl</w:t>
      </w:r>
      <w:r w:rsidR="00D7495B" w:rsidRPr="00105A25">
        <w:rPr>
          <w:sz w:val="22"/>
          <w:szCs w:val="22"/>
        </w:rPr>
        <w:t xml:space="preserve"> nie powinien być podawany dzieciom </w:t>
      </w:r>
      <w:r w:rsidR="0039742C" w:rsidRPr="00105A25">
        <w:rPr>
          <w:sz w:val="22"/>
          <w:szCs w:val="22"/>
        </w:rPr>
        <w:t xml:space="preserve">i młodzieży </w:t>
      </w:r>
      <w:r w:rsidR="00D7495B" w:rsidRPr="00105A25">
        <w:rPr>
          <w:sz w:val="22"/>
          <w:szCs w:val="22"/>
        </w:rPr>
        <w:t>do czasu ustalenia jego bezpieczeństwa i</w:t>
      </w:r>
      <w:r w:rsidR="002C370E" w:rsidRPr="00105A25">
        <w:rPr>
          <w:sz w:val="22"/>
          <w:szCs w:val="22"/>
        </w:rPr>
        <w:t> </w:t>
      </w:r>
      <w:r w:rsidR="00D7495B" w:rsidRPr="00105A25">
        <w:rPr>
          <w:sz w:val="22"/>
          <w:szCs w:val="22"/>
        </w:rPr>
        <w:t>skuteczności stosowania w tej grupie wiekowej.</w:t>
      </w:r>
    </w:p>
    <w:p w14:paraId="6EC2DB8F" w14:textId="77777777" w:rsidR="001D75B1" w:rsidRDefault="001D75B1" w:rsidP="001D75B1">
      <w:pPr>
        <w:rPr>
          <w:b/>
          <w:sz w:val="22"/>
          <w:szCs w:val="22"/>
        </w:rPr>
      </w:pPr>
    </w:p>
    <w:p w14:paraId="446DFBE1" w14:textId="77777777" w:rsidR="00623C89" w:rsidRPr="00656401" w:rsidRDefault="00623C89" w:rsidP="00623C89">
      <w:pPr>
        <w:rPr>
          <w:sz w:val="22"/>
          <w:szCs w:val="22"/>
        </w:rPr>
      </w:pPr>
      <w:r w:rsidRPr="007E23F6">
        <w:rPr>
          <w:b/>
          <w:sz w:val="22"/>
          <w:szCs w:val="22"/>
        </w:rPr>
        <w:t>Stężenie potasu w surowicy</w:t>
      </w:r>
    </w:p>
    <w:p w14:paraId="4A64B530" w14:textId="5C1AE826" w:rsidR="000D6499" w:rsidRDefault="00F070F1" w:rsidP="00431F40">
      <w:pPr>
        <w:shd w:val="clear" w:color="auto" w:fill="FFFFFF"/>
        <w:ind w:left="19" w:hanging="19"/>
        <w:rPr>
          <w:sz w:val="22"/>
          <w:szCs w:val="22"/>
        </w:rPr>
      </w:pPr>
      <w:r>
        <w:rPr>
          <w:sz w:val="22"/>
          <w:szCs w:val="22"/>
        </w:rPr>
        <w:t xml:space="preserve">Inhibitory ACE mogą powodować hiperkaliemię, ponieważ hamują uwalnianie aldosteronu. Działanie to jest zazwyczaj nieistotne u pacjentów z prawidłową czynnością nerek. Jednak u pacjentów z zaburzeniami czynności nerek, </w:t>
      </w:r>
      <w:r w:rsidR="0042545E">
        <w:rPr>
          <w:sz w:val="22"/>
          <w:szCs w:val="22"/>
        </w:rPr>
        <w:t xml:space="preserve">niekontrolowaną </w:t>
      </w:r>
      <w:r>
        <w:rPr>
          <w:sz w:val="22"/>
          <w:szCs w:val="22"/>
        </w:rPr>
        <w:t>cukrzycą, hipoaldosteronizmem, u pacjentów przyjmujących suplementy potasu (w tym substytuty soli kuchennej), leki moczopędne oszczędzające potas, heparynę, trimetoprym lub kotrimoksazol (będący skojarzeniem trimetopr</w:t>
      </w:r>
      <w:r w:rsidR="002739D9">
        <w:rPr>
          <w:sz w:val="22"/>
          <w:szCs w:val="22"/>
        </w:rPr>
        <w:t>y</w:t>
      </w:r>
      <w:r>
        <w:rPr>
          <w:sz w:val="22"/>
          <w:szCs w:val="22"/>
        </w:rPr>
        <w:t>mu z sulfametoksazolem), a zwłaszcza leczonych antagonistami aldosteronu lub antagonistami receptora angiotensyny II może wystąpić hiperkaliemia. Leki moczopędne oszczędzające potas i antagonistów receptora angiotensyny II należy stosować z zachowaniem ostrożności u pacjentów otrzymujących inhibitory ACE oraz należy kontrolować stężenie potasu w surowicy i czynność nerek (patrz punkt 4.5).</w:t>
      </w:r>
    </w:p>
    <w:p w14:paraId="1487D319" w14:textId="77777777" w:rsidR="001D75B1" w:rsidRPr="00105A25" w:rsidRDefault="001D75B1" w:rsidP="001D75B1">
      <w:pPr>
        <w:rPr>
          <w:b/>
          <w:sz w:val="22"/>
          <w:szCs w:val="22"/>
        </w:rPr>
      </w:pPr>
    </w:p>
    <w:p w14:paraId="39BA25B2" w14:textId="77777777" w:rsidR="00D7495B" w:rsidRPr="00105A25" w:rsidRDefault="00D7495B" w:rsidP="001D75B1">
      <w:pPr>
        <w:rPr>
          <w:b/>
          <w:sz w:val="22"/>
          <w:szCs w:val="22"/>
        </w:rPr>
      </w:pPr>
      <w:r w:rsidRPr="00105A25">
        <w:rPr>
          <w:b/>
          <w:sz w:val="22"/>
          <w:szCs w:val="22"/>
        </w:rPr>
        <w:t>Zabieg chirurgiczny/znieczulenie ogólne</w:t>
      </w:r>
    </w:p>
    <w:p w14:paraId="3544FFAC" w14:textId="77777777" w:rsidR="00D7495B" w:rsidRPr="00105A25" w:rsidRDefault="00D7495B" w:rsidP="001D75B1">
      <w:pPr>
        <w:rPr>
          <w:sz w:val="22"/>
          <w:szCs w:val="22"/>
        </w:rPr>
      </w:pPr>
      <w:r w:rsidRPr="00105A25">
        <w:rPr>
          <w:sz w:val="22"/>
          <w:szCs w:val="22"/>
        </w:rPr>
        <w:t xml:space="preserve">U pacjentów nie leczonych </w:t>
      </w:r>
      <w:r w:rsidR="00280FD3" w:rsidRPr="00105A25">
        <w:rPr>
          <w:sz w:val="22"/>
          <w:szCs w:val="22"/>
        </w:rPr>
        <w:t>imidapryl</w:t>
      </w:r>
      <w:r w:rsidRPr="00105A25">
        <w:rPr>
          <w:sz w:val="22"/>
          <w:szCs w:val="22"/>
        </w:rPr>
        <w:t>em, podczas znieczulenia ogólnego i leczenia chirurgicznego nagły spadek ciśnienia tętniczego powoduje uwolnienie reniny, zwiększoną syntezę angiotensyny</w:t>
      </w:r>
      <w:r w:rsidR="001E25BD" w:rsidRPr="00105A25">
        <w:rPr>
          <w:sz w:val="22"/>
          <w:szCs w:val="22"/>
        </w:rPr>
        <w:t> I</w:t>
      </w:r>
      <w:r w:rsidRPr="00105A25">
        <w:rPr>
          <w:sz w:val="22"/>
          <w:szCs w:val="22"/>
        </w:rPr>
        <w:t xml:space="preserve">I </w:t>
      </w:r>
      <w:r w:rsidRPr="00105A25">
        <w:rPr>
          <w:sz w:val="22"/>
          <w:szCs w:val="22"/>
        </w:rPr>
        <w:lastRenderedPageBreak/>
        <w:t>i</w:t>
      </w:r>
      <w:r w:rsidR="001E25BD" w:rsidRPr="00105A25">
        <w:rPr>
          <w:sz w:val="22"/>
          <w:szCs w:val="22"/>
        </w:rPr>
        <w:t> </w:t>
      </w:r>
      <w:r w:rsidRPr="00105A25">
        <w:rPr>
          <w:sz w:val="22"/>
          <w:szCs w:val="22"/>
        </w:rPr>
        <w:t xml:space="preserve">wzrost ciśnienia tętniczego krwi. Podczas leczenia </w:t>
      </w:r>
      <w:r w:rsidR="00280FD3" w:rsidRPr="00105A25">
        <w:rPr>
          <w:sz w:val="22"/>
          <w:szCs w:val="22"/>
        </w:rPr>
        <w:t>imidapryl</w:t>
      </w:r>
      <w:r w:rsidRPr="00105A25">
        <w:rPr>
          <w:sz w:val="22"/>
          <w:szCs w:val="22"/>
        </w:rPr>
        <w:t>em (podobnie jak innymi inhibitorami ACE), synteza angiotensyny II jest zahamowana i może wystąpić niedociśnienie a nawet wstrząs hipotensyjny. Należy brać to pod uwagę podczas znieczulenia i zabiegów chirurgicznych, gdy są stosowane leki obniżające ciśnienie. W</w:t>
      </w:r>
      <w:r w:rsidR="002C370E" w:rsidRPr="00105A25">
        <w:rPr>
          <w:sz w:val="22"/>
          <w:szCs w:val="22"/>
        </w:rPr>
        <w:t> </w:t>
      </w:r>
      <w:r w:rsidRPr="00105A25">
        <w:rPr>
          <w:sz w:val="22"/>
          <w:szCs w:val="22"/>
        </w:rPr>
        <w:t xml:space="preserve">przypadku, gdy niemożliwe jest odstawienie </w:t>
      </w:r>
      <w:r w:rsidR="00280FD3" w:rsidRPr="00105A25">
        <w:rPr>
          <w:sz w:val="22"/>
          <w:szCs w:val="22"/>
        </w:rPr>
        <w:t>imidaprylu</w:t>
      </w:r>
      <w:r w:rsidRPr="00105A25">
        <w:rPr>
          <w:sz w:val="22"/>
          <w:szCs w:val="22"/>
        </w:rPr>
        <w:t xml:space="preserve">, należy ostrożnie regulować objętość płynów krążących. </w:t>
      </w:r>
    </w:p>
    <w:p w14:paraId="33113371" w14:textId="77777777" w:rsidR="001D75B1" w:rsidRPr="00105A25" w:rsidRDefault="001D75B1" w:rsidP="001D75B1">
      <w:pPr>
        <w:rPr>
          <w:sz w:val="22"/>
          <w:szCs w:val="22"/>
        </w:rPr>
      </w:pPr>
    </w:p>
    <w:p w14:paraId="35EF343E" w14:textId="77777777" w:rsidR="00D7495B" w:rsidRPr="00105A25" w:rsidRDefault="00D7495B" w:rsidP="001D75B1">
      <w:pPr>
        <w:rPr>
          <w:sz w:val="22"/>
          <w:szCs w:val="22"/>
        </w:rPr>
      </w:pPr>
      <w:r w:rsidRPr="00105A25">
        <w:rPr>
          <w:sz w:val="22"/>
          <w:szCs w:val="22"/>
        </w:rPr>
        <w:t xml:space="preserve">Brak dostępnych danych na temat stosowania </w:t>
      </w:r>
      <w:r w:rsidR="00280FD3" w:rsidRPr="00105A25">
        <w:rPr>
          <w:sz w:val="22"/>
          <w:szCs w:val="22"/>
        </w:rPr>
        <w:t>imidaprylu</w:t>
      </w:r>
      <w:r w:rsidRPr="00105A25">
        <w:rPr>
          <w:sz w:val="22"/>
          <w:szCs w:val="22"/>
        </w:rPr>
        <w:t xml:space="preserve"> u pacjentów poddawanych znieczuleniu ogólnemu i zabiegom chirurgicznym. </w:t>
      </w:r>
    </w:p>
    <w:p w14:paraId="34B3FF39" w14:textId="77777777" w:rsidR="001D75B1" w:rsidRPr="00105A25" w:rsidRDefault="001D75B1" w:rsidP="001D75B1">
      <w:pPr>
        <w:pStyle w:val="Nagwek6"/>
        <w:spacing w:line="240" w:lineRule="auto"/>
        <w:ind w:left="0"/>
        <w:rPr>
          <w:b/>
          <w:sz w:val="22"/>
          <w:szCs w:val="22"/>
          <w:u w:val="none"/>
        </w:rPr>
      </w:pPr>
    </w:p>
    <w:p w14:paraId="7852F93B" w14:textId="77777777" w:rsidR="00D7495B" w:rsidRPr="00105A25" w:rsidRDefault="00D7495B" w:rsidP="001D75B1">
      <w:pPr>
        <w:pStyle w:val="Nagwek6"/>
        <w:spacing w:line="240" w:lineRule="auto"/>
        <w:ind w:left="0"/>
        <w:rPr>
          <w:b/>
          <w:sz w:val="22"/>
          <w:szCs w:val="22"/>
          <w:u w:val="none"/>
        </w:rPr>
      </w:pPr>
      <w:r w:rsidRPr="00105A25">
        <w:rPr>
          <w:b/>
          <w:sz w:val="22"/>
          <w:szCs w:val="22"/>
          <w:u w:val="none"/>
        </w:rPr>
        <w:t>Zwężenie aorty/kardiomiopatia przerostowa</w:t>
      </w:r>
    </w:p>
    <w:p w14:paraId="2230503C" w14:textId="77777777" w:rsidR="00D7495B" w:rsidRPr="00105A25" w:rsidRDefault="00280FD3" w:rsidP="001D75B1">
      <w:pPr>
        <w:rPr>
          <w:sz w:val="22"/>
          <w:szCs w:val="22"/>
        </w:rPr>
      </w:pPr>
      <w:r w:rsidRPr="00105A25">
        <w:rPr>
          <w:sz w:val="22"/>
          <w:szCs w:val="22"/>
        </w:rPr>
        <w:t>Imidapryl</w:t>
      </w:r>
      <w:r w:rsidR="00D7495B" w:rsidRPr="00105A25">
        <w:rPr>
          <w:sz w:val="22"/>
          <w:szCs w:val="22"/>
        </w:rPr>
        <w:t xml:space="preserve"> należy ostrożnie stosować u pacjentów ze zwężeniem drogi odpływu krwi z lewej komory serca.</w:t>
      </w:r>
    </w:p>
    <w:p w14:paraId="3282D4C1" w14:textId="77777777" w:rsidR="001D75B1" w:rsidRPr="00105A25" w:rsidRDefault="001D75B1" w:rsidP="001D75B1">
      <w:pPr>
        <w:pStyle w:val="Nagwek9"/>
        <w:spacing w:line="240" w:lineRule="auto"/>
        <w:ind w:left="0" w:right="0"/>
        <w:jc w:val="left"/>
        <w:rPr>
          <w:b/>
          <w:sz w:val="22"/>
          <w:szCs w:val="22"/>
          <w:u w:val="none"/>
        </w:rPr>
      </w:pPr>
    </w:p>
    <w:p w14:paraId="6028CA7A" w14:textId="77777777" w:rsidR="00D7495B" w:rsidRPr="00105A25" w:rsidRDefault="00D7495B" w:rsidP="001D75B1">
      <w:pPr>
        <w:pStyle w:val="Nagwek9"/>
        <w:spacing w:line="240" w:lineRule="auto"/>
        <w:ind w:left="0" w:right="0"/>
        <w:jc w:val="left"/>
        <w:rPr>
          <w:b/>
          <w:sz w:val="22"/>
          <w:szCs w:val="22"/>
          <w:u w:val="none"/>
        </w:rPr>
      </w:pPr>
      <w:r w:rsidRPr="00105A25">
        <w:rPr>
          <w:b/>
          <w:sz w:val="22"/>
          <w:szCs w:val="22"/>
          <w:u w:val="none"/>
        </w:rPr>
        <w:t>Neutropenia/agranulocytoza</w:t>
      </w:r>
    </w:p>
    <w:p w14:paraId="17EC8669" w14:textId="77777777" w:rsidR="000345F8" w:rsidRPr="00105A25" w:rsidRDefault="00B4082C" w:rsidP="000345F8">
      <w:pPr>
        <w:autoSpaceDE w:val="0"/>
        <w:autoSpaceDN w:val="0"/>
        <w:adjustRightInd w:val="0"/>
        <w:rPr>
          <w:sz w:val="22"/>
          <w:szCs w:val="22"/>
        </w:rPr>
      </w:pPr>
      <w:r w:rsidRPr="00105A25">
        <w:rPr>
          <w:sz w:val="22"/>
          <w:szCs w:val="22"/>
        </w:rPr>
        <w:t>Neutropenia/agranulocytoza, trombocytopenia oraz niedokrwistość mogą wystąpić u pacjentów</w:t>
      </w:r>
      <w:r w:rsidR="00105A25">
        <w:rPr>
          <w:sz w:val="22"/>
          <w:szCs w:val="22"/>
        </w:rPr>
        <w:t xml:space="preserve"> </w:t>
      </w:r>
      <w:r w:rsidRPr="00105A25">
        <w:rPr>
          <w:sz w:val="22"/>
          <w:szCs w:val="22"/>
        </w:rPr>
        <w:t xml:space="preserve">leczonych inhibitorami ACE, w tym imidaprylem. </w:t>
      </w:r>
      <w:r w:rsidR="000345F8" w:rsidRPr="00105A25">
        <w:rPr>
          <w:sz w:val="22"/>
          <w:szCs w:val="22"/>
        </w:rPr>
        <w:t>U pacjentów z prawidłową czynnością nerek i bez dodatkowych czynników ryzyka neutropenia występuje rzadko. Należy niezwykle ostrożnie stosować imidapryl u pacjentów z chorobami tkanki łącznej (kolagenozy naczyń), przyjmujących leki immunosupresyjne, allopurynol lub prokainamid, a także, gdy czynniki te współistnieją, w</w:t>
      </w:r>
      <w:r w:rsidR="00105A25">
        <w:rPr>
          <w:sz w:val="22"/>
          <w:szCs w:val="22"/>
        </w:rPr>
        <w:t> </w:t>
      </w:r>
      <w:r w:rsidR="000345F8" w:rsidRPr="00105A25">
        <w:rPr>
          <w:sz w:val="22"/>
          <w:szCs w:val="22"/>
        </w:rPr>
        <w:t xml:space="preserve">szczególności, jeśli uprzednio występowały zaburzenia czynności nerek. U niektórych z tych pacjentów rozwijały się ciężkie zakażenia oporne na intensywne leczenie antybiotykami. </w:t>
      </w:r>
    </w:p>
    <w:p w14:paraId="67ED26AF" w14:textId="77777777" w:rsidR="000345F8" w:rsidRPr="00105A25" w:rsidRDefault="000345F8" w:rsidP="000345F8">
      <w:pPr>
        <w:autoSpaceDE w:val="0"/>
        <w:autoSpaceDN w:val="0"/>
        <w:adjustRightInd w:val="0"/>
        <w:rPr>
          <w:sz w:val="22"/>
          <w:szCs w:val="22"/>
        </w:rPr>
      </w:pPr>
    </w:p>
    <w:p w14:paraId="0FF1FECA" w14:textId="77777777" w:rsidR="00773634" w:rsidRPr="00105A25" w:rsidRDefault="000345F8" w:rsidP="00773634">
      <w:pPr>
        <w:autoSpaceDE w:val="0"/>
        <w:autoSpaceDN w:val="0"/>
        <w:adjustRightInd w:val="0"/>
        <w:rPr>
          <w:sz w:val="22"/>
          <w:szCs w:val="22"/>
        </w:rPr>
      </w:pPr>
      <w:r w:rsidRPr="00105A25">
        <w:rPr>
          <w:sz w:val="22"/>
          <w:szCs w:val="22"/>
        </w:rPr>
        <w:t xml:space="preserve">Jeżeli imidapryl jest stosowany u tych pacjentów, zaleca się sprawdzenie </w:t>
      </w:r>
      <w:r w:rsidR="00773634" w:rsidRPr="00105A25">
        <w:rPr>
          <w:sz w:val="22"/>
          <w:szCs w:val="22"/>
        </w:rPr>
        <w:t>liczby</w:t>
      </w:r>
      <w:r w:rsidRPr="00105A25">
        <w:rPr>
          <w:sz w:val="22"/>
          <w:szCs w:val="22"/>
        </w:rPr>
        <w:t xml:space="preserve"> leukocytów </w:t>
      </w:r>
      <w:r w:rsidR="00773634" w:rsidRPr="00105A25">
        <w:rPr>
          <w:sz w:val="22"/>
          <w:szCs w:val="22"/>
        </w:rPr>
        <w:t xml:space="preserve">we krwi </w:t>
      </w:r>
      <w:r w:rsidRPr="00105A25">
        <w:rPr>
          <w:sz w:val="22"/>
          <w:szCs w:val="22"/>
        </w:rPr>
        <w:t>przed rozpoczęciem leczenia</w:t>
      </w:r>
      <w:r w:rsidR="00773634" w:rsidRPr="00105A25">
        <w:rPr>
          <w:sz w:val="22"/>
          <w:szCs w:val="22"/>
        </w:rPr>
        <w:t xml:space="preserve">, następnie </w:t>
      </w:r>
      <w:r w:rsidRPr="00105A25">
        <w:rPr>
          <w:sz w:val="22"/>
          <w:szCs w:val="22"/>
        </w:rPr>
        <w:t>co 2 tygodnie podczas pierwszych trzech miesięcy stosowania imidaprylu</w:t>
      </w:r>
      <w:r w:rsidR="00773634" w:rsidRPr="00105A25">
        <w:rPr>
          <w:sz w:val="22"/>
          <w:szCs w:val="22"/>
        </w:rPr>
        <w:t xml:space="preserve"> oraz okresowo w dalszym czasie. </w:t>
      </w:r>
      <w:r w:rsidRPr="00105A25">
        <w:rPr>
          <w:sz w:val="22"/>
          <w:szCs w:val="22"/>
        </w:rPr>
        <w:t xml:space="preserve"> Pacjenci powinni być poinformowani o konieczności zgłaszania wszelkich objawów infekcji</w:t>
      </w:r>
      <w:r w:rsidR="00773634" w:rsidRPr="00105A25">
        <w:rPr>
          <w:sz w:val="22"/>
          <w:szCs w:val="22"/>
        </w:rPr>
        <w:t xml:space="preserve"> podczas leczenia (np. ból gardła, gorączka)</w:t>
      </w:r>
      <w:r w:rsidRPr="00105A25">
        <w:rPr>
          <w:sz w:val="22"/>
          <w:szCs w:val="22"/>
        </w:rPr>
        <w:t xml:space="preserve">. </w:t>
      </w:r>
      <w:r w:rsidR="00773634" w:rsidRPr="00105A25">
        <w:rPr>
          <w:sz w:val="22"/>
          <w:szCs w:val="22"/>
        </w:rPr>
        <w:t>W takich przypadkach należy sprawdzić liczbę leukocytów we krwi.</w:t>
      </w:r>
    </w:p>
    <w:p w14:paraId="51C83E7C" w14:textId="77777777" w:rsidR="00773634" w:rsidRPr="00105A25" w:rsidRDefault="00773634" w:rsidP="000345F8">
      <w:pPr>
        <w:autoSpaceDE w:val="0"/>
        <w:autoSpaceDN w:val="0"/>
        <w:adjustRightInd w:val="0"/>
        <w:rPr>
          <w:sz w:val="22"/>
          <w:szCs w:val="22"/>
        </w:rPr>
      </w:pPr>
    </w:p>
    <w:p w14:paraId="0A11F03E" w14:textId="77777777" w:rsidR="00A95835" w:rsidRPr="00105A25" w:rsidRDefault="00A95835" w:rsidP="000345F8">
      <w:pPr>
        <w:autoSpaceDE w:val="0"/>
        <w:autoSpaceDN w:val="0"/>
        <w:adjustRightInd w:val="0"/>
        <w:rPr>
          <w:sz w:val="22"/>
          <w:szCs w:val="22"/>
        </w:rPr>
      </w:pPr>
      <w:r w:rsidRPr="00105A25">
        <w:rPr>
          <w:sz w:val="22"/>
          <w:szCs w:val="22"/>
        </w:rPr>
        <w:t>Jeśli stwierdzono neutropenię (liczba neutrofili mniejsza niż 1000/mm</w:t>
      </w:r>
      <w:r w:rsidRPr="00105A25">
        <w:rPr>
          <w:sz w:val="22"/>
          <w:szCs w:val="22"/>
          <w:vertAlign w:val="superscript"/>
        </w:rPr>
        <w:t>3</w:t>
      </w:r>
      <w:r w:rsidRPr="00105A25">
        <w:rPr>
          <w:sz w:val="22"/>
          <w:szCs w:val="22"/>
        </w:rPr>
        <w:t>) lub istnieje podejrzenie neutropenii należy przerwać leczenie imidaprylem i innymi, stosowanymi jednocześnie produktami leczniczymi.</w:t>
      </w:r>
    </w:p>
    <w:p w14:paraId="6D3A4227" w14:textId="77777777" w:rsidR="00A95835" w:rsidRPr="00105A25" w:rsidRDefault="00A95835" w:rsidP="000345F8">
      <w:pPr>
        <w:autoSpaceDE w:val="0"/>
        <w:autoSpaceDN w:val="0"/>
        <w:adjustRightInd w:val="0"/>
        <w:rPr>
          <w:sz w:val="22"/>
          <w:szCs w:val="22"/>
        </w:rPr>
      </w:pPr>
    </w:p>
    <w:p w14:paraId="6F08C4E1" w14:textId="77777777" w:rsidR="00A95835" w:rsidRPr="00105A25" w:rsidRDefault="00A95835" w:rsidP="000345F8">
      <w:pPr>
        <w:autoSpaceDE w:val="0"/>
        <w:autoSpaceDN w:val="0"/>
        <w:adjustRightInd w:val="0"/>
        <w:rPr>
          <w:sz w:val="22"/>
          <w:szCs w:val="22"/>
        </w:rPr>
      </w:pPr>
      <w:r w:rsidRPr="00105A25">
        <w:rPr>
          <w:sz w:val="22"/>
          <w:szCs w:val="22"/>
        </w:rPr>
        <w:t>U większości pacjentów liczba neutrofili</w:t>
      </w:r>
      <w:r w:rsidR="00FD6DFE" w:rsidRPr="00105A25">
        <w:rPr>
          <w:sz w:val="22"/>
          <w:szCs w:val="22"/>
        </w:rPr>
        <w:t xml:space="preserve"> powraca szybko do prawidłowych wartości po przerwaniu leczenia imidaprylem.</w:t>
      </w:r>
    </w:p>
    <w:p w14:paraId="3E75EF8A" w14:textId="77777777" w:rsidR="001D75B1" w:rsidRPr="00105A25" w:rsidRDefault="001D75B1" w:rsidP="001D75B1">
      <w:pPr>
        <w:rPr>
          <w:b/>
          <w:sz w:val="22"/>
          <w:szCs w:val="22"/>
        </w:rPr>
      </w:pPr>
    </w:p>
    <w:p w14:paraId="4D734817" w14:textId="77777777" w:rsidR="00D7495B" w:rsidRPr="00105A25" w:rsidRDefault="00D7495B" w:rsidP="001D75B1">
      <w:pPr>
        <w:rPr>
          <w:b/>
          <w:sz w:val="22"/>
          <w:szCs w:val="22"/>
        </w:rPr>
      </w:pPr>
      <w:r w:rsidRPr="00105A25">
        <w:rPr>
          <w:b/>
          <w:sz w:val="22"/>
          <w:szCs w:val="22"/>
        </w:rPr>
        <w:t>Białkomocz</w:t>
      </w:r>
    </w:p>
    <w:p w14:paraId="5AA174B8" w14:textId="77777777" w:rsidR="00D7495B" w:rsidRPr="00105A25" w:rsidRDefault="00D7495B" w:rsidP="001D75B1">
      <w:pPr>
        <w:rPr>
          <w:sz w:val="22"/>
          <w:szCs w:val="22"/>
        </w:rPr>
      </w:pPr>
      <w:r w:rsidRPr="00105A25">
        <w:rPr>
          <w:sz w:val="22"/>
          <w:szCs w:val="22"/>
        </w:rPr>
        <w:t xml:space="preserve">Białkomocz był rzadko obserwowany w czasie stosowania </w:t>
      </w:r>
      <w:r w:rsidR="00280FD3" w:rsidRPr="00105A25">
        <w:rPr>
          <w:sz w:val="22"/>
          <w:szCs w:val="22"/>
        </w:rPr>
        <w:t>imidaprylu</w:t>
      </w:r>
      <w:r w:rsidRPr="00105A25">
        <w:rPr>
          <w:sz w:val="22"/>
          <w:szCs w:val="22"/>
        </w:rPr>
        <w:t>. Najczęściej występuje u</w:t>
      </w:r>
      <w:r w:rsidR="00105A25">
        <w:rPr>
          <w:sz w:val="22"/>
          <w:szCs w:val="22"/>
        </w:rPr>
        <w:t> </w:t>
      </w:r>
      <w:r w:rsidRPr="00105A25">
        <w:rPr>
          <w:sz w:val="22"/>
          <w:szCs w:val="22"/>
        </w:rPr>
        <w:t>pacjentów z zaburzeniem czynności nerek, ale obserwowano go także przy stosowaniu stosunkowo dużych dawek innych inhibitorów ACE.</w:t>
      </w:r>
    </w:p>
    <w:p w14:paraId="7F0792ED" w14:textId="77777777" w:rsidR="0039742C" w:rsidRPr="00105A25" w:rsidRDefault="0039742C" w:rsidP="001D75B1">
      <w:pPr>
        <w:rPr>
          <w:sz w:val="22"/>
          <w:szCs w:val="22"/>
        </w:rPr>
      </w:pPr>
    </w:p>
    <w:p w14:paraId="1F119297" w14:textId="77777777" w:rsidR="00E254AA" w:rsidRPr="007816FE" w:rsidRDefault="0005434A" w:rsidP="001D75B1">
      <w:pPr>
        <w:rPr>
          <w:b/>
          <w:sz w:val="22"/>
          <w:szCs w:val="22"/>
        </w:rPr>
      </w:pPr>
      <w:r w:rsidRPr="007816FE">
        <w:rPr>
          <w:b/>
          <w:sz w:val="22"/>
          <w:szCs w:val="22"/>
        </w:rPr>
        <w:t>Pacjenci z cukrzycą</w:t>
      </w:r>
    </w:p>
    <w:p w14:paraId="7267C1FE" w14:textId="7B954873" w:rsidR="00ED3A6B" w:rsidRPr="00105A25" w:rsidRDefault="00ED3A6B" w:rsidP="001D75B1">
      <w:pPr>
        <w:rPr>
          <w:sz w:val="22"/>
          <w:szCs w:val="22"/>
        </w:rPr>
      </w:pPr>
      <w:r w:rsidRPr="007816FE">
        <w:rPr>
          <w:sz w:val="22"/>
          <w:szCs w:val="22"/>
        </w:rPr>
        <w:t>U pacjentów z cukrzycą, leczonych doustnymi lekami przeciwcukrzycowymi lub insuliną, należy ściśle monitorować</w:t>
      </w:r>
      <w:r w:rsidRPr="00105A25">
        <w:rPr>
          <w:sz w:val="22"/>
          <w:szCs w:val="22"/>
        </w:rPr>
        <w:t xml:space="preserve"> stężenie glukozy we krwi podczas pierwszego miesiąca stosowania inhibitora ACE.</w:t>
      </w:r>
    </w:p>
    <w:p w14:paraId="118A2D1B" w14:textId="77777777" w:rsidR="0034791F" w:rsidRPr="00105A25" w:rsidRDefault="0034791F" w:rsidP="0039742C">
      <w:pPr>
        <w:rPr>
          <w:b/>
          <w:sz w:val="22"/>
          <w:szCs w:val="22"/>
        </w:rPr>
      </w:pPr>
    </w:p>
    <w:p w14:paraId="7CF113C9" w14:textId="77777777" w:rsidR="0039742C" w:rsidRPr="00105A25" w:rsidRDefault="0039742C" w:rsidP="0039742C">
      <w:pPr>
        <w:rPr>
          <w:b/>
          <w:sz w:val="22"/>
          <w:szCs w:val="22"/>
        </w:rPr>
      </w:pPr>
      <w:r w:rsidRPr="00105A25">
        <w:rPr>
          <w:b/>
          <w:sz w:val="22"/>
          <w:szCs w:val="22"/>
        </w:rPr>
        <w:t>Łuszczyca</w:t>
      </w:r>
    </w:p>
    <w:p w14:paraId="479101F3" w14:textId="77777777" w:rsidR="0039742C" w:rsidRPr="00105A25" w:rsidRDefault="0039742C" w:rsidP="0039742C">
      <w:pPr>
        <w:rPr>
          <w:sz w:val="22"/>
          <w:szCs w:val="22"/>
        </w:rPr>
      </w:pPr>
      <w:r w:rsidRPr="00105A25">
        <w:rPr>
          <w:sz w:val="22"/>
          <w:szCs w:val="22"/>
        </w:rPr>
        <w:t>Podobnie jak i w przypadku innych inhibitorów ACE, imidapryl należy stosować ostrożnie u chorych z łuszczycą.</w:t>
      </w:r>
    </w:p>
    <w:p w14:paraId="2104B1E7" w14:textId="77777777" w:rsidR="0039742C" w:rsidRPr="00105A25" w:rsidRDefault="0039742C" w:rsidP="001D75B1">
      <w:pPr>
        <w:rPr>
          <w:sz w:val="22"/>
          <w:szCs w:val="22"/>
        </w:rPr>
      </w:pPr>
    </w:p>
    <w:p w14:paraId="4C29B09A" w14:textId="77777777" w:rsidR="0039742C" w:rsidRPr="00105A25" w:rsidRDefault="0039742C" w:rsidP="0039742C">
      <w:pPr>
        <w:autoSpaceDE w:val="0"/>
        <w:autoSpaceDN w:val="0"/>
        <w:adjustRightInd w:val="0"/>
        <w:rPr>
          <w:b/>
          <w:iCs/>
          <w:sz w:val="22"/>
          <w:szCs w:val="22"/>
        </w:rPr>
      </w:pPr>
      <w:r w:rsidRPr="00105A25">
        <w:rPr>
          <w:b/>
          <w:iCs/>
          <w:sz w:val="22"/>
          <w:szCs w:val="22"/>
        </w:rPr>
        <w:t>Różnice etniczne</w:t>
      </w:r>
    </w:p>
    <w:p w14:paraId="7668DAEF" w14:textId="681F67FF" w:rsidR="00780ECC" w:rsidRPr="00105A25" w:rsidRDefault="00ED3A6B" w:rsidP="0039742C">
      <w:pPr>
        <w:autoSpaceDE w:val="0"/>
        <w:autoSpaceDN w:val="0"/>
        <w:adjustRightInd w:val="0"/>
        <w:rPr>
          <w:sz w:val="22"/>
          <w:szCs w:val="22"/>
        </w:rPr>
      </w:pPr>
      <w:r w:rsidRPr="00105A25">
        <w:rPr>
          <w:sz w:val="22"/>
          <w:szCs w:val="22"/>
        </w:rPr>
        <w:t xml:space="preserve">Inhibitory ACE </w:t>
      </w:r>
      <w:r w:rsidR="0039742C" w:rsidRPr="00105A25">
        <w:rPr>
          <w:sz w:val="22"/>
          <w:szCs w:val="22"/>
        </w:rPr>
        <w:t>zdecydowanie mniej skutecznie zmniejszają ciśnienie krwi u osób rasy czarnej</w:t>
      </w:r>
      <w:r w:rsidRPr="00105A25">
        <w:rPr>
          <w:sz w:val="22"/>
          <w:szCs w:val="22"/>
        </w:rPr>
        <w:t>,</w:t>
      </w:r>
      <w:r w:rsidR="0039742C" w:rsidRPr="00105A25">
        <w:rPr>
          <w:sz w:val="22"/>
          <w:szCs w:val="22"/>
        </w:rPr>
        <w:t xml:space="preserve"> niż u</w:t>
      </w:r>
      <w:r w:rsidR="00105A25">
        <w:rPr>
          <w:sz w:val="22"/>
          <w:szCs w:val="22"/>
        </w:rPr>
        <w:t> </w:t>
      </w:r>
      <w:r w:rsidR="0039742C" w:rsidRPr="00105A25">
        <w:rPr>
          <w:sz w:val="22"/>
          <w:szCs w:val="22"/>
        </w:rPr>
        <w:t xml:space="preserve">osób innych ras, prawdopodobnie z powodu większej częstości występowania stanów </w:t>
      </w:r>
      <w:r w:rsidR="00A472E1">
        <w:rPr>
          <w:sz w:val="22"/>
          <w:szCs w:val="22"/>
        </w:rPr>
        <w:t>małego</w:t>
      </w:r>
      <w:r w:rsidR="003A1EF7">
        <w:rPr>
          <w:sz w:val="22"/>
          <w:szCs w:val="22"/>
        </w:rPr>
        <w:t xml:space="preserve"> </w:t>
      </w:r>
      <w:r w:rsidR="0039742C" w:rsidRPr="00105A25">
        <w:rPr>
          <w:sz w:val="22"/>
          <w:szCs w:val="22"/>
        </w:rPr>
        <w:t>stężenia reniny w populacji osób rasy czarnej z nadciśnieniem tętniczym.</w:t>
      </w:r>
    </w:p>
    <w:p w14:paraId="2FA3FE9B" w14:textId="77777777" w:rsidR="00B4082C" w:rsidRPr="00105A25" w:rsidRDefault="00B4082C" w:rsidP="0039742C">
      <w:pPr>
        <w:autoSpaceDE w:val="0"/>
        <w:autoSpaceDN w:val="0"/>
        <w:adjustRightInd w:val="0"/>
        <w:rPr>
          <w:sz w:val="22"/>
          <w:szCs w:val="22"/>
        </w:rPr>
      </w:pPr>
    </w:p>
    <w:p w14:paraId="416B5CD8" w14:textId="77777777" w:rsidR="0034791F" w:rsidRPr="00105A25" w:rsidRDefault="00EE2AA1" w:rsidP="0039742C">
      <w:pPr>
        <w:autoSpaceDE w:val="0"/>
        <w:autoSpaceDN w:val="0"/>
        <w:adjustRightInd w:val="0"/>
        <w:rPr>
          <w:b/>
          <w:sz w:val="22"/>
          <w:szCs w:val="22"/>
        </w:rPr>
      </w:pPr>
      <w:r>
        <w:rPr>
          <w:b/>
          <w:sz w:val="22"/>
          <w:szCs w:val="22"/>
        </w:rPr>
        <w:t>Interakcj</w:t>
      </w:r>
      <w:r w:rsidR="0034791F" w:rsidRPr="00105A25">
        <w:rPr>
          <w:b/>
          <w:sz w:val="22"/>
          <w:szCs w:val="22"/>
        </w:rPr>
        <w:t>e</w:t>
      </w:r>
    </w:p>
    <w:p w14:paraId="4ED5B0D2" w14:textId="77777777" w:rsidR="0034791F" w:rsidRPr="00105A25" w:rsidRDefault="0034791F" w:rsidP="0039742C">
      <w:pPr>
        <w:autoSpaceDE w:val="0"/>
        <w:autoSpaceDN w:val="0"/>
        <w:adjustRightInd w:val="0"/>
        <w:rPr>
          <w:sz w:val="22"/>
          <w:szCs w:val="22"/>
        </w:rPr>
      </w:pPr>
      <w:r w:rsidRPr="00105A25">
        <w:rPr>
          <w:sz w:val="22"/>
          <w:szCs w:val="22"/>
        </w:rPr>
        <w:t xml:space="preserve">Nie zaleca się stosowania produktu leczniczego Tanatril z lekami moczopędnymi oszczędzającymi potas, solami potasu i </w:t>
      </w:r>
      <w:r w:rsidR="00B4082C" w:rsidRPr="00105A25">
        <w:rPr>
          <w:sz w:val="22"/>
          <w:szCs w:val="22"/>
        </w:rPr>
        <w:t>litem (patrz punkt 4.5).</w:t>
      </w:r>
    </w:p>
    <w:p w14:paraId="76ED46C5" w14:textId="77777777" w:rsidR="00780ECC" w:rsidRDefault="00780ECC" w:rsidP="0039742C">
      <w:pPr>
        <w:autoSpaceDE w:val="0"/>
        <w:autoSpaceDN w:val="0"/>
        <w:adjustRightInd w:val="0"/>
        <w:rPr>
          <w:sz w:val="22"/>
          <w:szCs w:val="22"/>
        </w:rPr>
      </w:pPr>
    </w:p>
    <w:p w14:paraId="07C0F5A5" w14:textId="77777777" w:rsidR="00ED3A6B" w:rsidRPr="00105A25" w:rsidRDefault="00ED3A6B" w:rsidP="00ED3A6B">
      <w:pPr>
        <w:tabs>
          <w:tab w:val="left" w:pos="567"/>
        </w:tabs>
        <w:rPr>
          <w:b/>
          <w:sz w:val="22"/>
          <w:szCs w:val="22"/>
          <w:u w:val="single"/>
        </w:rPr>
      </w:pPr>
      <w:r w:rsidRPr="00105A25">
        <w:rPr>
          <w:b/>
          <w:sz w:val="22"/>
          <w:szCs w:val="22"/>
          <w:u w:val="single"/>
        </w:rPr>
        <w:t>Ciąża</w:t>
      </w:r>
      <w:r w:rsidR="008E20A0">
        <w:rPr>
          <w:b/>
          <w:sz w:val="22"/>
          <w:szCs w:val="22"/>
          <w:u w:val="single"/>
        </w:rPr>
        <w:t xml:space="preserve"> i karmienie piersią</w:t>
      </w:r>
    </w:p>
    <w:p w14:paraId="109C7B02" w14:textId="5EDAAE26" w:rsidR="00ED3A6B" w:rsidRPr="00105A25" w:rsidRDefault="007A3D85" w:rsidP="00ED3A6B">
      <w:pPr>
        <w:tabs>
          <w:tab w:val="left" w:pos="567"/>
        </w:tabs>
        <w:rPr>
          <w:sz w:val="22"/>
          <w:szCs w:val="22"/>
        </w:rPr>
      </w:pPr>
      <w:r>
        <w:rPr>
          <w:sz w:val="22"/>
          <w:szCs w:val="22"/>
        </w:rPr>
        <w:t>Imidapr</w:t>
      </w:r>
      <w:r w:rsidR="00BC2429">
        <w:rPr>
          <w:sz w:val="22"/>
          <w:szCs w:val="22"/>
        </w:rPr>
        <w:t>y</w:t>
      </w:r>
      <w:r>
        <w:rPr>
          <w:sz w:val="22"/>
          <w:szCs w:val="22"/>
        </w:rPr>
        <w:t>l jest przeciw</w:t>
      </w:r>
      <w:r w:rsidR="00847851">
        <w:rPr>
          <w:sz w:val="22"/>
          <w:szCs w:val="22"/>
        </w:rPr>
        <w:t>w</w:t>
      </w:r>
      <w:r>
        <w:rPr>
          <w:sz w:val="22"/>
          <w:szCs w:val="22"/>
        </w:rPr>
        <w:t>skazany w drugim i trzecim trymestrze ciąży oraz nie powinien być stosowany w pierwszym trymestrze ciąży</w:t>
      </w:r>
      <w:r w:rsidR="00ED3A6B" w:rsidRPr="00105A25">
        <w:rPr>
          <w:sz w:val="22"/>
          <w:szCs w:val="22"/>
        </w:rPr>
        <w:t xml:space="preserve">. U pacjentek planujących zajście w ciążę należy zastosować inne leki przeciwnadciśnieniowe, dla których ustalony jest profil bezpieczeństwa stosowania w ciąży, chyba, że dalsze leczenie </w:t>
      </w:r>
      <w:r w:rsidR="00CA0150">
        <w:rPr>
          <w:sz w:val="22"/>
          <w:szCs w:val="22"/>
        </w:rPr>
        <w:t>imidaprylem</w:t>
      </w:r>
      <w:r w:rsidR="00ED3A6B" w:rsidRPr="00105A25">
        <w:rPr>
          <w:sz w:val="22"/>
          <w:szCs w:val="22"/>
        </w:rPr>
        <w:t xml:space="preserve"> uważane jest za niezbędne. </w:t>
      </w:r>
    </w:p>
    <w:p w14:paraId="5E27BAD1" w14:textId="77777777" w:rsidR="00ED3A6B" w:rsidRDefault="00ED3A6B" w:rsidP="00ED3A6B">
      <w:pPr>
        <w:tabs>
          <w:tab w:val="left" w:pos="567"/>
        </w:tabs>
        <w:rPr>
          <w:sz w:val="22"/>
          <w:szCs w:val="22"/>
        </w:rPr>
      </w:pPr>
      <w:r w:rsidRPr="00105A25">
        <w:rPr>
          <w:sz w:val="22"/>
          <w:szCs w:val="22"/>
        </w:rPr>
        <w:t xml:space="preserve">W przypadku rozpoznania ciąży należy natychmiast przerwać stosowanie imidaprylu oraz, jeśli to właściwe, rozpocząć leczenie innymi lekami (patrz punkty 4.3 i 4.6). </w:t>
      </w:r>
    </w:p>
    <w:p w14:paraId="3536BB85" w14:textId="0657C5EB" w:rsidR="008E20A0" w:rsidRDefault="008E20A0" w:rsidP="00ED3A6B">
      <w:pPr>
        <w:tabs>
          <w:tab w:val="left" w:pos="567"/>
        </w:tabs>
        <w:rPr>
          <w:sz w:val="22"/>
          <w:szCs w:val="22"/>
        </w:rPr>
      </w:pPr>
      <w:bookmarkStart w:id="0" w:name="_Hlk109038906"/>
      <w:r>
        <w:rPr>
          <w:sz w:val="22"/>
          <w:szCs w:val="22"/>
        </w:rPr>
        <w:t>Stosowanie imidapr</w:t>
      </w:r>
      <w:r w:rsidR="00BC2429">
        <w:rPr>
          <w:sz w:val="22"/>
          <w:szCs w:val="22"/>
        </w:rPr>
        <w:t>y</w:t>
      </w:r>
      <w:r>
        <w:rPr>
          <w:sz w:val="22"/>
          <w:szCs w:val="22"/>
        </w:rPr>
        <w:t xml:space="preserve">lu w czasie karmienia piersią jest </w:t>
      </w:r>
      <w:r w:rsidR="00727DCF">
        <w:rPr>
          <w:sz w:val="22"/>
          <w:szCs w:val="22"/>
        </w:rPr>
        <w:t>przeci</w:t>
      </w:r>
      <w:r w:rsidR="00847851">
        <w:rPr>
          <w:sz w:val="22"/>
          <w:szCs w:val="22"/>
        </w:rPr>
        <w:t>w</w:t>
      </w:r>
      <w:r w:rsidR="00727DCF">
        <w:rPr>
          <w:sz w:val="22"/>
          <w:szCs w:val="22"/>
        </w:rPr>
        <w:t>wskazane</w:t>
      </w:r>
      <w:r>
        <w:rPr>
          <w:sz w:val="22"/>
          <w:szCs w:val="22"/>
        </w:rPr>
        <w:t xml:space="preserve">. </w:t>
      </w:r>
    </w:p>
    <w:bookmarkEnd w:id="0"/>
    <w:p w14:paraId="0FC49DC2" w14:textId="77777777" w:rsidR="004564EF" w:rsidRDefault="004564EF" w:rsidP="00ED3A6B">
      <w:pPr>
        <w:tabs>
          <w:tab w:val="left" w:pos="567"/>
        </w:tabs>
        <w:rPr>
          <w:sz w:val="22"/>
          <w:szCs w:val="22"/>
        </w:rPr>
      </w:pPr>
    </w:p>
    <w:p w14:paraId="04E4D70C" w14:textId="77777777" w:rsidR="004564EF" w:rsidRPr="00DD0DA2" w:rsidRDefault="004564EF" w:rsidP="004564EF">
      <w:pPr>
        <w:tabs>
          <w:tab w:val="left" w:pos="567"/>
        </w:tabs>
        <w:rPr>
          <w:b/>
          <w:bCs/>
          <w:sz w:val="22"/>
          <w:szCs w:val="22"/>
        </w:rPr>
      </w:pPr>
      <w:r w:rsidRPr="00DD0DA2">
        <w:rPr>
          <w:b/>
          <w:bCs/>
          <w:sz w:val="22"/>
          <w:szCs w:val="22"/>
        </w:rPr>
        <w:t>Laktoza</w:t>
      </w:r>
    </w:p>
    <w:p w14:paraId="5A1AAA58" w14:textId="77777777" w:rsidR="004564EF" w:rsidRDefault="004564EF" w:rsidP="004564EF">
      <w:pPr>
        <w:rPr>
          <w:bCs/>
          <w:snapToGrid w:val="0"/>
          <w:sz w:val="22"/>
          <w:szCs w:val="22"/>
          <w:lang w:eastAsia="hu-HU"/>
        </w:rPr>
      </w:pPr>
      <w:r>
        <w:rPr>
          <w:bCs/>
          <w:snapToGrid w:val="0"/>
          <w:sz w:val="22"/>
          <w:szCs w:val="22"/>
          <w:lang w:eastAsia="hu-HU"/>
        </w:rPr>
        <w:t xml:space="preserve">Produkt leczniczy nie powinien być stosowany u pacjentów z rzadko występującą dziedziczną nietolerancją galaktozy, brakiem laktazy lub zespołem złego wchłaniania glukozy-galaktozy. </w:t>
      </w:r>
    </w:p>
    <w:p w14:paraId="4C05DAA5" w14:textId="77777777" w:rsidR="004564EF" w:rsidRDefault="004564EF" w:rsidP="004564EF">
      <w:pPr>
        <w:tabs>
          <w:tab w:val="left" w:pos="567"/>
        </w:tabs>
        <w:rPr>
          <w:sz w:val="22"/>
          <w:szCs w:val="22"/>
        </w:rPr>
      </w:pPr>
    </w:p>
    <w:p w14:paraId="17A1BC44" w14:textId="77777777" w:rsidR="004564EF" w:rsidRPr="00DD0DA2" w:rsidRDefault="004564EF" w:rsidP="004564EF">
      <w:pPr>
        <w:rPr>
          <w:b/>
          <w:snapToGrid w:val="0"/>
          <w:sz w:val="22"/>
          <w:szCs w:val="22"/>
          <w:lang w:eastAsia="hu-HU"/>
        </w:rPr>
      </w:pPr>
      <w:r w:rsidRPr="00DD0DA2">
        <w:rPr>
          <w:b/>
          <w:snapToGrid w:val="0"/>
          <w:sz w:val="22"/>
          <w:szCs w:val="22"/>
          <w:lang w:eastAsia="hu-HU"/>
        </w:rPr>
        <w:t>Sód</w:t>
      </w:r>
    </w:p>
    <w:p w14:paraId="32C04BC1" w14:textId="77777777" w:rsidR="004564EF" w:rsidRPr="00105A25" w:rsidRDefault="004564EF" w:rsidP="00DD0DA2">
      <w:pPr>
        <w:pStyle w:val="Default"/>
        <w:rPr>
          <w:sz w:val="22"/>
          <w:szCs w:val="22"/>
        </w:rPr>
      </w:pPr>
      <w:r>
        <w:rPr>
          <w:sz w:val="22"/>
          <w:szCs w:val="22"/>
        </w:rPr>
        <w:t>Produkt leczniczy zawiera mniej niż 1 mmol (23 mg) sodu w jednej tabletc</w:t>
      </w:r>
      <w:r w:rsidR="008B0CF0">
        <w:rPr>
          <w:sz w:val="22"/>
          <w:szCs w:val="22"/>
        </w:rPr>
        <w:t>e</w:t>
      </w:r>
      <w:r>
        <w:rPr>
          <w:sz w:val="22"/>
          <w:szCs w:val="22"/>
        </w:rPr>
        <w:t xml:space="preserve">, to znaczy produkt leczniczy uznaje się za „wolny od sodu”. </w:t>
      </w:r>
    </w:p>
    <w:p w14:paraId="1626F6CB" w14:textId="77777777" w:rsidR="00CC2206" w:rsidRPr="00105A25" w:rsidRDefault="00CC2206" w:rsidP="001D75B1">
      <w:pPr>
        <w:rPr>
          <w:sz w:val="22"/>
          <w:szCs w:val="22"/>
        </w:rPr>
      </w:pPr>
    </w:p>
    <w:p w14:paraId="6FD68EC1" w14:textId="77777777" w:rsidR="00D7495B" w:rsidRPr="00105A25" w:rsidRDefault="00D7495B" w:rsidP="001D75B1">
      <w:pPr>
        <w:outlineLvl w:val="0"/>
        <w:rPr>
          <w:b/>
          <w:sz w:val="22"/>
          <w:szCs w:val="22"/>
        </w:rPr>
      </w:pPr>
      <w:r w:rsidRPr="00105A25">
        <w:rPr>
          <w:b/>
          <w:sz w:val="22"/>
          <w:szCs w:val="22"/>
        </w:rPr>
        <w:t xml:space="preserve">4.5 </w:t>
      </w:r>
      <w:r w:rsidR="001D75B1" w:rsidRPr="00105A25">
        <w:rPr>
          <w:b/>
          <w:sz w:val="22"/>
          <w:szCs w:val="22"/>
        </w:rPr>
        <w:tab/>
      </w:r>
      <w:r w:rsidRPr="00105A25">
        <w:rPr>
          <w:b/>
          <w:sz w:val="22"/>
          <w:szCs w:val="22"/>
        </w:rPr>
        <w:t xml:space="preserve">Interakcje z innymi </w:t>
      </w:r>
      <w:r w:rsidR="00CC2206" w:rsidRPr="00105A25">
        <w:rPr>
          <w:b/>
          <w:sz w:val="22"/>
          <w:szCs w:val="22"/>
        </w:rPr>
        <w:t xml:space="preserve">produktami leczniczymi </w:t>
      </w:r>
      <w:r w:rsidRPr="00105A25">
        <w:rPr>
          <w:b/>
          <w:sz w:val="22"/>
          <w:szCs w:val="22"/>
        </w:rPr>
        <w:t>i inne rodzaje interakcji</w:t>
      </w:r>
    </w:p>
    <w:p w14:paraId="152F671F" w14:textId="77777777" w:rsidR="001D75B1" w:rsidRDefault="001D75B1" w:rsidP="001D75B1">
      <w:pPr>
        <w:rPr>
          <w:sz w:val="22"/>
          <w:szCs w:val="22"/>
        </w:rPr>
      </w:pPr>
    </w:p>
    <w:p w14:paraId="5693BE0B" w14:textId="77777777" w:rsidR="006933FD" w:rsidRDefault="006933FD" w:rsidP="006933FD">
      <w:pPr>
        <w:rPr>
          <w:b/>
          <w:sz w:val="22"/>
          <w:szCs w:val="22"/>
        </w:rPr>
      </w:pPr>
      <w:r w:rsidRPr="00656401">
        <w:rPr>
          <w:b/>
          <w:sz w:val="22"/>
          <w:szCs w:val="22"/>
        </w:rPr>
        <w:t>Leki zwiększające ryzyko obrzęku naczynioruchowego</w:t>
      </w:r>
    </w:p>
    <w:p w14:paraId="7CEE8528" w14:textId="0EC4B9AA" w:rsidR="00F070F1" w:rsidRDefault="00584EB7" w:rsidP="00F070F1">
      <w:pPr>
        <w:widowControl w:val="0"/>
        <w:tabs>
          <w:tab w:val="left" w:pos="567"/>
        </w:tabs>
        <w:rPr>
          <w:snapToGrid w:val="0"/>
          <w:sz w:val="22"/>
          <w:szCs w:val="22"/>
          <w:lang w:eastAsia="hu-HU"/>
        </w:rPr>
      </w:pPr>
      <w:r w:rsidRPr="007816FE">
        <w:rPr>
          <w:i/>
          <w:iCs/>
          <w:snapToGrid w:val="0"/>
          <w:sz w:val="22"/>
          <w:szCs w:val="22"/>
          <w:lang w:eastAsia="hu-HU"/>
        </w:rPr>
        <w:t>Inhibitory NEP</w:t>
      </w:r>
      <w:r>
        <w:rPr>
          <w:snapToGrid w:val="0"/>
          <w:sz w:val="22"/>
          <w:szCs w:val="22"/>
          <w:lang w:eastAsia="hu-HU"/>
        </w:rPr>
        <w:t xml:space="preserve">: </w:t>
      </w:r>
      <w:r w:rsidRPr="00584EB7">
        <w:rPr>
          <w:snapToGrid w:val="0"/>
          <w:sz w:val="22"/>
          <w:szCs w:val="22"/>
          <w:lang w:eastAsia="hu-HU"/>
        </w:rPr>
        <w:t>Ponieważ jednoczesne hamowanie neprylizyny (NEP) i ACE może zwiększać ryzyko obrzęku naczynioruchowego, podawanie sakubitrylu/walsartanu nie należy rozpoczynać przed upływem 36 godzin od przyjęcia ostatniej dawki imidapr</w:t>
      </w:r>
      <w:r w:rsidR="009D169D">
        <w:rPr>
          <w:snapToGrid w:val="0"/>
          <w:sz w:val="22"/>
          <w:szCs w:val="22"/>
          <w:lang w:eastAsia="hu-HU"/>
        </w:rPr>
        <w:t>y</w:t>
      </w:r>
      <w:r w:rsidRPr="00584EB7">
        <w:rPr>
          <w:snapToGrid w:val="0"/>
          <w:sz w:val="22"/>
          <w:szCs w:val="22"/>
          <w:lang w:eastAsia="hu-HU"/>
        </w:rPr>
        <w:t>lu. Leczenie imidapr</w:t>
      </w:r>
      <w:r w:rsidR="00BC2429">
        <w:rPr>
          <w:snapToGrid w:val="0"/>
          <w:sz w:val="22"/>
          <w:szCs w:val="22"/>
          <w:lang w:eastAsia="hu-HU"/>
        </w:rPr>
        <w:t>y</w:t>
      </w:r>
      <w:r w:rsidRPr="00584EB7">
        <w:rPr>
          <w:snapToGrid w:val="0"/>
          <w:sz w:val="22"/>
          <w:szCs w:val="22"/>
          <w:lang w:eastAsia="hu-HU"/>
        </w:rPr>
        <w:t>lem nie może być rozpoczęte przed upływem 36 godzin od przyjęcia ostatniej dawki sakubitrylu/walsartanu. Jednoczesne stosowanie innych inhibitorów NEP (np. racekadotr</w:t>
      </w:r>
      <w:r w:rsidR="00C81477">
        <w:rPr>
          <w:snapToGrid w:val="0"/>
          <w:sz w:val="22"/>
          <w:szCs w:val="22"/>
          <w:lang w:eastAsia="hu-HU"/>
        </w:rPr>
        <w:t>y</w:t>
      </w:r>
      <w:r w:rsidRPr="00584EB7">
        <w:rPr>
          <w:snapToGrid w:val="0"/>
          <w:sz w:val="22"/>
          <w:szCs w:val="22"/>
          <w:lang w:eastAsia="hu-HU"/>
        </w:rPr>
        <w:t>lu) i imidapr</w:t>
      </w:r>
      <w:r w:rsidR="00BC2429">
        <w:rPr>
          <w:snapToGrid w:val="0"/>
          <w:sz w:val="22"/>
          <w:szCs w:val="22"/>
          <w:lang w:eastAsia="hu-HU"/>
        </w:rPr>
        <w:t>y</w:t>
      </w:r>
      <w:r w:rsidRPr="00584EB7">
        <w:rPr>
          <w:snapToGrid w:val="0"/>
          <w:sz w:val="22"/>
          <w:szCs w:val="22"/>
          <w:lang w:eastAsia="hu-HU"/>
        </w:rPr>
        <w:t>lu może również zwiększać ryzyko obrzęku naczynioruchowego. Przed rozpoczęciem leczenia inhibitorami NEP u pacjentów przyjmujących imidapr</w:t>
      </w:r>
      <w:r w:rsidR="007B7419">
        <w:rPr>
          <w:snapToGrid w:val="0"/>
          <w:sz w:val="22"/>
          <w:szCs w:val="22"/>
          <w:lang w:eastAsia="hu-HU"/>
        </w:rPr>
        <w:t>y</w:t>
      </w:r>
      <w:r w:rsidRPr="00584EB7">
        <w:rPr>
          <w:snapToGrid w:val="0"/>
          <w:sz w:val="22"/>
          <w:szCs w:val="22"/>
          <w:lang w:eastAsia="hu-HU"/>
        </w:rPr>
        <w:t>l konieczna jest dokładna ocena stosunku korzyści do ryzyka</w:t>
      </w:r>
      <w:r w:rsidRPr="00584EB7" w:rsidDel="00584EB7">
        <w:rPr>
          <w:snapToGrid w:val="0"/>
          <w:sz w:val="22"/>
          <w:szCs w:val="22"/>
          <w:lang w:eastAsia="hu-HU"/>
        </w:rPr>
        <w:t xml:space="preserve"> </w:t>
      </w:r>
      <w:r w:rsidR="00F070F1">
        <w:rPr>
          <w:snapToGrid w:val="0"/>
          <w:sz w:val="22"/>
          <w:szCs w:val="22"/>
          <w:lang w:eastAsia="hu-HU"/>
        </w:rPr>
        <w:t>(patrz punkty 4.3 i 4.4).</w:t>
      </w:r>
    </w:p>
    <w:p w14:paraId="65775593" w14:textId="77777777" w:rsidR="00F070F1" w:rsidRPr="00656401" w:rsidRDefault="00F070F1" w:rsidP="00F070F1">
      <w:pPr>
        <w:rPr>
          <w:sz w:val="22"/>
          <w:szCs w:val="22"/>
        </w:rPr>
      </w:pPr>
    </w:p>
    <w:p w14:paraId="2E1AE6F5" w14:textId="2BC06E2F" w:rsidR="00F070F1" w:rsidRDefault="00C4460E" w:rsidP="00C4460E">
      <w:pPr>
        <w:widowControl w:val="0"/>
        <w:tabs>
          <w:tab w:val="left" w:pos="567"/>
        </w:tabs>
        <w:rPr>
          <w:snapToGrid w:val="0"/>
          <w:sz w:val="22"/>
          <w:szCs w:val="22"/>
          <w:lang w:eastAsia="hu-HU"/>
        </w:rPr>
      </w:pPr>
      <w:r w:rsidRPr="007816FE">
        <w:rPr>
          <w:i/>
          <w:iCs/>
          <w:snapToGrid w:val="0"/>
          <w:sz w:val="22"/>
          <w:szCs w:val="22"/>
          <w:lang w:eastAsia="hu-HU"/>
        </w:rPr>
        <w:t>Inhibitory mTOR i wildagliptyna</w:t>
      </w:r>
      <w:r>
        <w:rPr>
          <w:snapToGrid w:val="0"/>
          <w:sz w:val="22"/>
          <w:szCs w:val="22"/>
          <w:lang w:eastAsia="hu-HU"/>
        </w:rPr>
        <w:t xml:space="preserve">: </w:t>
      </w:r>
      <w:r w:rsidRPr="00C4460E">
        <w:rPr>
          <w:snapToGrid w:val="0"/>
          <w:sz w:val="22"/>
          <w:szCs w:val="22"/>
          <w:lang w:eastAsia="hu-HU"/>
        </w:rPr>
        <w:t>Jednoczesne stosowanie inhibitorów ACE z inhibitorami mTOR (np. s</w:t>
      </w:r>
      <w:r w:rsidR="000F3807">
        <w:rPr>
          <w:snapToGrid w:val="0"/>
          <w:sz w:val="22"/>
          <w:szCs w:val="22"/>
          <w:lang w:eastAsia="hu-HU"/>
        </w:rPr>
        <w:t>y</w:t>
      </w:r>
      <w:r w:rsidRPr="00C4460E">
        <w:rPr>
          <w:snapToGrid w:val="0"/>
          <w:sz w:val="22"/>
          <w:szCs w:val="22"/>
          <w:lang w:eastAsia="hu-HU"/>
        </w:rPr>
        <w:t>rolimus, ewerolimus, tems</w:t>
      </w:r>
      <w:r w:rsidR="000F3807">
        <w:rPr>
          <w:snapToGrid w:val="0"/>
          <w:sz w:val="22"/>
          <w:szCs w:val="22"/>
          <w:lang w:eastAsia="hu-HU"/>
        </w:rPr>
        <w:t>y</w:t>
      </w:r>
      <w:r w:rsidRPr="00C4460E">
        <w:rPr>
          <w:snapToGrid w:val="0"/>
          <w:sz w:val="22"/>
          <w:szCs w:val="22"/>
          <w:lang w:eastAsia="hu-HU"/>
        </w:rPr>
        <w:t>rolimus) i wildagliptyną może prowadzić do zwiększonego ryzyka obrzęku naczynioruchowego (np. obrzęk dróg oddechowych lub języka, z zaburzeniami oddychania lub bez). Należy zachować ostrożność podczas rozpoczynania stosowania inhibitorów mTOR (np. s</w:t>
      </w:r>
      <w:r w:rsidR="000F3807">
        <w:rPr>
          <w:snapToGrid w:val="0"/>
          <w:sz w:val="22"/>
          <w:szCs w:val="22"/>
          <w:lang w:eastAsia="hu-HU"/>
        </w:rPr>
        <w:t>y</w:t>
      </w:r>
      <w:r w:rsidRPr="00C4460E">
        <w:rPr>
          <w:snapToGrid w:val="0"/>
          <w:sz w:val="22"/>
          <w:szCs w:val="22"/>
          <w:lang w:eastAsia="hu-HU"/>
        </w:rPr>
        <w:t>rolimus, ewerolimus, tems</w:t>
      </w:r>
      <w:r w:rsidR="000F3807">
        <w:rPr>
          <w:snapToGrid w:val="0"/>
          <w:sz w:val="22"/>
          <w:szCs w:val="22"/>
          <w:lang w:eastAsia="hu-HU"/>
        </w:rPr>
        <w:t>y</w:t>
      </w:r>
      <w:r w:rsidRPr="00C4460E">
        <w:rPr>
          <w:snapToGrid w:val="0"/>
          <w:sz w:val="22"/>
          <w:szCs w:val="22"/>
          <w:lang w:eastAsia="hu-HU"/>
        </w:rPr>
        <w:t>rolimus) i wildagliptyny u pacjentów przyjmujących imidapr</w:t>
      </w:r>
      <w:r w:rsidR="00BC4854">
        <w:rPr>
          <w:snapToGrid w:val="0"/>
          <w:sz w:val="22"/>
          <w:szCs w:val="22"/>
          <w:lang w:eastAsia="hu-HU"/>
        </w:rPr>
        <w:t>y</w:t>
      </w:r>
      <w:r w:rsidRPr="00C4460E">
        <w:rPr>
          <w:snapToGrid w:val="0"/>
          <w:sz w:val="22"/>
          <w:szCs w:val="22"/>
          <w:lang w:eastAsia="hu-HU"/>
        </w:rPr>
        <w:t>l</w:t>
      </w:r>
      <w:r w:rsidR="00F070F1">
        <w:rPr>
          <w:snapToGrid w:val="0"/>
          <w:sz w:val="22"/>
          <w:szCs w:val="22"/>
          <w:lang w:eastAsia="hu-HU"/>
        </w:rPr>
        <w:t xml:space="preserve"> (patrz punkt 4.4).</w:t>
      </w:r>
    </w:p>
    <w:p w14:paraId="591B16D3" w14:textId="77777777" w:rsidR="000D6499" w:rsidRPr="000D6499" w:rsidRDefault="000D6499" w:rsidP="001D75B1">
      <w:pPr>
        <w:rPr>
          <w:sz w:val="22"/>
          <w:szCs w:val="22"/>
        </w:rPr>
      </w:pPr>
    </w:p>
    <w:p w14:paraId="7F4783FA" w14:textId="77777777" w:rsidR="00D7495B" w:rsidRPr="00105A25" w:rsidRDefault="00D7495B" w:rsidP="001D75B1">
      <w:pPr>
        <w:rPr>
          <w:b/>
          <w:sz w:val="22"/>
          <w:szCs w:val="22"/>
        </w:rPr>
      </w:pPr>
      <w:r w:rsidRPr="00105A25">
        <w:rPr>
          <w:b/>
          <w:sz w:val="22"/>
          <w:szCs w:val="22"/>
        </w:rPr>
        <w:t>Leki moczopędne oszczędzające potas</w:t>
      </w:r>
      <w:r w:rsidR="006933FD">
        <w:rPr>
          <w:b/>
          <w:sz w:val="22"/>
          <w:szCs w:val="22"/>
        </w:rPr>
        <w:t>, suplementy potasu</w:t>
      </w:r>
      <w:r w:rsidRPr="00105A25">
        <w:rPr>
          <w:b/>
          <w:sz w:val="22"/>
          <w:szCs w:val="22"/>
        </w:rPr>
        <w:t xml:space="preserve"> lub </w:t>
      </w:r>
      <w:r w:rsidR="006933FD">
        <w:rPr>
          <w:b/>
          <w:sz w:val="22"/>
          <w:szCs w:val="22"/>
        </w:rPr>
        <w:t>substytuty soli</w:t>
      </w:r>
      <w:r w:rsidR="00850677">
        <w:rPr>
          <w:b/>
          <w:sz w:val="22"/>
          <w:szCs w:val="22"/>
        </w:rPr>
        <w:t xml:space="preserve"> kuchennej </w:t>
      </w:r>
      <w:r w:rsidRPr="00105A25">
        <w:rPr>
          <w:b/>
          <w:sz w:val="22"/>
          <w:szCs w:val="22"/>
        </w:rPr>
        <w:t>zawierające potas:</w:t>
      </w:r>
    </w:p>
    <w:p w14:paraId="759EFA2A" w14:textId="550ACB72" w:rsidR="00F070F1" w:rsidRDefault="00F070F1" w:rsidP="00F070F1">
      <w:pPr>
        <w:shd w:val="clear" w:color="auto" w:fill="FFFFFF"/>
        <w:rPr>
          <w:color w:val="000000"/>
          <w:spacing w:val="2"/>
          <w:sz w:val="22"/>
          <w:szCs w:val="22"/>
        </w:rPr>
      </w:pPr>
      <w:r>
        <w:rPr>
          <w:color w:val="000000"/>
          <w:spacing w:val="2"/>
          <w:sz w:val="22"/>
          <w:szCs w:val="22"/>
        </w:rPr>
        <w:t xml:space="preserve">Mimo że stężenie potasu w surowicy zazwyczaj utrzymuje się w zakresie wartości prawidłowych, </w:t>
      </w:r>
      <w:r>
        <w:rPr>
          <w:color w:val="000000"/>
          <w:spacing w:val="2"/>
          <w:sz w:val="22"/>
          <w:szCs w:val="22"/>
        </w:rPr>
        <w:br/>
        <w:t>u niektórych pacjentów leczonych imidaprylem może wystąpić hiperkaliemia. Leki moczopędne oszczędzające potas (np. spironolakton, triamteren lub amiloryd), suplementy potasu lub substytuty soli kuchennej zawierające potas mogą prowadzić do istotnego zwiększenia stężenia potasu w surowicy. Należy również zachować ostrożność podając imidapryl jednocześnie z innymi lekami zwiększającymi stężenie potasu w surowicy, takimi jak trimetopr</w:t>
      </w:r>
      <w:r w:rsidR="00134FC4">
        <w:rPr>
          <w:color w:val="000000"/>
          <w:spacing w:val="2"/>
          <w:sz w:val="22"/>
          <w:szCs w:val="22"/>
        </w:rPr>
        <w:t>y</w:t>
      </w:r>
      <w:r>
        <w:rPr>
          <w:color w:val="000000"/>
          <w:spacing w:val="2"/>
          <w:sz w:val="22"/>
          <w:szCs w:val="22"/>
        </w:rPr>
        <w:t>m i kotrimoksazol (trimetopr</w:t>
      </w:r>
      <w:r w:rsidR="00134FC4">
        <w:rPr>
          <w:color w:val="000000"/>
          <w:spacing w:val="2"/>
          <w:sz w:val="22"/>
          <w:szCs w:val="22"/>
        </w:rPr>
        <w:t>y</w:t>
      </w:r>
      <w:r>
        <w:rPr>
          <w:color w:val="000000"/>
          <w:spacing w:val="2"/>
          <w:sz w:val="22"/>
          <w:szCs w:val="22"/>
        </w:rPr>
        <w:t>m z sulfametoksazolem), ponieważ wiadomo, że trimetopr</w:t>
      </w:r>
      <w:r w:rsidR="00134FC4">
        <w:rPr>
          <w:color w:val="000000"/>
          <w:spacing w:val="2"/>
          <w:sz w:val="22"/>
          <w:szCs w:val="22"/>
        </w:rPr>
        <w:t>y</w:t>
      </w:r>
      <w:r>
        <w:rPr>
          <w:color w:val="000000"/>
          <w:spacing w:val="2"/>
          <w:sz w:val="22"/>
          <w:szCs w:val="22"/>
        </w:rPr>
        <w:t>m działa jak lek moczopędny oszczędzający potas, taki jak amiloryd. Dlatego nie zaleca się leczenia skojarzonego imidaprylem i wymienionymi wyżej lekami. Jeśli jednoczesne stosowanie tych leków jest wskazane, należy je podawać z zachowaniem ostrożności i często kontrolować stężenie potasu w surowicy.</w:t>
      </w:r>
    </w:p>
    <w:p w14:paraId="6EF01045" w14:textId="77777777" w:rsidR="00623C89" w:rsidRDefault="00623C89" w:rsidP="006933FD">
      <w:pPr>
        <w:rPr>
          <w:sz w:val="22"/>
          <w:szCs w:val="22"/>
        </w:rPr>
      </w:pPr>
    </w:p>
    <w:p w14:paraId="0AAD2061" w14:textId="77777777" w:rsidR="00623C89" w:rsidRPr="00E36376" w:rsidRDefault="00623C89" w:rsidP="00623C89">
      <w:pPr>
        <w:rPr>
          <w:bCs/>
          <w:sz w:val="22"/>
          <w:szCs w:val="22"/>
        </w:rPr>
      </w:pPr>
      <w:r w:rsidRPr="00E36376">
        <w:rPr>
          <w:bCs/>
          <w:sz w:val="22"/>
          <w:szCs w:val="22"/>
        </w:rPr>
        <w:t>Imidapryl, podobnie jak inne inhibitory ACE, może hamować utratę potasu wywołaną podawaniem leków moczopędnych.</w:t>
      </w:r>
    </w:p>
    <w:p w14:paraId="2EBFDFB6" w14:textId="77777777" w:rsidR="006933FD" w:rsidRDefault="006933FD" w:rsidP="006933FD">
      <w:pPr>
        <w:rPr>
          <w:sz w:val="22"/>
          <w:szCs w:val="22"/>
        </w:rPr>
      </w:pPr>
    </w:p>
    <w:p w14:paraId="11F624FB" w14:textId="77777777" w:rsidR="006933FD" w:rsidRPr="00296339" w:rsidRDefault="006933FD" w:rsidP="006933FD">
      <w:pPr>
        <w:rPr>
          <w:b/>
          <w:sz w:val="22"/>
          <w:szCs w:val="22"/>
        </w:rPr>
      </w:pPr>
      <w:r w:rsidRPr="00296339">
        <w:rPr>
          <w:b/>
          <w:sz w:val="22"/>
          <w:szCs w:val="22"/>
        </w:rPr>
        <w:t>Cyklosporyna</w:t>
      </w:r>
    </w:p>
    <w:p w14:paraId="2AF57F30" w14:textId="77777777" w:rsidR="006933FD" w:rsidRDefault="006933FD" w:rsidP="006933FD">
      <w:pPr>
        <w:rPr>
          <w:sz w:val="22"/>
          <w:szCs w:val="22"/>
        </w:rPr>
      </w:pPr>
      <w:r w:rsidRPr="007E23F6">
        <w:rPr>
          <w:sz w:val="22"/>
          <w:szCs w:val="22"/>
        </w:rPr>
        <w:t>Podczas jednoczesnego stosowania inhibitorów ACE i cyklosporyny może wystąpić hiperkaliemia. Zaleca się kontrolowanie stężenia potasu w surowicy.</w:t>
      </w:r>
    </w:p>
    <w:p w14:paraId="271D0B49" w14:textId="77777777" w:rsidR="006933FD" w:rsidRDefault="006933FD" w:rsidP="006933FD">
      <w:pPr>
        <w:rPr>
          <w:sz w:val="22"/>
          <w:szCs w:val="22"/>
        </w:rPr>
      </w:pPr>
    </w:p>
    <w:p w14:paraId="2046C7DD" w14:textId="77777777" w:rsidR="006933FD" w:rsidRPr="007E23F6" w:rsidRDefault="006933FD" w:rsidP="006933FD">
      <w:pPr>
        <w:rPr>
          <w:b/>
          <w:sz w:val="22"/>
          <w:szCs w:val="22"/>
        </w:rPr>
      </w:pPr>
      <w:r w:rsidRPr="007E23F6">
        <w:rPr>
          <w:b/>
          <w:sz w:val="22"/>
          <w:szCs w:val="22"/>
        </w:rPr>
        <w:lastRenderedPageBreak/>
        <w:t>Heparyna</w:t>
      </w:r>
    </w:p>
    <w:p w14:paraId="566E22AE" w14:textId="77777777" w:rsidR="006933FD" w:rsidRPr="00105A25" w:rsidRDefault="006933FD" w:rsidP="001D75B1">
      <w:pPr>
        <w:rPr>
          <w:sz w:val="22"/>
          <w:szCs w:val="22"/>
        </w:rPr>
      </w:pPr>
      <w:r w:rsidRPr="00296339">
        <w:rPr>
          <w:sz w:val="22"/>
          <w:szCs w:val="22"/>
        </w:rPr>
        <w:t>Podczas jednoczesnego stosowania inhibitorów ACE i heparyny może wystąpić hiperkaliemia. Zaleca się kontrolowanie stężenia potasu w surowicy.</w:t>
      </w:r>
    </w:p>
    <w:p w14:paraId="5A354C4B" w14:textId="77777777" w:rsidR="0085485D" w:rsidRDefault="0085485D" w:rsidP="001D75B1">
      <w:pPr>
        <w:rPr>
          <w:b/>
          <w:sz w:val="22"/>
          <w:szCs w:val="22"/>
        </w:rPr>
      </w:pPr>
    </w:p>
    <w:p w14:paraId="49BCC657" w14:textId="77777777" w:rsidR="0085485D" w:rsidRDefault="00ED4E7D" w:rsidP="0085485D">
      <w:pPr>
        <w:rPr>
          <w:b/>
          <w:iCs/>
          <w:sz w:val="22"/>
          <w:szCs w:val="22"/>
        </w:rPr>
      </w:pPr>
      <w:r>
        <w:rPr>
          <w:b/>
          <w:sz w:val="22"/>
          <w:szCs w:val="22"/>
        </w:rPr>
        <w:t>Podwójna blokada układu renina-angiotensyna-aldosteron (RAA)</w:t>
      </w:r>
      <w:r w:rsidR="0085485D">
        <w:rPr>
          <w:b/>
          <w:iCs/>
          <w:sz w:val="22"/>
          <w:szCs w:val="22"/>
        </w:rPr>
        <w:t>:</w:t>
      </w:r>
    </w:p>
    <w:p w14:paraId="6A11E36D" w14:textId="0FBF7518" w:rsidR="0085485D" w:rsidRPr="004B2224" w:rsidRDefault="0085485D" w:rsidP="0085485D">
      <w:pPr>
        <w:rPr>
          <w:sz w:val="22"/>
          <w:szCs w:val="22"/>
        </w:rPr>
      </w:pPr>
      <w:r w:rsidRPr="004B2224">
        <w:rPr>
          <w:iCs/>
          <w:sz w:val="22"/>
          <w:szCs w:val="22"/>
        </w:rPr>
        <w:t xml:space="preserve">Dane </w:t>
      </w:r>
      <w:r w:rsidR="00200886">
        <w:rPr>
          <w:iCs/>
          <w:sz w:val="22"/>
          <w:szCs w:val="22"/>
        </w:rPr>
        <w:t xml:space="preserve">z </w:t>
      </w:r>
      <w:r w:rsidRPr="004B2224">
        <w:rPr>
          <w:iCs/>
          <w:sz w:val="22"/>
          <w:szCs w:val="22"/>
        </w:rPr>
        <w:t>bada</w:t>
      </w:r>
      <w:r w:rsidR="00431E47">
        <w:rPr>
          <w:iCs/>
          <w:sz w:val="22"/>
          <w:szCs w:val="22"/>
        </w:rPr>
        <w:t>ń</w:t>
      </w:r>
      <w:r w:rsidRPr="004B2224">
        <w:rPr>
          <w:iCs/>
          <w:sz w:val="22"/>
          <w:szCs w:val="22"/>
        </w:rPr>
        <w:t xml:space="preserve"> kliniczn</w:t>
      </w:r>
      <w:r w:rsidR="00431E47">
        <w:rPr>
          <w:iCs/>
          <w:sz w:val="22"/>
          <w:szCs w:val="22"/>
        </w:rPr>
        <w:t>ych</w:t>
      </w:r>
      <w:r w:rsidRPr="004B2224">
        <w:rPr>
          <w:iCs/>
          <w:sz w:val="22"/>
          <w:szCs w:val="22"/>
        </w:rPr>
        <w:t xml:space="preserve"> wykazały, że podwójna blokada układu renina-angiotensyna-aldosteron (RAA) w wyniku jednoczesnego zastosowania inhibitorów ACE, antagonistów receptora</w:t>
      </w:r>
      <w:r w:rsidR="002A67AC">
        <w:rPr>
          <w:iCs/>
          <w:sz w:val="22"/>
          <w:szCs w:val="22"/>
        </w:rPr>
        <w:t xml:space="preserve"> AT</w:t>
      </w:r>
      <w:r w:rsidR="002A67AC" w:rsidRPr="005D1B89">
        <w:rPr>
          <w:iCs/>
          <w:sz w:val="22"/>
          <w:szCs w:val="22"/>
          <w:vertAlign w:val="subscript"/>
        </w:rPr>
        <w:t>1</w:t>
      </w:r>
      <w:r w:rsidR="002A67AC">
        <w:rPr>
          <w:iCs/>
          <w:sz w:val="22"/>
          <w:szCs w:val="22"/>
        </w:rPr>
        <w:t xml:space="preserve"> dla</w:t>
      </w:r>
      <w:r w:rsidRPr="004B2224">
        <w:rPr>
          <w:iCs/>
          <w:sz w:val="22"/>
          <w:szCs w:val="22"/>
        </w:rPr>
        <w:t xml:space="preserve"> angiotensyny II lub aliskirenu </w:t>
      </w:r>
      <w:r w:rsidR="00B70A85">
        <w:rPr>
          <w:iCs/>
          <w:sz w:val="22"/>
          <w:szCs w:val="22"/>
        </w:rPr>
        <w:t xml:space="preserve">może nie przynosić dodatkowych korzyści a </w:t>
      </w:r>
      <w:r w:rsidRPr="004B2224">
        <w:rPr>
          <w:iCs/>
          <w:sz w:val="22"/>
          <w:szCs w:val="22"/>
        </w:rPr>
        <w:t>jest związana z większą częstością występowania zdarzeń niepożądanych, takich jak: niedociśnienie, hiperkaliemia oraz zaburzenia czynności nerek (w tym ostra niewydolność nerek) w porównaniu z zastosowaniem leku z grupy antagonistów układu RAA w monoterapii</w:t>
      </w:r>
      <w:r w:rsidR="00B70A85">
        <w:rPr>
          <w:iCs/>
          <w:sz w:val="22"/>
          <w:szCs w:val="22"/>
        </w:rPr>
        <w:t xml:space="preserve">. </w:t>
      </w:r>
      <w:r w:rsidR="00B70A85" w:rsidRPr="00B70A85">
        <w:rPr>
          <w:iCs/>
          <w:sz w:val="22"/>
          <w:szCs w:val="22"/>
        </w:rPr>
        <w:t>Dlatego nie zaleca się stosowania podwójnej blokady układu renina-angiotensyna-aldosteron poprzez skojarzone stosowanie imidapr</w:t>
      </w:r>
      <w:r w:rsidR="007B7419">
        <w:rPr>
          <w:iCs/>
          <w:sz w:val="22"/>
          <w:szCs w:val="22"/>
        </w:rPr>
        <w:t>y</w:t>
      </w:r>
      <w:r w:rsidR="00B70A85" w:rsidRPr="00B70A85">
        <w:rPr>
          <w:iCs/>
          <w:sz w:val="22"/>
          <w:szCs w:val="22"/>
        </w:rPr>
        <w:t>lu, antagonistów receptora angiotensyny II lub aliskirenu i, jeśli uzna się to za absolutnie konieczne, powinno nastąpić tylko pod nadzorem specjalisty</w:t>
      </w:r>
      <w:r w:rsidR="008A1B07">
        <w:rPr>
          <w:iCs/>
          <w:sz w:val="22"/>
          <w:szCs w:val="22"/>
        </w:rPr>
        <w:t xml:space="preserve"> </w:t>
      </w:r>
      <w:r w:rsidR="008A1B07" w:rsidRPr="004B2224">
        <w:rPr>
          <w:iCs/>
          <w:sz w:val="22"/>
          <w:szCs w:val="22"/>
        </w:rPr>
        <w:t>(patrz punkty 4.3, 4.4 i 5.1).</w:t>
      </w:r>
      <w:r w:rsidR="00B70A85" w:rsidRPr="00B70A85">
        <w:rPr>
          <w:iCs/>
          <w:sz w:val="22"/>
          <w:szCs w:val="22"/>
        </w:rPr>
        <w:t xml:space="preserve"> U pacjentów z nefropatią cukrzycową nie należy stosować jednocześnie  imidapr</w:t>
      </w:r>
      <w:r w:rsidR="007B7419">
        <w:rPr>
          <w:iCs/>
          <w:sz w:val="22"/>
          <w:szCs w:val="22"/>
        </w:rPr>
        <w:t>y</w:t>
      </w:r>
      <w:r w:rsidR="00B70A85" w:rsidRPr="00B70A85">
        <w:rPr>
          <w:iCs/>
          <w:sz w:val="22"/>
          <w:szCs w:val="22"/>
        </w:rPr>
        <w:t>lu i</w:t>
      </w:r>
      <w:r w:rsidR="00271398">
        <w:rPr>
          <w:iCs/>
          <w:sz w:val="22"/>
          <w:szCs w:val="22"/>
        </w:rPr>
        <w:t xml:space="preserve"> </w:t>
      </w:r>
      <w:r w:rsidR="00271398" w:rsidRPr="00B70A85">
        <w:rPr>
          <w:iCs/>
          <w:sz w:val="22"/>
          <w:szCs w:val="22"/>
        </w:rPr>
        <w:t xml:space="preserve">antagonistów receptora </w:t>
      </w:r>
      <w:r w:rsidR="00271398">
        <w:rPr>
          <w:iCs/>
          <w:sz w:val="22"/>
          <w:szCs w:val="22"/>
        </w:rPr>
        <w:t>AT</w:t>
      </w:r>
      <w:r w:rsidR="00271398">
        <w:rPr>
          <w:iCs/>
          <w:sz w:val="22"/>
          <w:szCs w:val="22"/>
          <w:vertAlign w:val="subscript"/>
        </w:rPr>
        <w:t>1</w:t>
      </w:r>
      <w:r w:rsidR="00E86031">
        <w:rPr>
          <w:iCs/>
          <w:sz w:val="22"/>
          <w:szCs w:val="22"/>
          <w:vertAlign w:val="subscript"/>
        </w:rPr>
        <w:t xml:space="preserve"> </w:t>
      </w:r>
      <w:r w:rsidR="00E86031">
        <w:rPr>
          <w:iCs/>
          <w:sz w:val="22"/>
          <w:szCs w:val="22"/>
        </w:rPr>
        <w:t>dla</w:t>
      </w:r>
      <w:r w:rsidR="000F289C">
        <w:rPr>
          <w:iCs/>
          <w:sz w:val="22"/>
          <w:szCs w:val="22"/>
        </w:rPr>
        <w:t xml:space="preserve"> </w:t>
      </w:r>
      <w:r w:rsidR="00B70A85" w:rsidRPr="00B70A85">
        <w:rPr>
          <w:iCs/>
          <w:sz w:val="22"/>
          <w:szCs w:val="22"/>
        </w:rPr>
        <w:t>angiotensyny II.</w:t>
      </w:r>
      <w:r w:rsidRPr="004B2224">
        <w:rPr>
          <w:iCs/>
          <w:sz w:val="22"/>
          <w:szCs w:val="22"/>
        </w:rPr>
        <w:t xml:space="preserve"> </w:t>
      </w:r>
    </w:p>
    <w:p w14:paraId="4B4EB50C" w14:textId="77777777" w:rsidR="0085485D" w:rsidRPr="00105A25" w:rsidRDefault="0085485D" w:rsidP="001D75B1">
      <w:pPr>
        <w:rPr>
          <w:b/>
          <w:sz w:val="22"/>
          <w:szCs w:val="22"/>
        </w:rPr>
      </w:pPr>
    </w:p>
    <w:p w14:paraId="25846F25" w14:textId="77777777" w:rsidR="00D7495B" w:rsidRPr="00105A25" w:rsidRDefault="00D7495B" w:rsidP="001D75B1">
      <w:pPr>
        <w:rPr>
          <w:sz w:val="22"/>
          <w:szCs w:val="22"/>
        </w:rPr>
      </w:pPr>
      <w:r w:rsidRPr="00105A25">
        <w:rPr>
          <w:b/>
          <w:sz w:val="22"/>
          <w:szCs w:val="22"/>
        </w:rPr>
        <w:t>Leki moczopędne:</w:t>
      </w:r>
      <w:r w:rsidRPr="00105A25">
        <w:rPr>
          <w:sz w:val="22"/>
          <w:szCs w:val="22"/>
        </w:rPr>
        <w:t xml:space="preserve"> </w:t>
      </w:r>
    </w:p>
    <w:p w14:paraId="64A8937D" w14:textId="6450B716" w:rsidR="00D7495B" w:rsidRPr="00105A25" w:rsidRDefault="00D7495B" w:rsidP="001D75B1">
      <w:pPr>
        <w:rPr>
          <w:sz w:val="22"/>
          <w:szCs w:val="22"/>
        </w:rPr>
      </w:pPr>
      <w:r w:rsidRPr="00105A25">
        <w:rPr>
          <w:sz w:val="22"/>
          <w:szCs w:val="22"/>
        </w:rPr>
        <w:t xml:space="preserve">Jednoczesne podawanie </w:t>
      </w:r>
      <w:r w:rsidR="00280FD3" w:rsidRPr="00105A25">
        <w:rPr>
          <w:sz w:val="22"/>
          <w:szCs w:val="22"/>
        </w:rPr>
        <w:t>imidaprylu</w:t>
      </w:r>
      <w:r w:rsidRPr="00105A25">
        <w:rPr>
          <w:sz w:val="22"/>
          <w:szCs w:val="22"/>
        </w:rPr>
        <w:t xml:space="preserve"> z lekami moczopędnymi nasila działanie przeciwnadciśnieniowe. Należy zmniejszyć dawkę </w:t>
      </w:r>
      <w:r w:rsidR="00280FD3" w:rsidRPr="00105A25">
        <w:rPr>
          <w:sz w:val="22"/>
          <w:szCs w:val="22"/>
        </w:rPr>
        <w:t>imidaprylu</w:t>
      </w:r>
      <w:r w:rsidR="00CB01DE" w:rsidRPr="00105A25">
        <w:rPr>
          <w:sz w:val="22"/>
          <w:szCs w:val="22"/>
        </w:rPr>
        <w:t>,</w:t>
      </w:r>
      <w:r w:rsidRPr="00105A25">
        <w:rPr>
          <w:sz w:val="22"/>
          <w:szCs w:val="22"/>
        </w:rPr>
        <w:t xml:space="preserve"> lub (jeśli to możliwe) odstawić lek moczopędny </w:t>
      </w:r>
      <w:r w:rsidR="0082456E" w:rsidRPr="00105A25">
        <w:rPr>
          <w:sz w:val="22"/>
          <w:szCs w:val="22"/>
        </w:rPr>
        <w:t xml:space="preserve">albo </w:t>
      </w:r>
      <w:r w:rsidRPr="00105A25">
        <w:rPr>
          <w:sz w:val="22"/>
          <w:szCs w:val="22"/>
        </w:rPr>
        <w:t>zmniejszyć jego dawkę (patrz także punkt 4.4). Możliwość wystąpienia niedociśnienia można zredukować poprzez zwiększenie objętości płynów krążących lub zwiększenie spożycia soli przed przyjęciem leku.</w:t>
      </w:r>
    </w:p>
    <w:p w14:paraId="6998BE04" w14:textId="77777777" w:rsidR="00C34B17" w:rsidRPr="00105A25" w:rsidRDefault="00C34B17" w:rsidP="001D75B1">
      <w:pPr>
        <w:rPr>
          <w:b/>
          <w:sz w:val="22"/>
          <w:szCs w:val="22"/>
        </w:rPr>
      </w:pPr>
    </w:p>
    <w:p w14:paraId="53054D17" w14:textId="77777777" w:rsidR="00D7495B" w:rsidRPr="00105A25" w:rsidRDefault="00D7495B" w:rsidP="001D75B1">
      <w:pPr>
        <w:rPr>
          <w:sz w:val="22"/>
          <w:szCs w:val="22"/>
        </w:rPr>
      </w:pPr>
      <w:r w:rsidRPr="00105A25">
        <w:rPr>
          <w:b/>
          <w:sz w:val="22"/>
          <w:szCs w:val="22"/>
        </w:rPr>
        <w:t>Lit:</w:t>
      </w:r>
      <w:r w:rsidR="002C370E" w:rsidRPr="00105A25">
        <w:rPr>
          <w:sz w:val="22"/>
          <w:szCs w:val="22"/>
        </w:rPr>
        <w:t xml:space="preserve"> </w:t>
      </w:r>
    </w:p>
    <w:p w14:paraId="0D6B4174" w14:textId="77777777" w:rsidR="00D7495B" w:rsidRPr="00105A25" w:rsidRDefault="00D7495B" w:rsidP="001D75B1">
      <w:pPr>
        <w:rPr>
          <w:sz w:val="22"/>
          <w:szCs w:val="22"/>
        </w:rPr>
      </w:pPr>
      <w:r w:rsidRPr="00105A25">
        <w:rPr>
          <w:sz w:val="22"/>
          <w:szCs w:val="22"/>
        </w:rPr>
        <w:t xml:space="preserve">Jednoczesne podawanie </w:t>
      </w:r>
      <w:r w:rsidR="00280FD3" w:rsidRPr="00105A25">
        <w:rPr>
          <w:sz w:val="22"/>
          <w:szCs w:val="22"/>
        </w:rPr>
        <w:t>imidaprylu</w:t>
      </w:r>
      <w:r w:rsidRPr="00105A25">
        <w:rPr>
          <w:sz w:val="22"/>
          <w:szCs w:val="22"/>
        </w:rPr>
        <w:t xml:space="preserve"> z litem może zmniejszać wydalanie litu</w:t>
      </w:r>
      <w:r w:rsidR="00E60274">
        <w:rPr>
          <w:sz w:val="22"/>
          <w:szCs w:val="22"/>
        </w:rPr>
        <w:t xml:space="preserve"> zwiększając jego stężenie w surowicy do toksycznych poziomów</w:t>
      </w:r>
      <w:r w:rsidRPr="00105A25">
        <w:rPr>
          <w:sz w:val="22"/>
          <w:szCs w:val="22"/>
        </w:rPr>
        <w:t>. Należy odpowiednio kontrolować stężenie litu w surowicy i w razie konieczności dostosować jego dawkę.</w:t>
      </w:r>
    </w:p>
    <w:p w14:paraId="66BAA74D" w14:textId="77777777" w:rsidR="00105A25" w:rsidRDefault="00105A25" w:rsidP="001D75B1">
      <w:pPr>
        <w:rPr>
          <w:b/>
          <w:sz w:val="22"/>
          <w:szCs w:val="22"/>
        </w:rPr>
      </w:pPr>
    </w:p>
    <w:p w14:paraId="21B11C9A" w14:textId="77777777" w:rsidR="00D7495B" w:rsidRPr="00105A25" w:rsidRDefault="00D7495B" w:rsidP="001D75B1">
      <w:pPr>
        <w:rPr>
          <w:sz w:val="22"/>
          <w:szCs w:val="22"/>
        </w:rPr>
      </w:pPr>
      <w:r w:rsidRPr="00105A25">
        <w:rPr>
          <w:b/>
          <w:sz w:val="22"/>
          <w:szCs w:val="22"/>
        </w:rPr>
        <w:t>Leki stosowane w znieczuleniu ogólnym:</w:t>
      </w:r>
      <w:r w:rsidRPr="00105A25">
        <w:rPr>
          <w:sz w:val="22"/>
          <w:szCs w:val="22"/>
        </w:rPr>
        <w:t xml:space="preserve"> </w:t>
      </w:r>
    </w:p>
    <w:p w14:paraId="22A2FB71" w14:textId="77777777" w:rsidR="00D7495B" w:rsidRPr="00105A25" w:rsidRDefault="00280FD3" w:rsidP="001D75B1">
      <w:pPr>
        <w:rPr>
          <w:sz w:val="22"/>
          <w:szCs w:val="22"/>
        </w:rPr>
      </w:pPr>
      <w:r w:rsidRPr="00105A25">
        <w:rPr>
          <w:sz w:val="22"/>
          <w:szCs w:val="22"/>
        </w:rPr>
        <w:t>Imidapryl</w:t>
      </w:r>
      <w:r w:rsidR="00D7495B" w:rsidRPr="00105A25">
        <w:rPr>
          <w:sz w:val="22"/>
          <w:szCs w:val="22"/>
        </w:rPr>
        <w:t>, podobnie jak inne inhibitory ACE, może powodować nadmierne obniżenie ciśnienia tętniczego krwi związane z działaniem niektórych leków stosowanych w czasie znieczulenia ogólnego.</w:t>
      </w:r>
    </w:p>
    <w:p w14:paraId="6194DA11" w14:textId="77777777" w:rsidR="001D75B1" w:rsidRPr="00105A25" w:rsidRDefault="001D75B1" w:rsidP="001D75B1">
      <w:pPr>
        <w:rPr>
          <w:b/>
          <w:sz w:val="22"/>
          <w:szCs w:val="22"/>
        </w:rPr>
      </w:pPr>
    </w:p>
    <w:p w14:paraId="267EAAF9" w14:textId="77777777" w:rsidR="00D7495B" w:rsidRPr="00105A25" w:rsidRDefault="001E5D0E" w:rsidP="001D75B1">
      <w:pPr>
        <w:rPr>
          <w:sz w:val="22"/>
          <w:szCs w:val="22"/>
        </w:rPr>
      </w:pPr>
      <w:r>
        <w:rPr>
          <w:b/>
          <w:sz w:val="22"/>
          <w:szCs w:val="22"/>
        </w:rPr>
        <w:t>Opioidowe</w:t>
      </w:r>
      <w:r w:rsidRPr="00105A25">
        <w:rPr>
          <w:b/>
          <w:sz w:val="22"/>
          <w:szCs w:val="22"/>
        </w:rPr>
        <w:t xml:space="preserve"> </w:t>
      </w:r>
      <w:r w:rsidR="00D7495B" w:rsidRPr="00105A25">
        <w:rPr>
          <w:b/>
          <w:sz w:val="22"/>
          <w:szCs w:val="22"/>
        </w:rPr>
        <w:t>leki przeciwbólowe</w:t>
      </w:r>
      <w:r w:rsidR="00EE2AA1">
        <w:rPr>
          <w:b/>
          <w:sz w:val="22"/>
          <w:szCs w:val="22"/>
        </w:rPr>
        <w:t>:</w:t>
      </w:r>
      <w:r w:rsidR="00D7495B" w:rsidRPr="00105A25">
        <w:rPr>
          <w:sz w:val="22"/>
          <w:szCs w:val="22"/>
        </w:rPr>
        <w:t xml:space="preserve"> </w:t>
      </w:r>
    </w:p>
    <w:p w14:paraId="6471E267" w14:textId="77777777" w:rsidR="00D7495B" w:rsidRPr="00105A25" w:rsidRDefault="00D7495B" w:rsidP="001D75B1">
      <w:pPr>
        <w:rPr>
          <w:sz w:val="22"/>
          <w:szCs w:val="22"/>
        </w:rPr>
      </w:pPr>
      <w:r w:rsidRPr="00105A25">
        <w:rPr>
          <w:sz w:val="22"/>
          <w:szCs w:val="22"/>
        </w:rPr>
        <w:t>Może wystąpić niedociśnienie ortostatyczne.</w:t>
      </w:r>
    </w:p>
    <w:p w14:paraId="0007825B" w14:textId="77777777" w:rsidR="001D75B1" w:rsidRPr="00105A25" w:rsidRDefault="001D75B1" w:rsidP="001D75B1">
      <w:pPr>
        <w:rPr>
          <w:b/>
          <w:sz w:val="22"/>
          <w:szCs w:val="22"/>
        </w:rPr>
      </w:pPr>
    </w:p>
    <w:p w14:paraId="3B2096FB" w14:textId="3EFBE41F" w:rsidR="00D7495B" w:rsidRPr="00105A25" w:rsidRDefault="004A19CF" w:rsidP="001D75B1">
      <w:pPr>
        <w:rPr>
          <w:sz w:val="22"/>
          <w:szCs w:val="22"/>
        </w:rPr>
      </w:pPr>
      <w:r>
        <w:rPr>
          <w:b/>
          <w:sz w:val="22"/>
          <w:szCs w:val="22"/>
        </w:rPr>
        <w:t>Inne l</w:t>
      </w:r>
      <w:r w:rsidR="00D7495B" w:rsidRPr="00105A25">
        <w:rPr>
          <w:b/>
          <w:sz w:val="22"/>
          <w:szCs w:val="22"/>
        </w:rPr>
        <w:t>eki przeciwnadciśnieniowe</w:t>
      </w:r>
      <w:r>
        <w:rPr>
          <w:b/>
          <w:sz w:val="22"/>
          <w:szCs w:val="22"/>
        </w:rPr>
        <w:t xml:space="preserve"> i leki rozszerzające naczynia krwionośne</w:t>
      </w:r>
      <w:r w:rsidR="00D7495B" w:rsidRPr="00105A25">
        <w:rPr>
          <w:b/>
          <w:sz w:val="22"/>
          <w:szCs w:val="22"/>
        </w:rPr>
        <w:t>:</w:t>
      </w:r>
      <w:r w:rsidR="002C370E" w:rsidRPr="00105A25">
        <w:rPr>
          <w:sz w:val="22"/>
          <w:szCs w:val="22"/>
        </w:rPr>
        <w:t xml:space="preserve"> </w:t>
      </w:r>
    </w:p>
    <w:p w14:paraId="6C4CDE51" w14:textId="77777777" w:rsidR="00D7495B" w:rsidRPr="00105A25" w:rsidRDefault="00D7495B" w:rsidP="001D75B1">
      <w:pPr>
        <w:rPr>
          <w:sz w:val="22"/>
          <w:szCs w:val="22"/>
        </w:rPr>
      </w:pPr>
      <w:r w:rsidRPr="00105A25">
        <w:rPr>
          <w:sz w:val="22"/>
          <w:szCs w:val="22"/>
        </w:rPr>
        <w:t>Nasilają działanie przeciwnadciśnieniowe inhibitorów ACE.</w:t>
      </w:r>
      <w:r w:rsidR="00E60274" w:rsidRPr="00E60274">
        <w:t xml:space="preserve"> </w:t>
      </w:r>
      <w:r w:rsidR="00E60274" w:rsidRPr="00E60274">
        <w:rPr>
          <w:sz w:val="22"/>
          <w:szCs w:val="22"/>
        </w:rPr>
        <w:t>Jednoczesne stosowanie z nitrogliceryną i innymi azotanami lub innymi lekami rozszerzającymi naczynia może dodatkowo obniżyć ciśnienie krwi.</w:t>
      </w:r>
    </w:p>
    <w:p w14:paraId="5BF9CDAC" w14:textId="77777777" w:rsidR="001D75B1" w:rsidRPr="00105A25" w:rsidRDefault="001D75B1" w:rsidP="001D75B1">
      <w:pPr>
        <w:rPr>
          <w:b/>
          <w:sz w:val="22"/>
          <w:szCs w:val="22"/>
        </w:rPr>
      </w:pPr>
    </w:p>
    <w:p w14:paraId="19543041" w14:textId="77777777" w:rsidR="00D7495B" w:rsidRPr="00105A25" w:rsidRDefault="00CB01DE" w:rsidP="001D75B1">
      <w:pPr>
        <w:rPr>
          <w:sz w:val="22"/>
          <w:szCs w:val="22"/>
        </w:rPr>
      </w:pPr>
      <w:r w:rsidRPr="00105A25">
        <w:rPr>
          <w:b/>
          <w:sz w:val="22"/>
          <w:szCs w:val="22"/>
        </w:rPr>
        <w:t>Allopurynol</w:t>
      </w:r>
      <w:r w:rsidR="00D7495B" w:rsidRPr="00105A25">
        <w:rPr>
          <w:b/>
          <w:sz w:val="22"/>
          <w:szCs w:val="22"/>
        </w:rPr>
        <w:t>:</w:t>
      </w:r>
      <w:r w:rsidR="00D7495B" w:rsidRPr="00105A25">
        <w:rPr>
          <w:sz w:val="22"/>
          <w:szCs w:val="22"/>
        </w:rPr>
        <w:t xml:space="preserve"> </w:t>
      </w:r>
    </w:p>
    <w:p w14:paraId="4DCBEF40" w14:textId="77777777" w:rsidR="00D7495B" w:rsidRPr="00105A25" w:rsidRDefault="00D7495B" w:rsidP="001D75B1">
      <w:pPr>
        <w:rPr>
          <w:sz w:val="22"/>
          <w:szCs w:val="22"/>
        </w:rPr>
      </w:pPr>
      <w:r w:rsidRPr="00105A25">
        <w:rPr>
          <w:sz w:val="22"/>
          <w:szCs w:val="22"/>
        </w:rPr>
        <w:t xml:space="preserve">Dane dotyczące innych inhibitorów ACE wskazują na zwiększone ryzyko leukopenii. </w:t>
      </w:r>
    </w:p>
    <w:p w14:paraId="23A64896" w14:textId="77777777" w:rsidR="001D75B1" w:rsidRPr="00105A25" w:rsidRDefault="001D75B1" w:rsidP="001D75B1">
      <w:pPr>
        <w:rPr>
          <w:b/>
          <w:sz w:val="22"/>
          <w:szCs w:val="22"/>
        </w:rPr>
      </w:pPr>
    </w:p>
    <w:p w14:paraId="3D3B7045" w14:textId="77777777" w:rsidR="00D7495B" w:rsidRPr="00105A25" w:rsidRDefault="00D7495B" w:rsidP="001D75B1">
      <w:pPr>
        <w:rPr>
          <w:b/>
          <w:sz w:val="22"/>
          <w:szCs w:val="22"/>
        </w:rPr>
      </w:pPr>
      <w:r w:rsidRPr="00105A25">
        <w:rPr>
          <w:b/>
          <w:sz w:val="22"/>
          <w:szCs w:val="22"/>
        </w:rPr>
        <w:t xml:space="preserve">Cytostatyki, leki immunosupresyjne, </w:t>
      </w:r>
      <w:r w:rsidR="002A67AC">
        <w:rPr>
          <w:b/>
          <w:sz w:val="22"/>
          <w:szCs w:val="22"/>
        </w:rPr>
        <w:t>gliko</w:t>
      </w:r>
      <w:r w:rsidRPr="00105A25">
        <w:rPr>
          <w:b/>
          <w:sz w:val="22"/>
          <w:szCs w:val="22"/>
        </w:rPr>
        <w:t xml:space="preserve">kortykosteroidy działające ogólnoustrojowo, prokainamid: </w:t>
      </w:r>
    </w:p>
    <w:p w14:paraId="2C4ECF60" w14:textId="77777777" w:rsidR="00D7495B" w:rsidRPr="00105A25" w:rsidRDefault="00D7495B" w:rsidP="001D75B1">
      <w:pPr>
        <w:rPr>
          <w:sz w:val="22"/>
          <w:szCs w:val="22"/>
        </w:rPr>
      </w:pPr>
      <w:r w:rsidRPr="00105A25">
        <w:rPr>
          <w:sz w:val="22"/>
          <w:szCs w:val="22"/>
        </w:rPr>
        <w:t xml:space="preserve">Jednoczesne podawanie z </w:t>
      </w:r>
      <w:r w:rsidR="00280FD3" w:rsidRPr="00105A25">
        <w:rPr>
          <w:sz w:val="22"/>
          <w:szCs w:val="22"/>
        </w:rPr>
        <w:t>imidapryl</w:t>
      </w:r>
      <w:r w:rsidRPr="00105A25">
        <w:rPr>
          <w:sz w:val="22"/>
          <w:szCs w:val="22"/>
        </w:rPr>
        <w:t>em, podobnie jak z innymi inhibitorami ACE, może powodować zwiększone ryzyko leukopenii.</w:t>
      </w:r>
    </w:p>
    <w:p w14:paraId="66765437" w14:textId="77777777" w:rsidR="001D75B1" w:rsidRPr="00105A25" w:rsidRDefault="001D75B1" w:rsidP="001D75B1">
      <w:pPr>
        <w:rPr>
          <w:b/>
          <w:sz w:val="22"/>
          <w:szCs w:val="22"/>
        </w:rPr>
      </w:pPr>
    </w:p>
    <w:p w14:paraId="6489A09D" w14:textId="77777777" w:rsidR="00D7495B" w:rsidRPr="00105A25" w:rsidRDefault="00D7495B" w:rsidP="001D75B1">
      <w:pPr>
        <w:rPr>
          <w:b/>
          <w:sz w:val="22"/>
          <w:szCs w:val="22"/>
        </w:rPr>
      </w:pPr>
      <w:r w:rsidRPr="00105A25">
        <w:rPr>
          <w:b/>
          <w:sz w:val="22"/>
          <w:szCs w:val="22"/>
        </w:rPr>
        <w:t>Niesteroidowe leki przeciwzapalne</w:t>
      </w:r>
      <w:r w:rsidR="002C370E" w:rsidRPr="00105A25">
        <w:rPr>
          <w:b/>
          <w:sz w:val="22"/>
          <w:szCs w:val="22"/>
        </w:rPr>
        <w:t xml:space="preserve"> </w:t>
      </w:r>
      <w:r w:rsidRPr="00105A25">
        <w:rPr>
          <w:b/>
          <w:sz w:val="22"/>
          <w:szCs w:val="22"/>
        </w:rPr>
        <w:t>(NLPZ):</w:t>
      </w:r>
    </w:p>
    <w:p w14:paraId="0EE390B0" w14:textId="77777777" w:rsidR="00D7495B" w:rsidRPr="00105A25" w:rsidRDefault="00D7495B" w:rsidP="001D75B1">
      <w:pPr>
        <w:rPr>
          <w:sz w:val="22"/>
          <w:szCs w:val="22"/>
        </w:rPr>
      </w:pPr>
      <w:r w:rsidRPr="00105A25">
        <w:rPr>
          <w:sz w:val="22"/>
          <w:szCs w:val="22"/>
        </w:rPr>
        <w:t>W przypadku innych inhibitorów ACE potwierdzono, że stosowanie równocześnie z</w:t>
      </w:r>
      <w:r w:rsidR="002C370E" w:rsidRPr="00105A25">
        <w:rPr>
          <w:sz w:val="22"/>
          <w:szCs w:val="22"/>
        </w:rPr>
        <w:t> </w:t>
      </w:r>
      <w:r w:rsidRPr="00105A25">
        <w:rPr>
          <w:sz w:val="22"/>
          <w:szCs w:val="22"/>
        </w:rPr>
        <w:t xml:space="preserve">niesteroidowym lekiem przeciwzapalnym może osłabiać działanie przeciwnadciśnieniowe inhibitorów ACE, zwiększać stężenie potasu w surowicy i zaburzać czynność nerek. Występowanie tych działań jest najbardziej prawdopodobne u pacjentów z </w:t>
      </w:r>
      <w:r w:rsidR="00CB01DE" w:rsidRPr="00105A25">
        <w:rPr>
          <w:sz w:val="22"/>
          <w:szCs w:val="22"/>
        </w:rPr>
        <w:t xml:space="preserve">zaburzoną </w:t>
      </w:r>
      <w:r w:rsidRPr="00105A25">
        <w:rPr>
          <w:sz w:val="22"/>
          <w:szCs w:val="22"/>
        </w:rPr>
        <w:t>czynnością nerek.</w:t>
      </w:r>
      <w:r w:rsidR="00135D3C">
        <w:rPr>
          <w:sz w:val="22"/>
          <w:szCs w:val="22"/>
        </w:rPr>
        <w:t xml:space="preserve"> </w:t>
      </w:r>
      <w:r w:rsidR="00EE349F">
        <w:rPr>
          <w:sz w:val="22"/>
          <w:szCs w:val="22"/>
        </w:rPr>
        <w:t xml:space="preserve">Jednoczesne leczenie z NLPZ należy prowadzić ostrożnie a stan pacjentów trzeba okresowo monitorować. </w:t>
      </w:r>
    </w:p>
    <w:p w14:paraId="4B3267C2" w14:textId="77777777" w:rsidR="001D75B1" w:rsidRPr="00105A25" w:rsidRDefault="001D75B1" w:rsidP="001D75B1">
      <w:pPr>
        <w:rPr>
          <w:b/>
          <w:sz w:val="22"/>
          <w:szCs w:val="22"/>
        </w:rPr>
      </w:pPr>
    </w:p>
    <w:p w14:paraId="67C363AD" w14:textId="77777777" w:rsidR="00FD6DFE" w:rsidRPr="00105A25" w:rsidRDefault="00EE2AA1" w:rsidP="00FD6DFE">
      <w:pPr>
        <w:pStyle w:val="Default"/>
        <w:rPr>
          <w:b/>
          <w:sz w:val="22"/>
          <w:szCs w:val="22"/>
        </w:rPr>
      </w:pPr>
      <w:r>
        <w:rPr>
          <w:b/>
          <w:sz w:val="22"/>
          <w:szCs w:val="22"/>
        </w:rPr>
        <w:t>Sole złota:</w:t>
      </w:r>
    </w:p>
    <w:p w14:paraId="4DD3DAC2" w14:textId="606B6143" w:rsidR="00FD6DFE" w:rsidRPr="00105A25" w:rsidRDefault="00FD6DFE" w:rsidP="00FD6DFE">
      <w:pPr>
        <w:rPr>
          <w:b/>
          <w:sz w:val="22"/>
          <w:szCs w:val="22"/>
        </w:rPr>
      </w:pPr>
      <w:r w:rsidRPr="00105A25">
        <w:rPr>
          <w:sz w:val="22"/>
          <w:szCs w:val="22"/>
        </w:rPr>
        <w:lastRenderedPageBreak/>
        <w:t>Rzadko u pacjentów poddanych terapii solami złota (sodu aurotiojabłczan), stosowanymi w iniekcji, oraz jednocze</w:t>
      </w:r>
      <w:r w:rsidR="002A67AC">
        <w:rPr>
          <w:sz w:val="22"/>
          <w:szCs w:val="22"/>
        </w:rPr>
        <w:t>śnie</w:t>
      </w:r>
      <w:r w:rsidRPr="00105A25">
        <w:rPr>
          <w:sz w:val="22"/>
          <w:szCs w:val="22"/>
        </w:rPr>
        <w:t xml:space="preserve"> lecz</w:t>
      </w:r>
      <w:r w:rsidR="002A67AC">
        <w:rPr>
          <w:sz w:val="22"/>
          <w:szCs w:val="22"/>
        </w:rPr>
        <w:t>onych</w:t>
      </w:r>
      <w:r w:rsidRPr="00105A25">
        <w:rPr>
          <w:sz w:val="22"/>
          <w:szCs w:val="22"/>
        </w:rPr>
        <w:t xml:space="preserve"> inhibitorem ACE, w tym peryndoprylem, zgłaszano reakcje jak po podaniu azotanów (objawy </w:t>
      </w:r>
      <w:r w:rsidR="008E38DC">
        <w:rPr>
          <w:sz w:val="22"/>
          <w:szCs w:val="22"/>
        </w:rPr>
        <w:t>to:</w:t>
      </w:r>
      <w:r w:rsidRPr="00105A25">
        <w:rPr>
          <w:sz w:val="22"/>
          <w:szCs w:val="22"/>
        </w:rPr>
        <w:t xml:space="preserve"> zaczerwienienie twarzy, nudności, wymioty i niedociśnienie).</w:t>
      </w:r>
    </w:p>
    <w:p w14:paraId="537C286E" w14:textId="77777777" w:rsidR="00FD6DFE" w:rsidRPr="00105A25" w:rsidRDefault="00FD6DFE" w:rsidP="001D75B1">
      <w:pPr>
        <w:rPr>
          <w:b/>
          <w:sz w:val="22"/>
          <w:szCs w:val="22"/>
        </w:rPr>
      </w:pPr>
    </w:p>
    <w:p w14:paraId="5D27E9A3" w14:textId="77777777" w:rsidR="008B2F6B" w:rsidRPr="00105A25" w:rsidRDefault="008B2F6B" w:rsidP="008B2F6B">
      <w:pPr>
        <w:pStyle w:val="Default"/>
        <w:rPr>
          <w:b/>
          <w:sz w:val="22"/>
          <w:szCs w:val="22"/>
        </w:rPr>
      </w:pPr>
      <w:r w:rsidRPr="00105A25">
        <w:rPr>
          <w:b/>
          <w:sz w:val="22"/>
          <w:szCs w:val="22"/>
        </w:rPr>
        <w:t xml:space="preserve">Trójpierścieniowe leki przeciwdepresyjne, </w:t>
      </w:r>
      <w:r w:rsidR="004E770F" w:rsidRPr="00105A25">
        <w:rPr>
          <w:b/>
          <w:sz w:val="22"/>
          <w:szCs w:val="22"/>
        </w:rPr>
        <w:t>neuroleptyki</w:t>
      </w:r>
      <w:r w:rsidR="00EE2AA1">
        <w:rPr>
          <w:b/>
          <w:sz w:val="22"/>
          <w:szCs w:val="22"/>
        </w:rPr>
        <w:t>:</w:t>
      </w:r>
    </w:p>
    <w:p w14:paraId="5F3AFEB6" w14:textId="77777777" w:rsidR="008B2F6B" w:rsidRPr="00105A25" w:rsidRDefault="008B2F6B" w:rsidP="008B2F6B">
      <w:pPr>
        <w:rPr>
          <w:sz w:val="22"/>
          <w:szCs w:val="22"/>
        </w:rPr>
      </w:pPr>
      <w:r w:rsidRPr="00105A25">
        <w:rPr>
          <w:sz w:val="22"/>
          <w:szCs w:val="22"/>
        </w:rPr>
        <w:t>Mogą nasilać działanie przeciwnadciśnieniowe inhibitorów ACE i powodować ryzyko wystąpienia niedociśnienia ortostatycznego (działanie a</w:t>
      </w:r>
      <w:r w:rsidR="00765CE7" w:rsidRPr="00105A25">
        <w:rPr>
          <w:sz w:val="22"/>
          <w:szCs w:val="22"/>
        </w:rPr>
        <w:t>ddytywne).</w:t>
      </w:r>
    </w:p>
    <w:p w14:paraId="754A668D" w14:textId="77777777" w:rsidR="008B2F6B" w:rsidRPr="00105A25" w:rsidRDefault="008B2F6B" w:rsidP="008B2F6B">
      <w:pPr>
        <w:rPr>
          <w:sz w:val="22"/>
          <w:szCs w:val="22"/>
        </w:rPr>
      </w:pPr>
    </w:p>
    <w:p w14:paraId="424D38A4" w14:textId="77777777" w:rsidR="00D7495B" w:rsidRPr="00105A25" w:rsidRDefault="00D7495B" w:rsidP="008B2F6B">
      <w:pPr>
        <w:rPr>
          <w:b/>
          <w:sz w:val="22"/>
          <w:szCs w:val="22"/>
        </w:rPr>
      </w:pPr>
      <w:r w:rsidRPr="00105A25">
        <w:rPr>
          <w:b/>
          <w:sz w:val="22"/>
          <w:szCs w:val="22"/>
        </w:rPr>
        <w:t>R</w:t>
      </w:r>
      <w:r w:rsidR="0082456E" w:rsidRPr="00105A25">
        <w:rPr>
          <w:b/>
          <w:sz w:val="22"/>
          <w:szCs w:val="22"/>
        </w:rPr>
        <w:t>y</w:t>
      </w:r>
      <w:r w:rsidRPr="00105A25">
        <w:rPr>
          <w:b/>
          <w:sz w:val="22"/>
          <w:szCs w:val="22"/>
        </w:rPr>
        <w:t>fampicyna:</w:t>
      </w:r>
      <w:r w:rsidR="002C370E" w:rsidRPr="00105A25">
        <w:rPr>
          <w:b/>
          <w:sz w:val="22"/>
          <w:szCs w:val="22"/>
        </w:rPr>
        <w:t xml:space="preserve"> </w:t>
      </w:r>
      <w:r w:rsidRPr="00105A25">
        <w:rPr>
          <w:b/>
          <w:sz w:val="22"/>
          <w:szCs w:val="22"/>
        </w:rPr>
        <w:t xml:space="preserve"> </w:t>
      </w:r>
    </w:p>
    <w:p w14:paraId="2782CA84" w14:textId="77777777" w:rsidR="00D7495B" w:rsidRPr="00105A25" w:rsidRDefault="00D7495B" w:rsidP="001D75B1">
      <w:pPr>
        <w:rPr>
          <w:sz w:val="22"/>
          <w:szCs w:val="22"/>
        </w:rPr>
      </w:pPr>
      <w:r w:rsidRPr="00105A25">
        <w:rPr>
          <w:sz w:val="22"/>
          <w:szCs w:val="22"/>
        </w:rPr>
        <w:t>Podawanie r</w:t>
      </w:r>
      <w:r w:rsidR="0082456E" w:rsidRPr="00105A25">
        <w:rPr>
          <w:sz w:val="22"/>
          <w:szCs w:val="22"/>
        </w:rPr>
        <w:t>y</w:t>
      </w:r>
      <w:r w:rsidRPr="00105A25">
        <w:rPr>
          <w:sz w:val="22"/>
          <w:szCs w:val="22"/>
        </w:rPr>
        <w:t xml:space="preserve">fampicyny obniża w osoczu stężenie </w:t>
      </w:r>
      <w:r w:rsidR="00280FD3" w:rsidRPr="00105A25">
        <w:rPr>
          <w:sz w:val="22"/>
          <w:szCs w:val="22"/>
        </w:rPr>
        <w:t>imidapryl</w:t>
      </w:r>
      <w:r w:rsidRPr="00105A25">
        <w:rPr>
          <w:sz w:val="22"/>
          <w:szCs w:val="22"/>
        </w:rPr>
        <w:t>atu</w:t>
      </w:r>
      <w:r w:rsidR="003D457F" w:rsidRPr="00105A25">
        <w:rPr>
          <w:sz w:val="22"/>
          <w:szCs w:val="22"/>
        </w:rPr>
        <w:t>,</w:t>
      </w:r>
      <w:r w:rsidR="0082456E" w:rsidRPr="00105A25">
        <w:rPr>
          <w:sz w:val="22"/>
          <w:szCs w:val="22"/>
        </w:rPr>
        <w:t xml:space="preserve"> </w:t>
      </w:r>
      <w:r w:rsidRPr="00105A25">
        <w:rPr>
          <w:sz w:val="22"/>
          <w:szCs w:val="22"/>
        </w:rPr>
        <w:t>aktywnego metabolitu</w:t>
      </w:r>
      <w:r w:rsidR="00CB01DE" w:rsidRPr="00105A25">
        <w:rPr>
          <w:sz w:val="22"/>
          <w:szCs w:val="22"/>
        </w:rPr>
        <w:t xml:space="preserve"> </w:t>
      </w:r>
      <w:r w:rsidR="00280FD3" w:rsidRPr="00105A25">
        <w:rPr>
          <w:sz w:val="22"/>
          <w:szCs w:val="22"/>
        </w:rPr>
        <w:t>imidaprylu</w:t>
      </w:r>
      <w:r w:rsidRPr="00105A25">
        <w:rPr>
          <w:sz w:val="22"/>
          <w:szCs w:val="22"/>
        </w:rPr>
        <w:t xml:space="preserve">. Przeciwnadciśnieniowe działanie </w:t>
      </w:r>
      <w:r w:rsidR="00280FD3" w:rsidRPr="00105A25">
        <w:rPr>
          <w:sz w:val="22"/>
          <w:szCs w:val="22"/>
        </w:rPr>
        <w:t>imidaprylu</w:t>
      </w:r>
      <w:r w:rsidRPr="00105A25">
        <w:rPr>
          <w:sz w:val="22"/>
          <w:szCs w:val="22"/>
        </w:rPr>
        <w:t xml:space="preserve"> może być osłabione.</w:t>
      </w:r>
    </w:p>
    <w:p w14:paraId="5F9FE2BF" w14:textId="77777777" w:rsidR="001D75B1" w:rsidRPr="00105A25" w:rsidRDefault="001D75B1" w:rsidP="001D75B1">
      <w:pPr>
        <w:rPr>
          <w:b/>
          <w:sz w:val="22"/>
          <w:szCs w:val="22"/>
        </w:rPr>
      </w:pPr>
    </w:p>
    <w:p w14:paraId="13CAAD74" w14:textId="77777777" w:rsidR="00D7495B" w:rsidRPr="00105A25" w:rsidRDefault="00D7495B" w:rsidP="001D75B1">
      <w:pPr>
        <w:rPr>
          <w:b/>
          <w:sz w:val="22"/>
          <w:szCs w:val="22"/>
        </w:rPr>
      </w:pPr>
      <w:r w:rsidRPr="00105A25">
        <w:rPr>
          <w:b/>
          <w:sz w:val="22"/>
          <w:szCs w:val="22"/>
        </w:rPr>
        <w:t xml:space="preserve">Insulina i doustne leki przeciwcukrzycowe: </w:t>
      </w:r>
    </w:p>
    <w:p w14:paraId="616CFC7A" w14:textId="77777777" w:rsidR="00D7495B" w:rsidRPr="00105A25" w:rsidRDefault="00D7495B" w:rsidP="001D75B1">
      <w:pPr>
        <w:rPr>
          <w:sz w:val="22"/>
          <w:szCs w:val="22"/>
        </w:rPr>
      </w:pPr>
      <w:r w:rsidRPr="00105A25">
        <w:rPr>
          <w:sz w:val="22"/>
          <w:szCs w:val="22"/>
        </w:rPr>
        <w:t xml:space="preserve">Inhibitory ACE mogą zwiększać wrażliwość tkanek na działanie insuliny. W efekcie, </w:t>
      </w:r>
      <w:r w:rsidR="0082456E" w:rsidRPr="00105A25">
        <w:rPr>
          <w:sz w:val="22"/>
          <w:szCs w:val="22"/>
        </w:rPr>
        <w:t>u </w:t>
      </w:r>
      <w:r w:rsidRPr="00105A25">
        <w:rPr>
          <w:sz w:val="22"/>
          <w:szCs w:val="22"/>
        </w:rPr>
        <w:t xml:space="preserve">pacjentów przyjmujących insulinę lub doustne środki przeciwcukrzycowe równocześnie z </w:t>
      </w:r>
      <w:r w:rsidR="00280FD3" w:rsidRPr="00105A25">
        <w:rPr>
          <w:sz w:val="22"/>
          <w:szCs w:val="22"/>
        </w:rPr>
        <w:t>imidapryl</w:t>
      </w:r>
      <w:r w:rsidRPr="00105A25">
        <w:rPr>
          <w:sz w:val="22"/>
          <w:szCs w:val="22"/>
        </w:rPr>
        <w:t>em może wystąpić objawowa hipoglikemia.</w:t>
      </w:r>
    </w:p>
    <w:p w14:paraId="2D1EBD25" w14:textId="77777777" w:rsidR="001D75B1" w:rsidRPr="00105A25" w:rsidRDefault="001D75B1" w:rsidP="001D75B1">
      <w:pPr>
        <w:rPr>
          <w:b/>
          <w:sz w:val="22"/>
          <w:szCs w:val="22"/>
        </w:rPr>
      </w:pPr>
    </w:p>
    <w:p w14:paraId="0F4B12B4" w14:textId="77777777" w:rsidR="00D7495B" w:rsidRPr="00105A25" w:rsidRDefault="00D7495B" w:rsidP="001D75B1">
      <w:pPr>
        <w:rPr>
          <w:b/>
          <w:sz w:val="22"/>
          <w:szCs w:val="22"/>
        </w:rPr>
      </w:pPr>
      <w:r w:rsidRPr="00105A25">
        <w:rPr>
          <w:b/>
          <w:sz w:val="22"/>
          <w:szCs w:val="22"/>
        </w:rPr>
        <w:t>Środki przeciw nadkwaśności:</w:t>
      </w:r>
    </w:p>
    <w:p w14:paraId="4E194A33" w14:textId="77777777" w:rsidR="00D7495B" w:rsidRPr="00105A25" w:rsidRDefault="00D7495B" w:rsidP="001D75B1">
      <w:pPr>
        <w:rPr>
          <w:sz w:val="22"/>
          <w:szCs w:val="22"/>
        </w:rPr>
      </w:pPr>
      <w:r w:rsidRPr="00105A25">
        <w:rPr>
          <w:sz w:val="22"/>
          <w:szCs w:val="22"/>
        </w:rPr>
        <w:t xml:space="preserve">Mogą zmniejszać biodostępność </w:t>
      </w:r>
      <w:r w:rsidR="00280FD3" w:rsidRPr="00105A25">
        <w:rPr>
          <w:sz w:val="22"/>
          <w:szCs w:val="22"/>
        </w:rPr>
        <w:t>imidaprylu</w:t>
      </w:r>
      <w:r w:rsidRPr="00105A25">
        <w:rPr>
          <w:sz w:val="22"/>
          <w:szCs w:val="22"/>
        </w:rPr>
        <w:t>.</w:t>
      </w:r>
    </w:p>
    <w:p w14:paraId="3B4052F4" w14:textId="77777777" w:rsidR="001D75B1" w:rsidRPr="00105A25" w:rsidRDefault="001D75B1" w:rsidP="001D75B1">
      <w:pPr>
        <w:rPr>
          <w:b/>
          <w:sz w:val="22"/>
          <w:szCs w:val="22"/>
        </w:rPr>
      </w:pPr>
    </w:p>
    <w:p w14:paraId="2DBB3EF9" w14:textId="77777777" w:rsidR="00D7495B" w:rsidRPr="00105A25" w:rsidRDefault="00D7495B" w:rsidP="001D75B1">
      <w:pPr>
        <w:rPr>
          <w:b/>
          <w:sz w:val="22"/>
          <w:szCs w:val="22"/>
        </w:rPr>
      </w:pPr>
      <w:r w:rsidRPr="00105A25">
        <w:rPr>
          <w:b/>
          <w:sz w:val="22"/>
          <w:szCs w:val="22"/>
        </w:rPr>
        <w:t>Leki sympatykomimetyczne:</w:t>
      </w:r>
      <w:r w:rsidR="002C370E" w:rsidRPr="00105A25">
        <w:rPr>
          <w:b/>
          <w:sz w:val="22"/>
          <w:szCs w:val="22"/>
        </w:rPr>
        <w:t xml:space="preserve"> </w:t>
      </w:r>
      <w:r w:rsidRPr="00105A25">
        <w:rPr>
          <w:b/>
          <w:sz w:val="22"/>
          <w:szCs w:val="22"/>
        </w:rPr>
        <w:t xml:space="preserve"> </w:t>
      </w:r>
    </w:p>
    <w:p w14:paraId="036B9241" w14:textId="77777777" w:rsidR="001D75B1" w:rsidRDefault="00D7495B" w:rsidP="001D75B1">
      <w:pPr>
        <w:rPr>
          <w:sz w:val="22"/>
          <w:szCs w:val="22"/>
        </w:rPr>
      </w:pPr>
      <w:r w:rsidRPr="00105A25">
        <w:rPr>
          <w:sz w:val="22"/>
          <w:szCs w:val="22"/>
        </w:rPr>
        <w:t>Mogą zmniejszać przeciwnadciśnieniowe działanie inhibitorów ACE; pacjenci powinni</w:t>
      </w:r>
      <w:r w:rsidR="002C370E" w:rsidRPr="00105A25">
        <w:rPr>
          <w:sz w:val="22"/>
          <w:szCs w:val="22"/>
        </w:rPr>
        <w:t xml:space="preserve"> </w:t>
      </w:r>
      <w:r w:rsidRPr="00105A25">
        <w:rPr>
          <w:sz w:val="22"/>
          <w:szCs w:val="22"/>
        </w:rPr>
        <w:t>być starannie monitorowani</w:t>
      </w:r>
      <w:r w:rsidR="00D0628D" w:rsidRPr="00105A25">
        <w:rPr>
          <w:sz w:val="22"/>
          <w:szCs w:val="22"/>
        </w:rPr>
        <w:t>,</w:t>
      </w:r>
      <w:r w:rsidRPr="00105A25">
        <w:rPr>
          <w:sz w:val="22"/>
          <w:szCs w:val="22"/>
        </w:rPr>
        <w:t xml:space="preserve"> aby potwierdzić, że osiągane jest wymagane działanie </w:t>
      </w:r>
      <w:r w:rsidR="00280FD3" w:rsidRPr="00105A25">
        <w:rPr>
          <w:sz w:val="22"/>
          <w:szCs w:val="22"/>
        </w:rPr>
        <w:t>imidaprylu</w:t>
      </w:r>
      <w:r w:rsidRPr="00105A25">
        <w:rPr>
          <w:sz w:val="22"/>
          <w:szCs w:val="22"/>
        </w:rPr>
        <w:t>.</w:t>
      </w:r>
    </w:p>
    <w:p w14:paraId="50D67924" w14:textId="77777777" w:rsidR="008A1B07" w:rsidRPr="00105A25" w:rsidRDefault="008A1B07" w:rsidP="001D75B1">
      <w:pPr>
        <w:rPr>
          <w:b/>
          <w:sz w:val="22"/>
          <w:szCs w:val="22"/>
        </w:rPr>
      </w:pPr>
    </w:p>
    <w:p w14:paraId="4EF23664" w14:textId="77777777" w:rsidR="00D7495B" w:rsidRPr="00105A25" w:rsidRDefault="00D7495B" w:rsidP="001D75B1">
      <w:pPr>
        <w:rPr>
          <w:sz w:val="22"/>
          <w:szCs w:val="22"/>
        </w:rPr>
      </w:pPr>
      <w:r w:rsidRPr="00105A25">
        <w:rPr>
          <w:b/>
          <w:sz w:val="22"/>
          <w:szCs w:val="22"/>
        </w:rPr>
        <w:t>Alkohol:</w:t>
      </w:r>
      <w:r w:rsidR="002C370E" w:rsidRPr="00105A25">
        <w:rPr>
          <w:b/>
          <w:sz w:val="22"/>
          <w:szCs w:val="22"/>
        </w:rPr>
        <w:t xml:space="preserve"> </w:t>
      </w:r>
      <w:r w:rsidRPr="00105A25">
        <w:rPr>
          <w:sz w:val="22"/>
          <w:szCs w:val="22"/>
        </w:rPr>
        <w:t xml:space="preserve"> </w:t>
      </w:r>
    </w:p>
    <w:p w14:paraId="3D1D6BC7" w14:textId="77777777" w:rsidR="00D7495B" w:rsidRPr="00105A25" w:rsidRDefault="00D7495B" w:rsidP="001D75B1">
      <w:pPr>
        <w:rPr>
          <w:sz w:val="22"/>
          <w:szCs w:val="22"/>
        </w:rPr>
      </w:pPr>
      <w:r w:rsidRPr="00105A25">
        <w:rPr>
          <w:sz w:val="22"/>
          <w:szCs w:val="22"/>
        </w:rPr>
        <w:t>Może nasilać działanie przeciwnadciśnieniowe inhibitorów ACE.</w:t>
      </w:r>
    </w:p>
    <w:p w14:paraId="2CBC75C7" w14:textId="77777777" w:rsidR="00D11D86" w:rsidRPr="00105A25" w:rsidRDefault="00D11D86" w:rsidP="001D75B1">
      <w:pPr>
        <w:rPr>
          <w:b/>
          <w:sz w:val="22"/>
          <w:szCs w:val="22"/>
        </w:rPr>
      </w:pPr>
    </w:p>
    <w:p w14:paraId="54FF2DE1" w14:textId="77777777" w:rsidR="00D7495B" w:rsidRPr="00105A25" w:rsidRDefault="004D3A93" w:rsidP="001D75B1">
      <w:pPr>
        <w:outlineLvl w:val="0"/>
        <w:rPr>
          <w:b/>
          <w:sz w:val="22"/>
          <w:szCs w:val="22"/>
        </w:rPr>
      </w:pPr>
      <w:r w:rsidRPr="00105A25">
        <w:rPr>
          <w:b/>
          <w:sz w:val="22"/>
          <w:szCs w:val="22"/>
        </w:rPr>
        <w:t xml:space="preserve">4.6 </w:t>
      </w:r>
      <w:r w:rsidR="001D75B1" w:rsidRPr="00105A25">
        <w:rPr>
          <w:b/>
          <w:sz w:val="22"/>
          <w:szCs w:val="22"/>
        </w:rPr>
        <w:tab/>
      </w:r>
      <w:r w:rsidR="00CC2206" w:rsidRPr="00105A25">
        <w:rPr>
          <w:b/>
          <w:sz w:val="22"/>
          <w:szCs w:val="22"/>
        </w:rPr>
        <w:t>Wpływ na płodność, c</w:t>
      </w:r>
      <w:r w:rsidRPr="00105A25">
        <w:rPr>
          <w:b/>
          <w:sz w:val="22"/>
          <w:szCs w:val="22"/>
        </w:rPr>
        <w:t>iąż</w:t>
      </w:r>
      <w:r w:rsidR="00CC2206" w:rsidRPr="00105A25">
        <w:rPr>
          <w:b/>
          <w:sz w:val="22"/>
          <w:szCs w:val="22"/>
        </w:rPr>
        <w:t>ę</w:t>
      </w:r>
      <w:r w:rsidRPr="00105A25">
        <w:rPr>
          <w:b/>
          <w:sz w:val="22"/>
          <w:szCs w:val="22"/>
        </w:rPr>
        <w:t xml:space="preserve"> i</w:t>
      </w:r>
      <w:r w:rsidR="00D7495B" w:rsidRPr="00105A25">
        <w:rPr>
          <w:b/>
          <w:sz w:val="22"/>
          <w:szCs w:val="22"/>
        </w:rPr>
        <w:t xml:space="preserve"> laktacj</w:t>
      </w:r>
      <w:r w:rsidR="00CC2206" w:rsidRPr="00105A25">
        <w:rPr>
          <w:b/>
          <w:sz w:val="22"/>
          <w:szCs w:val="22"/>
        </w:rPr>
        <w:t>ę</w:t>
      </w:r>
    </w:p>
    <w:p w14:paraId="5C9001BB" w14:textId="77777777" w:rsidR="001D75B1" w:rsidRPr="00105A25" w:rsidRDefault="001D75B1" w:rsidP="001D75B1">
      <w:pPr>
        <w:outlineLvl w:val="0"/>
        <w:rPr>
          <w:b/>
          <w:sz w:val="22"/>
          <w:szCs w:val="22"/>
        </w:rPr>
      </w:pPr>
    </w:p>
    <w:p w14:paraId="1B9F397A" w14:textId="77777777" w:rsidR="00D0628D" w:rsidRPr="00105A25" w:rsidRDefault="00CC2206" w:rsidP="001D75B1">
      <w:pPr>
        <w:outlineLvl w:val="0"/>
        <w:rPr>
          <w:b/>
          <w:sz w:val="22"/>
          <w:szCs w:val="22"/>
        </w:rPr>
      </w:pPr>
      <w:r w:rsidRPr="00105A25">
        <w:rPr>
          <w:noProof/>
          <w:sz w:val="22"/>
          <w:szCs w:val="22"/>
          <w:u w:val="single"/>
        </w:rPr>
        <w:t>Ciąża</w:t>
      </w:r>
      <w:r w:rsidRPr="00105A25">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65CE7" w:rsidRPr="00105A25" w14:paraId="57593F25" w14:textId="77777777" w:rsidTr="009F5F27">
        <w:tc>
          <w:tcPr>
            <w:tcW w:w="9210" w:type="dxa"/>
            <w:shd w:val="clear" w:color="auto" w:fill="auto"/>
          </w:tcPr>
          <w:p w14:paraId="466CCF4B" w14:textId="32D52BA0" w:rsidR="00765CE7" w:rsidRPr="00105A25" w:rsidRDefault="00C4460E" w:rsidP="009F5F27">
            <w:pPr>
              <w:outlineLvl w:val="0"/>
              <w:rPr>
                <w:b/>
                <w:sz w:val="22"/>
                <w:szCs w:val="22"/>
              </w:rPr>
            </w:pPr>
            <w:r w:rsidRPr="00105A25">
              <w:rPr>
                <w:sz w:val="22"/>
                <w:szCs w:val="22"/>
              </w:rPr>
              <w:t>Stosowanie inhibitorów ACE jest przeciwwskazane podczas drugiego i trzeciego trymestru ciąży (patrz punkty 4.3 i 4.4).</w:t>
            </w:r>
            <w:r>
              <w:rPr>
                <w:sz w:val="22"/>
                <w:szCs w:val="22"/>
              </w:rPr>
              <w:t xml:space="preserve"> </w:t>
            </w:r>
            <w:r w:rsidR="00765CE7" w:rsidRPr="00105A25">
              <w:rPr>
                <w:sz w:val="22"/>
                <w:szCs w:val="22"/>
              </w:rPr>
              <w:t xml:space="preserve">Stosowanie inhibitorów ACE nie jest zalecane podczas pierwszego trymestru ciąży (patrz punkt 4.4). </w:t>
            </w:r>
          </w:p>
        </w:tc>
      </w:tr>
    </w:tbl>
    <w:p w14:paraId="15D8528C" w14:textId="77777777" w:rsidR="00765CE7" w:rsidRPr="00105A25" w:rsidRDefault="00765CE7" w:rsidP="001D75B1">
      <w:pPr>
        <w:outlineLvl w:val="0"/>
        <w:rPr>
          <w:b/>
          <w:sz w:val="22"/>
          <w:szCs w:val="22"/>
        </w:rPr>
      </w:pPr>
    </w:p>
    <w:p w14:paraId="26E3921D" w14:textId="77777777" w:rsidR="00765CE7" w:rsidRPr="00105A25" w:rsidRDefault="00765CE7" w:rsidP="00765CE7">
      <w:pPr>
        <w:autoSpaceDE w:val="0"/>
        <w:autoSpaceDN w:val="0"/>
        <w:adjustRightInd w:val="0"/>
        <w:rPr>
          <w:sz w:val="22"/>
          <w:szCs w:val="22"/>
        </w:rPr>
      </w:pPr>
      <w:r w:rsidRPr="00105A25">
        <w:rPr>
          <w:sz w:val="22"/>
          <w:szCs w:val="22"/>
        </w:rPr>
        <w:t xml:space="preserve">Dane epidemiologiczne dotyczące ryzyka wpływu teratogennego po zastosowaniu inhibitorów ACE podczas pierwszego trymestru ciąży nie są rozstrzygające; jednak nie można wykluczyć nieznacznego zwiększenia ryzyka. U pacjentek planujących zajście w ciążę należy zmienić terapię na alternatywne metody leczenia przeciwnadciśnieniowego, dla których ustalony jest profil bezpieczeństwa stosowania w czasie ciąży, chyba, że dalsze leczenie </w:t>
      </w:r>
      <w:r w:rsidR="002A67AC">
        <w:rPr>
          <w:sz w:val="22"/>
          <w:szCs w:val="22"/>
        </w:rPr>
        <w:t xml:space="preserve">inhibitorem konwertazy </w:t>
      </w:r>
      <w:r w:rsidRPr="00105A25">
        <w:rPr>
          <w:sz w:val="22"/>
          <w:szCs w:val="22"/>
        </w:rPr>
        <w:t>angiotensyny uważane jest za niezbędne. W przypadku rozpoznania ciąży należy natychmiast przerwać stosowanie inhibitora ACE, oraz, jeśli to właściwe, rozpocząć alternatywne leczenie.</w:t>
      </w:r>
    </w:p>
    <w:p w14:paraId="0369206E" w14:textId="77777777" w:rsidR="00765CE7" w:rsidRPr="00105A25" w:rsidRDefault="00765CE7" w:rsidP="00765CE7">
      <w:pPr>
        <w:autoSpaceDE w:val="0"/>
        <w:autoSpaceDN w:val="0"/>
        <w:adjustRightInd w:val="0"/>
        <w:rPr>
          <w:sz w:val="22"/>
          <w:szCs w:val="22"/>
        </w:rPr>
      </w:pPr>
    </w:p>
    <w:p w14:paraId="730DD0C8" w14:textId="77777777" w:rsidR="00765CE7" w:rsidRPr="00105A25" w:rsidRDefault="00765CE7" w:rsidP="00765CE7">
      <w:pPr>
        <w:autoSpaceDE w:val="0"/>
        <w:autoSpaceDN w:val="0"/>
        <w:adjustRightInd w:val="0"/>
        <w:rPr>
          <w:sz w:val="22"/>
          <w:szCs w:val="22"/>
        </w:rPr>
      </w:pPr>
      <w:r w:rsidRPr="00105A25">
        <w:rPr>
          <w:sz w:val="22"/>
          <w:szCs w:val="22"/>
        </w:rPr>
        <w:t>Ekspozycja na leczenie inhibitorem ACE podczas drugiego i trzeciego trymestru ciąży powoduje u</w:t>
      </w:r>
      <w:r w:rsidR="00105A25">
        <w:rPr>
          <w:sz w:val="22"/>
          <w:szCs w:val="22"/>
        </w:rPr>
        <w:t> </w:t>
      </w:r>
      <w:r w:rsidRPr="00105A25">
        <w:rPr>
          <w:sz w:val="22"/>
          <w:szCs w:val="22"/>
        </w:rPr>
        <w:t xml:space="preserve">człowieka wystąpienie toksyczności dla płodu (zmniejszenie czynności nerek, małowodzie, opóźnienie kostnienia czaszki) oraz toksyczności u noworodków (niewydolność nerek, niedociśnienie, hiperkaliemia) (patrz też punkt 5.3). </w:t>
      </w:r>
    </w:p>
    <w:p w14:paraId="740F8B07" w14:textId="77777777" w:rsidR="00D0628D" w:rsidRPr="00105A25" w:rsidRDefault="00D0628D" w:rsidP="00765CE7">
      <w:pPr>
        <w:autoSpaceDE w:val="0"/>
        <w:autoSpaceDN w:val="0"/>
        <w:adjustRightInd w:val="0"/>
        <w:rPr>
          <w:sz w:val="22"/>
          <w:szCs w:val="22"/>
        </w:rPr>
      </w:pPr>
    </w:p>
    <w:p w14:paraId="13558DD9" w14:textId="77777777" w:rsidR="00765CE7" w:rsidRPr="00105A25" w:rsidRDefault="00765CE7" w:rsidP="00765CE7">
      <w:pPr>
        <w:autoSpaceDE w:val="0"/>
        <w:autoSpaceDN w:val="0"/>
        <w:adjustRightInd w:val="0"/>
        <w:rPr>
          <w:sz w:val="22"/>
          <w:szCs w:val="22"/>
        </w:rPr>
      </w:pPr>
      <w:r w:rsidRPr="00105A25">
        <w:rPr>
          <w:sz w:val="22"/>
          <w:szCs w:val="22"/>
        </w:rPr>
        <w:t>W przypadku wystąpienia ekspozycji na inhibitor ACE od drugiego trymestru ciąży, zalecana jest ultradźwiękowa kontrola czynności nerek oraz czaszki. Niemowlęta, których matki stosowały inhibitor ACE należy ściśle obserwować w celu sprawdzenia czy nie wystąpiło niedociśnienie (patrz też punkty 4.3 i 4.4).</w:t>
      </w:r>
    </w:p>
    <w:p w14:paraId="542F6C83" w14:textId="77777777" w:rsidR="001D75B1" w:rsidRPr="00105A25" w:rsidRDefault="001D75B1" w:rsidP="001D75B1">
      <w:pPr>
        <w:outlineLvl w:val="0"/>
        <w:rPr>
          <w:b/>
          <w:sz w:val="22"/>
          <w:szCs w:val="22"/>
        </w:rPr>
      </w:pPr>
    </w:p>
    <w:p w14:paraId="3A62BDA6" w14:textId="77777777" w:rsidR="00D7495B" w:rsidRPr="00105A25" w:rsidRDefault="00CC2206" w:rsidP="001D75B1">
      <w:pPr>
        <w:outlineLvl w:val="0"/>
        <w:rPr>
          <w:b/>
          <w:sz w:val="22"/>
          <w:szCs w:val="22"/>
        </w:rPr>
      </w:pPr>
      <w:r w:rsidRPr="00105A25">
        <w:rPr>
          <w:noProof/>
          <w:sz w:val="22"/>
          <w:szCs w:val="22"/>
          <w:u w:val="single"/>
        </w:rPr>
        <w:t>Karmienie piersią</w:t>
      </w:r>
      <w:r w:rsidRPr="00105A25">
        <w:rPr>
          <w:b/>
          <w:sz w:val="22"/>
          <w:szCs w:val="22"/>
        </w:rPr>
        <w:t xml:space="preserve"> </w:t>
      </w:r>
    </w:p>
    <w:p w14:paraId="79125DE5" w14:textId="3233F8A9" w:rsidR="00765CE7" w:rsidRPr="00105A25" w:rsidRDefault="00F30337" w:rsidP="00765CE7">
      <w:pPr>
        <w:autoSpaceDE w:val="0"/>
        <w:autoSpaceDN w:val="0"/>
        <w:adjustRightInd w:val="0"/>
        <w:rPr>
          <w:sz w:val="22"/>
          <w:szCs w:val="22"/>
        </w:rPr>
      </w:pPr>
      <w:bookmarkStart w:id="1" w:name="_Hlk115085607"/>
      <w:r w:rsidRPr="00F30337">
        <w:rPr>
          <w:sz w:val="22"/>
          <w:szCs w:val="22"/>
        </w:rPr>
        <w:t>Stosowanie imidapr</w:t>
      </w:r>
      <w:r w:rsidR="007B7419">
        <w:rPr>
          <w:sz w:val="22"/>
          <w:szCs w:val="22"/>
        </w:rPr>
        <w:t>y</w:t>
      </w:r>
      <w:r w:rsidRPr="00F30337">
        <w:rPr>
          <w:sz w:val="22"/>
          <w:szCs w:val="22"/>
        </w:rPr>
        <w:t xml:space="preserve">lu w czasie karmienia piersią jest przeciwwskazane. </w:t>
      </w:r>
      <w:bookmarkEnd w:id="1"/>
      <w:r w:rsidR="00765CE7" w:rsidRPr="00105A25">
        <w:rPr>
          <w:sz w:val="22"/>
          <w:szCs w:val="22"/>
        </w:rPr>
        <w:t xml:space="preserve"> </w:t>
      </w:r>
      <w:r w:rsidR="00F33D99">
        <w:rPr>
          <w:sz w:val="22"/>
          <w:szCs w:val="22"/>
        </w:rPr>
        <w:t>Należy</w:t>
      </w:r>
      <w:r w:rsidR="00765CE7" w:rsidRPr="00105A25">
        <w:rPr>
          <w:sz w:val="22"/>
          <w:szCs w:val="22"/>
        </w:rPr>
        <w:t xml:space="preserve"> zastosowa</w:t>
      </w:r>
      <w:r w:rsidR="00F33D99">
        <w:rPr>
          <w:sz w:val="22"/>
          <w:szCs w:val="22"/>
        </w:rPr>
        <w:t>ć</w:t>
      </w:r>
      <w:r w:rsidR="00765CE7" w:rsidRPr="00105A25">
        <w:rPr>
          <w:sz w:val="22"/>
          <w:szCs w:val="22"/>
        </w:rPr>
        <w:t xml:space="preserve"> alternatywn</w:t>
      </w:r>
      <w:r w:rsidR="00F33D99">
        <w:rPr>
          <w:sz w:val="22"/>
          <w:szCs w:val="22"/>
        </w:rPr>
        <w:t>e</w:t>
      </w:r>
      <w:r w:rsidR="00765CE7" w:rsidRPr="00105A25">
        <w:rPr>
          <w:sz w:val="22"/>
          <w:szCs w:val="22"/>
        </w:rPr>
        <w:t xml:space="preserve"> metod</w:t>
      </w:r>
      <w:r w:rsidR="00F33D99">
        <w:rPr>
          <w:sz w:val="22"/>
          <w:szCs w:val="22"/>
        </w:rPr>
        <w:t>y</w:t>
      </w:r>
      <w:r w:rsidR="00765CE7" w:rsidRPr="00105A25">
        <w:rPr>
          <w:sz w:val="22"/>
          <w:szCs w:val="22"/>
        </w:rPr>
        <w:t xml:space="preserve"> leczenia przeciwnadciśnieniowego, dla których ustalony jest lepszy profil bezpieczeństwa w okresie karmienia piersią, szczególnie w przypadku karmienia piersią noworodków lub wcześniaków.</w:t>
      </w:r>
    </w:p>
    <w:p w14:paraId="50A91D2A" w14:textId="77777777" w:rsidR="00457A86" w:rsidRPr="00105A25" w:rsidRDefault="00457A86" w:rsidP="001D75B1">
      <w:pPr>
        <w:rPr>
          <w:sz w:val="22"/>
          <w:szCs w:val="22"/>
        </w:rPr>
      </w:pPr>
    </w:p>
    <w:p w14:paraId="02D0C195" w14:textId="77777777" w:rsidR="00D7495B" w:rsidRPr="00105A25" w:rsidRDefault="00D7495B" w:rsidP="001D75B1">
      <w:pPr>
        <w:ind w:left="567" w:hanging="567"/>
        <w:outlineLvl w:val="0"/>
        <w:rPr>
          <w:b/>
          <w:sz w:val="22"/>
          <w:szCs w:val="22"/>
        </w:rPr>
      </w:pPr>
      <w:r w:rsidRPr="00105A25">
        <w:rPr>
          <w:b/>
          <w:sz w:val="22"/>
          <w:szCs w:val="22"/>
        </w:rPr>
        <w:t xml:space="preserve">4.7 </w:t>
      </w:r>
      <w:r w:rsidR="001D75B1" w:rsidRPr="00105A25">
        <w:rPr>
          <w:b/>
          <w:sz w:val="22"/>
          <w:szCs w:val="22"/>
        </w:rPr>
        <w:tab/>
      </w:r>
      <w:r w:rsidRPr="00105A25">
        <w:rPr>
          <w:b/>
          <w:sz w:val="22"/>
          <w:szCs w:val="22"/>
        </w:rPr>
        <w:t>Wpływ na zdolność prowadzenia pojazdów i obsługiwania</w:t>
      </w:r>
      <w:r w:rsidR="001D75B1" w:rsidRPr="00105A25">
        <w:rPr>
          <w:b/>
          <w:sz w:val="22"/>
          <w:szCs w:val="22"/>
        </w:rPr>
        <w:t xml:space="preserve"> </w:t>
      </w:r>
      <w:r w:rsidR="00CC2B88" w:rsidRPr="00105A25">
        <w:rPr>
          <w:b/>
          <w:sz w:val="22"/>
          <w:szCs w:val="22"/>
        </w:rPr>
        <w:t>maszyn</w:t>
      </w:r>
    </w:p>
    <w:p w14:paraId="1D9F2522" w14:textId="77777777" w:rsidR="001D75B1" w:rsidRPr="00105A25" w:rsidRDefault="001D75B1" w:rsidP="001D75B1">
      <w:pPr>
        <w:rPr>
          <w:sz w:val="22"/>
          <w:szCs w:val="22"/>
        </w:rPr>
      </w:pPr>
    </w:p>
    <w:p w14:paraId="7D603F13" w14:textId="77777777" w:rsidR="00D7495B" w:rsidRPr="00105A25" w:rsidRDefault="00D7495B" w:rsidP="001D75B1">
      <w:pPr>
        <w:rPr>
          <w:sz w:val="22"/>
          <w:szCs w:val="22"/>
        </w:rPr>
      </w:pPr>
      <w:r w:rsidRPr="00105A25">
        <w:rPr>
          <w:sz w:val="22"/>
          <w:szCs w:val="22"/>
        </w:rPr>
        <w:t xml:space="preserve">Przy prowadzeniu pojazdów i obsługiwaniu maszyn należy brać pod uwagę, że podczas leczenia </w:t>
      </w:r>
      <w:r w:rsidR="00280FD3" w:rsidRPr="00105A25">
        <w:rPr>
          <w:sz w:val="22"/>
          <w:szCs w:val="22"/>
        </w:rPr>
        <w:t>imidapryl</w:t>
      </w:r>
      <w:r w:rsidRPr="00105A25">
        <w:rPr>
          <w:sz w:val="22"/>
          <w:szCs w:val="22"/>
        </w:rPr>
        <w:t xml:space="preserve">em mogą </w:t>
      </w:r>
      <w:r w:rsidR="002C1787" w:rsidRPr="00105A25">
        <w:rPr>
          <w:sz w:val="22"/>
          <w:szCs w:val="22"/>
        </w:rPr>
        <w:t xml:space="preserve">niekiedy </w:t>
      </w:r>
      <w:r w:rsidRPr="00105A25">
        <w:rPr>
          <w:sz w:val="22"/>
          <w:szCs w:val="22"/>
        </w:rPr>
        <w:t>wystąpić zawroty głowy lub uczucie nadmiernego zmęczenia (patrz punkt 4.8).</w:t>
      </w:r>
    </w:p>
    <w:p w14:paraId="7060B5CF" w14:textId="77777777" w:rsidR="001D75B1" w:rsidRPr="00105A25" w:rsidRDefault="001D75B1" w:rsidP="001D75B1">
      <w:pPr>
        <w:rPr>
          <w:sz w:val="22"/>
          <w:szCs w:val="22"/>
        </w:rPr>
      </w:pPr>
    </w:p>
    <w:p w14:paraId="492BB46B" w14:textId="77777777" w:rsidR="00D7495B" w:rsidRPr="00105A25" w:rsidRDefault="00D7495B" w:rsidP="001D75B1">
      <w:pPr>
        <w:rPr>
          <w:sz w:val="22"/>
          <w:szCs w:val="22"/>
        </w:rPr>
      </w:pPr>
      <w:r w:rsidRPr="00105A25">
        <w:rPr>
          <w:sz w:val="22"/>
          <w:szCs w:val="22"/>
        </w:rPr>
        <w:t xml:space="preserve">Nie przeprowadzono badań nad wpływem </w:t>
      </w:r>
      <w:r w:rsidR="00280FD3" w:rsidRPr="00105A25">
        <w:rPr>
          <w:sz w:val="22"/>
          <w:szCs w:val="22"/>
        </w:rPr>
        <w:t>imidaprylu</w:t>
      </w:r>
      <w:r w:rsidRPr="00105A25">
        <w:rPr>
          <w:sz w:val="22"/>
          <w:szCs w:val="22"/>
        </w:rPr>
        <w:t xml:space="preserve"> na zdolność prowadzenia pojazdów mechanicznych.</w:t>
      </w:r>
    </w:p>
    <w:p w14:paraId="2CB54E34" w14:textId="77777777" w:rsidR="00D11D86" w:rsidRPr="00105A25" w:rsidRDefault="00D11D86" w:rsidP="001D75B1">
      <w:pPr>
        <w:rPr>
          <w:b/>
          <w:sz w:val="22"/>
          <w:szCs w:val="22"/>
        </w:rPr>
      </w:pPr>
    </w:p>
    <w:p w14:paraId="4285F8DB" w14:textId="77777777" w:rsidR="00D7495B" w:rsidRPr="00105A25" w:rsidRDefault="00D7495B" w:rsidP="001D75B1">
      <w:pPr>
        <w:outlineLvl w:val="0"/>
        <w:rPr>
          <w:b/>
          <w:sz w:val="22"/>
          <w:szCs w:val="22"/>
        </w:rPr>
      </w:pPr>
      <w:r w:rsidRPr="00105A25">
        <w:rPr>
          <w:b/>
          <w:sz w:val="22"/>
          <w:szCs w:val="22"/>
        </w:rPr>
        <w:t xml:space="preserve">4.8 </w:t>
      </w:r>
      <w:r w:rsidR="001D75B1" w:rsidRPr="00105A25">
        <w:rPr>
          <w:b/>
          <w:sz w:val="22"/>
          <w:szCs w:val="22"/>
        </w:rPr>
        <w:tab/>
      </w:r>
      <w:r w:rsidRPr="00105A25">
        <w:rPr>
          <w:b/>
          <w:sz w:val="22"/>
          <w:szCs w:val="22"/>
        </w:rPr>
        <w:t>Działania niepożądane</w:t>
      </w:r>
    </w:p>
    <w:p w14:paraId="28A8CCD7" w14:textId="77777777" w:rsidR="001D75B1" w:rsidRPr="00105A25" w:rsidRDefault="001D75B1" w:rsidP="001D75B1">
      <w:pPr>
        <w:rPr>
          <w:sz w:val="22"/>
          <w:szCs w:val="22"/>
        </w:rPr>
      </w:pPr>
    </w:p>
    <w:p w14:paraId="6EC7216E" w14:textId="77777777" w:rsidR="00D7495B" w:rsidRPr="00105A25" w:rsidRDefault="002C1787" w:rsidP="001D75B1">
      <w:pPr>
        <w:rPr>
          <w:sz w:val="22"/>
          <w:szCs w:val="22"/>
        </w:rPr>
      </w:pPr>
      <w:r w:rsidRPr="00105A25">
        <w:rPr>
          <w:sz w:val="22"/>
          <w:szCs w:val="22"/>
        </w:rPr>
        <w:t xml:space="preserve">Działania niepożądane występowały </w:t>
      </w:r>
      <w:r w:rsidR="00D7495B" w:rsidRPr="00105A25">
        <w:rPr>
          <w:sz w:val="22"/>
          <w:szCs w:val="22"/>
        </w:rPr>
        <w:t xml:space="preserve">u </w:t>
      </w:r>
      <w:r w:rsidRPr="00105A25">
        <w:rPr>
          <w:sz w:val="22"/>
          <w:szCs w:val="22"/>
        </w:rPr>
        <w:t xml:space="preserve">34% </w:t>
      </w:r>
      <w:r w:rsidR="00D7495B" w:rsidRPr="00105A25">
        <w:rPr>
          <w:sz w:val="22"/>
          <w:szCs w:val="22"/>
        </w:rPr>
        <w:t xml:space="preserve">chorych z nadciśnieniem leczonych </w:t>
      </w:r>
      <w:r w:rsidR="00280FD3" w:rsidRPr="00105A25">
        <w:rPr>
          <w:sz w:val="22"/>
          <w:szCs w:val="22"/>
        </w:rPr>
        <w:t>imidapryl</w:t>
      </w:r>
      <w:r w:rsidR="00D7495B" w:rsidRPr="00105A25">
        <w:rPr>
          <w:sz w:val="22"/>
          <w:szCs w:val="22"/>
        </w:rPr>
        <w:t>em</w:t>
      </w:r>
      <w:r w:rsidRPr="00105A25">
        <w:rPr>
          <w:sz w:val="22"/>
          <w:szCs w:val="22"/>
        </w:rPr>
        <w:t>,</w:t>
      </w:r>
      <w:r w:rsidR="00D7495B" w:rsidRPr="00105A25">
        <w:rPr>
          <w:sz w:val="22"/>
          <w:szCs w:val="22"/>
        </w:rPr>
        <w:t xml:space="preserve"> wobec 36% leczonych</w:t>
      </w:r>
      <w:r w:rsidR="002C370E" w:rsidRPr="00105A25">
        <w:rPr>
          <w:sz w:val="22"/>
          <w:szCs w:val="22"/>
        </w:rPr>
        <w:t xml:space="preserve"> </w:t>
      </w:r>
      <w:r w:rsidR="00D7495B" w:rsidRPr="00105A25">
        <w:rPr>
          <w:sz w:val="22"/>
          <w:szCs w:val="22"/>
        </w:rPr>
        <w:t xml:space="preserve">placebo. W grupie leczonych </w:t>
      </w:r>
      <w:r w:rsidR="00280FD3" w:rsidRPr="00105A25">
        <w:rPr>
          <w:sz w:val="22"/>
          <w:szCs w:val="22"/>
        </w:rPr>
        <w:t>imidapryl</w:t>
      </w:r>
      <w:r w:rsidR="00D7495B" w:rsidRPr="00105A25">
        <w:rPr>
          <w:sz w:val="22"/>
          <w:szCs w:val="22"/>
        </w:rPr>
        <w:t>em częściej występował kaszel, zawroty głowy, uczucie nadmiernego zmęczenia/senność, niestrawność i wymioty.</w:t>
      </w:r>
    </w:p>
    <w:p w14:paraId="685A642E" w14:textId="77777777" w:rsidR="001D75B1" w:rsidRPr="00105A25" w:rsidRDefault="001D75B1" w:rsidP="001D75B1">
      <w:pPr>
        <w:rPr>
          <w:sz w:val="22"/>
          <w:szCs w:val="22"/>
        </w:rPr>
      </w:pPr>
    </w:p>
    <w:p w14:paraId="6EC23637" w14:textId="0ED731FB" w:rsidR="00994447" w:rsidRPr="00105A25" w:rsidRDefault="00994447" w:rsidP="00994447">
      <w:pPr>
        <w:tabs>
          <w:tab w:val="left" w:pos="567"/>
        </w:tabs>
        <w:rPr>
          <w:sz w:val="22"/>
          <w:szCs w:val="22"/>
        </w:rPr>
      </w:pPr>
      <w:r w:rsidRPr="00105A25">
        <w:rPr>
          <w:sz w:val="22"/>
          <w:szCs w:val="22"/>
        </w:rPr>
        <w:t xml:space="preserve">Działania niepożądane obserwowane i zgłaszane podczas stosowania imidaprylu w trakcie badań przed dopuszczeniem produktu leczniczego do obrotu </w:t>
      </w:r>
      <w:r w:rsidR="00E324A4" w:rsidRPr="00105A25">
        <w:rPr>
          <w:sz w:val="22"/>
          <w:szCs w:val="22"/>
        </w:rPr>
        <w:t xml:space="preserve">oraz po wprowadzeniu produktu leczniczego do obrotu </w:t>
      </w:r>
      <w:r w:rsidRPr="00105A25">
        <w:rPr>
          <w:sz w:val="22"/>
          <w:szCs w:val="22"/>
        </w:rPr>
        <w:t>przedstawiono poniżej</w:t>
      </w:r>
      <w:r w:rsidR="00E324A4" w:rsidRPr="00105A25">
        <w:rPr>
          <w:sz w:val="22"/>
          <w:szCs w:val="22"/>
        </w:rPr>
        <w:t>,</w:t>
      </w:r>
      <w:r w:rsidRPr="00105A25">
        <w:rPr>
          <w:sz w:val="22"/>
          <w:szCs w:val="22"/>
        </w:rPr>
        <w:t xml:space="preserve"> zgodnie z następującą częstością występowania: </w:t>
      </w:r>
      <w:r w:rsidR="005241D1">
        <w:rPr>
          <w:sz w:val="22"/>
          <w:szCs w:val="22"/>
        </w:rPr>
        <w:t>b</w:t>
      </w:r>
      <w:r w:rsidRPr="00105A25">
        <w:rPr>
          <w:sz w:val="22"/>
          <w:szCs w:val="22"/>
        </w:rPr>
        <w:t xml:space="preserve">ardzo często (≥1/10), często (≥1/100 do &lt; 1/10), niezbyt często (≥1/1 000 do &lt; 1/100), rzadko (≥1/10 000 do &lt; 1/1 000), bardzo rzadko (&lt; 1/10 000), nieznana (częstość nie może być określona na podstawie dostępnych danych). </w:t>
      </w:r>
    </w:p>
    <w:p w14:paraId="2BA6BF56" w14:textId="77777777" w:rsidR="001D75B1" w:rsidRPr="00105A25" w:rsidRDefault="001D75B1" w:rsidP="001D75B1">
      <w:pPr>
        <w:rPr>
          <w:sz w:val="22"/>
          <w:szCs w:val="22"/>
        </w:rPr>
      </w:pPr>
    </w:p>
    <w:p w14:paraId="37071AB0" w14:textId="77777777" w:rsidR="00994447" w:rsidRPr="00105A25" w:rsidRDefault="00994447" w:rsidP="001D75B1">
      <w:pPr>
        <w:rPr>
          <w:sz w:val="22"/>
          <w:szCs w:val="22"/>
        </w:rPr>
      </w:pPr>
      <w:r w:rsidRPr="00105A25">
        <w:rPr>
          <w:sz w:val="22"/>
          <w:szCs w:val="22"/>
        </w:rPr>
        <w:t>Tabelaryczne zestawienie działań niepożądanych</w:t>
      </w:r>
    </w:p>
    <w:p w14:paraId="2697A09D" w14:textId="77777777" w:rsidR="00994447" w:rsidRPr="00105A25" w:rsidRDefault="00994447" w:rsidP="001D75B1">
      <w:pPr>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3402"/>
      </w:tblGrid>
      <w:tr w:rsidR="00994447" w:rsidRPr="00105A25" w14:paraId="51074342" w14:textId="77777777" w:rsidTr="00115876">
        <w:tc>
          <w:tcPr>
            <w:tcW w:w="3510" w:type="dxa"/>
            <w:shd w:val="clear" w:color="auto" w:fill="auto"/>
          </w:tcPr>
          <w:p w14:paraId="21F9763D" w14:textId="18F6C2DA" w:rsidR="00994447" w:rsidRPr="00105A25" w:rsidRDefault="00994447" w:rsidP="001D75B1">
            <w:pPr>
              <w:rPr>
                <w:sz w:val="22"/>
                <w:szCs w:val="22"/>
              </w:rPr>
            </w:pPr>
            <w:r w:rsidRPr="00105A25">
              <w:rPr>
                <w:b/>
                <w:bCs/>
                <w:iCs/>
                <w:sz w:val="22"/>
                <w:szCs w:val="22"/>
              </w:rPr>
              <w:t>Klasyfikacja układ</w:t>
            </w:r>
            <w:r w:rsidR="00FF74CF">
              <w:rPr>
                <w:b/>
                <w:bCs/>
                <w:iCs/>
                <w:sz w:val="22"/>
                <w:szCs w:val="22"/>
              </w:rPr>
              <w:t xml:space="preserve">ów i </w:t>
            </w:r>
            <w:r w:rsidRPr="00105A25">
              <w:rPr>
                <w:b/>
                <w:bCs/>
                <w:iCs/>
                <w:sz w:val="22"/>
                <w:szCs w:val="22"/>
              </w:rPr>
              <w:t xml:space="preserve"> narząd</w:t>
            </w:r>
            <w:r w:rsidR="00FF74CF">
              <w:rPr>
                <w:b/>
                <w:bCs/>
                <w:iCs/>
                <w:sz w:val="22"/>
                <w:szCs w:val="22"/>
              </w:rPr>
              <w:t>ów</w:t>
            </w:r>
          </w:p>
        </w:tc>
        <w:tc>
          <w:tcPr>
            <w:tcW w:w="2410" w:type="dxa"/>
            <w:shd w:val="clear" w:color="auto" w:fill="auto"/>
          </w:tcPr>
          <w:p w14:paraId="7A39B568" w14:textId="77777777" w:rsidR="00994447" w:rsidRPr="00105A25" w:rsidRDefault="00994447" w:rsidP="001D75B1">
            <w:pPr>
              <w:rPr>
                <w:sz w:val="22"/>
                <w:szCs w:val="22"/>
              </w:rPr>
            </w:pPr>
            <w:r w:rsidRPr="00105A25">
              <w:rPr>
                <w:b/>
                <w:bCs/>
                <w:iCs/>
                <w:sz w:val="22"/>
                <w:szCs w:val="22"/>
              </w:rPr>
              <w:t>Częstość</w:t>
            </w:r>
          </w:p>
        </w:tc>
        <w:tc>
          <w:tcPr>
            <w:tcW w:w="3402" w:type="dxa"/>
            <w:shd w:val="clear" w:color="auto" w:fill="auto"/>
          </w:tcPr>
          <w:p w14:paraId="12F16047" w14:textId="77777777" w:rsidR="00994447" w:rsidRPr="00105A25" w:rsidRDefault="00994447" w:rsidP="001D75B1">
            <w:pPr>
              <w:rPr>
                <w:sz w:val="22"/>
                <w:szCs w:val="22"/>
              </w:rPr>
            </w:pPr>
            <w:r w:rsidRPr="00105A25">
              <w:rPr>
                <w:b/>
                <w:bCs/>
                <w:iCs/>
                <w:sz w:val="22"/>
                <w:szCs w:val="22"/>
              </w:rPr>
              <w:t>Działanie niepożądane</w:t>
            </w:r>
          </w:p>
        </w:tc>
      </w:tr>
      <w:tr w:rsidR="00C63F1F" w:rsidRPr="00105A25" w14:paraId="561BCC11" w14:textId="77777777" w:rsidTr="00115876">
        <w:tc>
          <w:tcPr>
            <w:tcW w:w="3510" w:type="dxa"/>
            <w:vMerge w:val="restart"/>
            <w:shd w:val="clear" w:color="auto" w:fill="auto"/>
          </w:tcPr>
          <w:p w14:paraId="1EAC0F0C" w14:textId="77777777" w:rsidR="00C63F1F" w:rsidRPr="00105A25" w:rsidRDefault="00C63F1F" w:rsidP="001D75B1">
            <w:pPr>
              <w:rPr>
                <w:sz w:val="22"/>
                <w:szCs w:val="22"/>
              </w:rPr>
            </w:pPr>
            <w:r w:rsidRPr="00105A25">
              <w:rPr>
                <w:noProof/>
                <w:sz w:val="22"/>
                <w:szCs w:val="22"/>
              </w:rPr>
              <w:t>Zaburzenia krwi i układu chłonnego</w:t>
            </w:r>
          </w:p>
        </w:tc>
        <w:tc>
          <w:tcPr>
            <w:tcW w:w="2410" w:type="dxa"/>
            <w:shd w:val="clear" w:color="auto" w:fill="auto"/>
          </w:tcPr>
          <w:p w14:paraId="49CA118E" w14:textId="77777777" w:rsidR="00C63F1F" w:rsidRPr="00105A25" w:rsidRDefault="00C63F1F" w:rsidP="00E324A4">
            <w:pPr>
              <w:rPr>
                <w:sz w:val="22"/>
                <w:szCs w:val="22"/>
              </w:rPr>
            </w:pPr>
            <w:r w:rsidRPr="00105A25">
              <w:rPr>
                <w:sz w:val="22"/>
                <w:szCs w:val="22"/>
              </w:rPr>
              <w:t xml:space="preserve">Rzadko </w:t>
            </w:r>
          </w:p>
        </w:tc>
        <w:tc>
          <w:tcPr>
            <w:tcW w:w="3402" w:type="dxa"/>
            <w:shd w:val="clear" w:color="auto" w:fill="auto"/>
          </w:tcPr>
          <w:p w14:paraId="68105863" w14:textId="77777777" w:rsidR="00C63F1F" w:rsidRPr="00105A25" w:rsidRDefault="00C63F1F" w:rsidP="001D75B1">
            <w:pPr>
              <w:rPr>
                <w:sz w:val="22"/>
                <w:szCs w:val="22"/>
              </w:rPr>
            </w:pPr>
            <w:r w:rsidRPr="00105A25">
              <w:rPr>
                <w:sz w:val="22"/>
                <w:szCs w:val="22"/>
              </w:rPr>
              <w:t>Leukopenia, niedokrwistość</w:t>
            </w:r>
          </w:p>
        </w:tc>
      </w:tr>
      <w:tr w:rsidR="00C63F1F" w:rsidRPr="00105A25" w14:paraId="46435E79" w14:textId="77777777" w:rsidTr="00115876">
        <w:tc>
          <w:tcPr>
            <w:tcW w:w="3510" w:type="dxa"/>
            <w:vMerge/>
            <w:shd w:val="clear" w:color="auto" w:fill="auto"/>
          </w:tcPr>
          <w:p w14:paraId="03709CEB" w14:textId="77777777" w:rsidR="00C63F1F" w:rsidRPr="00105A25" w:rsidRDefault="00C63F1F" w:rsidP="001D75B1">
            <w:pPr>
              <w:rPr>
                <w:sz w:val="22"/>
                <w:szCs w:val="22"/>
              </w:rPr>
            </w:pPr>
          </w:p>
        </w:tc>
        <w:tc>
          <w:tcPr>
            <w:tcW w:w="2410" w:type="dxa"/>
            <w:shd w:val="clear" w:color="auto" w:fill="auto"/>
          </w:tcPr>
          <w:p w14:paraId="124096B3" w14:textId="77777777" w:rsidR="00C63F1F" w:rsidRPr="00105A25" w:rsidRDefault="00C63F1F" w:rsidP="001D75B1">
            <w:pPr>
              <w:rPr>
                <w:sz w:val="22"/>
                <w:szCs w:val="22"/>
              </w:rPr>
            </w:pPr>
            <w:r w:rsidRPr="00105A25">
              <w:rPr>
                <w:sz w:val="22"/>
                <w:szCs w:val="22"/>
              </w:rPr>
              <w:t>Nieznana</w:t>
            </w:r>
          </w:p>
        </w:tc>
        <w:tc>
          <w:tcPr>
            <w:tcW w:w="3402" w:type="dxa"/>
            <w:shd w:val="clear" w:color="auto" w:fill="auto"/>
          </w:tcPr>
          <w:p w14:paraId="52E214C3" w14:textId="42EFCA86" w:rsidR="00C63F1F" w:rsidRPr="00105A25" w:rsidRDefault="00C63F1F" w:rsidP="00D72A16">
            <w:pPr>
              <w:rPr>
                <w:sz w:val="22"/>
                <w:szCs w:val="22"/>
              </w:rPr>
            </w:pPr>
            <w:r>
              <w:rPr>
                <w:sz w:val="22"/>
                <w:szCs w:val="22"/>
              </w:rPr>
              <w:t>Małopłytkowość</w:t>
            </w:r>
            <w:r w:rsidRPr="00105A25">
              <w:rPr>
                <w:sz w:val="22"/>
                <w:szCs w:val="22"/>
              </w:rPr>
              <w:t>, agranulocytoza,  niedokrwistość aplastyczna</w:t>
            </w:r>
          </w:p>
        </w:tc>
      </w:tr>
      <w:tr w:rsidR="007816FE" w:rsidRPr="00105A25" w14:paraId="43459321" w14:textId="77777777" w:rsidTr="00503508">
        <w:trPr>
          <w:trHeight w:val="769"/>
        </w:trPr>
        <w:tc>
          <w:tcPr>
            <w:tcW w:w="3510" w:type="dxa"/>
            <w:shd w:val="clear" w:color="auto" w:fill="auto"/>
          </w:tcPr>
          <w:p w14:paraId="218C156F" w14:textId="77777777" w:rsidR="007816FE" w:rsidRPr="00105A25" w:rsidRDefault="007816FE" w:rsidP="00422019">
            <w:pPr>
              <w:tabs>
                <w:tab w:val="left" w:pos="567"/>
              </w:tabs>
              <w:autoSpaceDE w:val="0"/>
              <w:autoSpaceDN w:val="0"/>
              <w:adjustRightInd w:val="0"/>
              <w:rPr>
                <w:iCs/>
                <w:sz w:val="22"/>
                <w:szCs w:val="22"/>
              </w:rPr>
            </w:pPr>
            <w:r w:rsidRPr="00105A25">
              <w:rPr>
                <w:iCs/>
                <w:sz w:val="22"/>
                <w:szCs w:val="22"/>
              </w:rPr>
              <w:t>Zaburzenia układu immunologicznego</w:t>
            </w:r>
          </w:p>
        </w:tc>
        <w:tc>
          <w:tcPr>
            <w:tcW w:w="2410" w:type="dxa"/>
            <w:shd w:val="clear" w:color="auto" w:fill="auto"/>
          </w:tcPr>
          <w:p w14:paraId="161F161F" w14:textId="77777777" w:rsidR="007816FE" w:rsidRPr="00105A25" w:rsidRDefault="007816FE" w:rsidP="001D75B1">
            <w:pPr>
              <w:rPr>
                <w:sz w:val="22"/>
                <w:szCs w:val="22"/>
              </w:rPr>
            </w:pPr>
            <w:r w:rsidRPr="00105A25">
              <w:rPr>
                <w:sz w:val="22"/>
                <w:szCs w:val="22"/>
              </w:rPr>
              <w:t xml:space="preserve">Rzadko </w:t>
            </w:r>
          </w:p>
        </w:tc>
        <w:tc>
          <w:tcPr>
            <w:tcW w:w="3402" w:type="dxa"/>
            <w:shd w:val="clear" w:color="auto" w:fill="auto"/>
          </w:tcPr>
          <w:p w14:paraId="41A07216" w14:textId="77777777" w:rsidR="007816FE" w:rsidRPr="00105A25" w:rsidRDefault="007816FE" w:rsidP="00422019">
            <w:pPr>
              <w:rPr>
                <w:sz w:val="22"/>
                <w:szCs w:val="22"/>
              </w:rPr>
            </w:pPr>
            <w:r w:rsidRPr="00105A25">
              <w:rPr>
                <w:sz w:val="22"/>
                <w:szCs w:val="22"/>
              </w:rPr>
              <w:t>Reakcje uczuleniowe, reakcje nadwrażliwości</w:t>
            </w:r>
          </w:p>
        </w:tc>
      </w:tr>
      <w:tr w:rsidR="00C45C3C" w:rsidRPr="00105A25" w14:paraId="6A2A707C" w14:textId="77777777" w:rsidTr="00115876">
        <w:tc>
          <w:tcPr>
            <w:tcW w:w="3510" w:type="dxa"/>
            <w:vMerge w:val="restart"/>
            <w:shd w:val="clear" w:color="auto" w:fill="auto"/>
          </w:tcPr>
          <w:p w14:paraId="03BC0915" w14:textId="77777777" w:rsidR="00C45C3C" w:rsidRPr="00105A25" w:rsidRDefault="00C45C3C" w:rsidP="001D75B1">
            <w:pPr>
              <w:rPr>
                <w:sz w:val="22"/>
                <w:szCs w:val="22"/>
              </w:rPr>
            </w:pPr>
            <w:r w:rsidRPr="00105A25">
              <w:rPr>
                <w:noProof/>
                <w:sz w:val="22"/>
                <w:szCs w:val="22"/>
                <w:lang w:val="pt-PT"/>
              </w:rPr>
              <w:t>Zaburzenia psychiczne</w:t>
            </w:r>
          </w:p>
        </w:tc>
        <w:tc>
          <w:tcPr>
            <w:tcW w:w="2410" w:type="dxa"/>
            <w:shd w:val="clear" w:color="auto" w:fill="auto"/>
          </w:tcPr>
          <w:p w14:paraId="5FB52AD7" w14:textId="77777777" w:rsidR="00C45C3C" w:rsidRPr="00105A25" w:rsidRDefault="00C45C3C" w:rsidP="001D75B1">
            <w:pPr>
              <w:rPr>
                <w:sz w:val="22"/>
                <w:szCs w:val="22"/>
              </w:rPr>
            </w:pPr>
            <w:r w:rsidRPr="00105A25">
              <w:rPr>
                <w:sz w:val="22"/>
                <w:szCs w:val="22"/>
              </w:rPr>
              <w:t xml:space="preserve">Często </w:t>
            </w:r>
          </w:p>
        </w:tc>
        <w:tc>
          <w:tcPr>
            <w:tcW w:w="3402" w:type="dxa"/>
            <w:shd w:val="clear" w:color="auto" w:fill="auto"/>
          </w:tcPr>
          <w:p w14:paraId="44396D7F" w14:textId="2B2881CA" w:rsidR="00C45C3C" w:rsidRPr="00105A25" w:rsidRDefault="00C45C3C" w:rsidP="001D75B1">
            <w:pPr>
              <w:rPr>
                <w:sz w:val="22"/>
                <w:szCs w:val="22"/>
              </w:rPr>
            </w:pPr>
            <w:r w:rsidRPr="00105A25">
              <w:rPr>
                <w:sz w:val="22"/>
                <w:szCs w:val="22"/>
              </w:rPr>
              <w:t>Uczucie nadmiernego zmęczenia</w:t>
            </w:r>
          </w:p>
        </w:tc>
      </w:tr>
      <w:tr w:rsidR="00C45C3C" w:rsidRPr="00105A25" w14:paraId="10CA6304" w14:textId="77777777" w:rsidTr="00115876">
        <w:tc>
          <w:tcPr>
            <w:tcW w:w="3510" w:type="dxa"/>
            <w:vMerge/>
            <w:shd w:val="clear" w:color="auto" w:fill="auto"/>
          </w:tcPr>
          <w:p w14:paraId="792A2C98" w14:textId="77777777" w:rsidR="00C45C3C" w:rsidRPr="00105A25" w:rsidRDefault="00C45C3C" w:rsidP="001D75B1">
            <w:pPr>
              <w:rPr>
                <w:sz w:val="22"/>
                <w:szCs w:val="22"/>
              </w:rPr>
            </w:pPr>
          </w:p>
        </w:tc>
        <w:tc>
          <w:tcPr>
            <w:tcW w:w="2410" w:type="dxa"/>
            <w:shd w:val="clear" w:color="auto" w:fill="auto"/>
          </w:tcPr>
          <w:p w14:paraId="61FDC478" w14:textId="77777777" w:rsidR="00C45C3C" w:rsidRPr="00105A25" w:rsidRDefault="00C45C3C" w:rsidP="001D75B1">
            <w:pPr>
              <w:rPr>
                <w:sz w:val="22"/>
                <w:szCs w:val="22"/>
              </w:rPr>
            </w:pPr>
            <w:r w:rsidRPr="00105A25">
              <w:rPr>
                <w:sz w:val="22"/>
                <w:szCs w:val="22"/>
              </w:rPr>
              <w:t xml:space="preserve">Rzadko </w:t>
            </w:r>
          </w:p>
        </w:tc>
        <w:tc>
          <w:tcPr>
            <w:tcW w:w="3402" w:type="dxa"/>
            <w:shd w:val="clear" w:color="auto" w:fill="auto"/>
          </w:tcPr>
          <w:p w14:paraId="5F67162B" w14:textId="77777777" w:rsidR="00C45C3C" w:rsidRPr="00105A25" w:rsidRDefault="00C45C3C" w:rsidP="001D75B1">
            <w:pPr>
              <w:rPr>
                <w:sz w:val="22"/>
                <w:szCs w:val="22"/>
              </w:rPr>
            </w:pPr>
            <w:r w:rsidRPr="00105A25">
              <w:rPr>
                <w:sz w:val="22"/>
                <w:szCs w:val="22"/>
              </w:rPr>
              <w:t>Bezsenność, depresja</w:t>
            </w:r>
          </w:p>
        </w:tc>
      </w:tr>
      <w:tr w:rsidR="00C45C3C" w:rsidRPr="00105A25" w14:paraId="0707A2DD" w14:textId="77777777" w:rsidTr="00115876">
        <w:tc>
          <w:tcPr>
            <w:tcW w:w="3510" w:type="dxa"/>
            <w:vMerge/>
            <w:shd w:val="clear" w:color="auto" w:fill="auto"/>
          </w:tcPr>
          <w:p w14:paraId="3F453970" w14:textId="77777777" w:rsidR="00C45C3C" w:rsidRPr="00105A25" w:rsidRDefault="00C45C3C" w:rsidP="001D75B1">
            <w:pPr>
              <w:rPr>
                <w:sz w:val="22"/>
                <w:szCs w:val="22"/>
              </w:rPr>
            </w:pPr>
          </w:p>
        </w:tc>
        <w:tc>
          <w:tcPr>
            <w:tcW w:w="2410" w:type="dxa"/>
            <w:shd w:val="clear" w:color="auto" w:fill="auto"/>
          </w:tcPr>
          <w:p w14:paraId="5DB9653D" w14:textId="77777777" w:rsidR="00C45C3C" w:rsidRPr="00105A25" w:rsidRDefault="00C45C3C" w:rsidP="001D75B1">
            <w:pPr>
              <w:rPr>
                <w:sz w:val="22"/>
                <w:szCs w:val="22"/>
              </w:rPr>
            </w:pPr>
            <w:r>
              <w:rPr>
                <w:sz w:val="22"/>
                <w:szCs w:val="22"/>
              </w:rPr>
              <w:t>Nieznana</w:t>
            </w:r>
          </w:p>
        </w:tc>
        <w:tc>
          <w:tcPr>
            <w:tcW w:w="3402" w:type="dxa"/>
            <w:shd w:val="clear" w:color="auto" w:fill="auto"/>
          </w:tcPr>
          <w:p w14:paraId="2C6DB00D" w14:textId="77777777" w:rsidR="00C45C3C" w:rsidRPr="00105A25" w:rsidRDefault="00C45C3C" w:rsidP="001D75B1">
            <w:pPr>
              <w:rPr>
                <w:sz w:val="22"/>
                <w:szCs w:val="22"/>
              </w:rPr>
            </w:pPr>
            <w:r>
              <w:rPr>
                <w:sz w:val="22"/>
                <w:szCs w:val="22"/>
              </w:rPr>
              <w:t>S</w:t>
            </w:r>
            <w:r w:rsidRPr="00105A25">
              <w:rPr>
                <w:sz w:val="22"/>
                <w:szCs w:val="22"/>
              </w:rPr>
              <w:t>enność</w:t>
            </w:r>
          </w:p>
        </w:tc>
      </w:tr>
      <w:tr w:rsidR="00C63F1F" w:rsidRPr="00105A25" w14:paraId="7302A0B1" w14:textId="77777777" w:rsidTr="00115876">
        <w:tc>
          <w:tcPr>
            <w:tcW w:w="3510" w:type="dxa"/>
            <w:vMerge w:val="restart"/>
            <w:shd w:val="clear" w:color="auto" w:fill="auto"/>
          </w:tcPr>
          <w:p w14:paraId="4AFFBE58" w14:textId="77777777" w:rsidR="00C63F1F" w:rsidRPr="00105A25" w:rsidRDefault="00C63F1F" w:rsidP="00422019">
            <w:pPr>
              <w:pStyle w:val="Tytu"/>
              <w:jc w:val="left"/>
              <w:rPr>
                <w:b w:val="0"/>
                <w:noProof/>
                <w:szCs w:val="22"/>
              </w:rPr>
            </w:pPr>
            <w:r w:rsidRPr="00105A25">
              <w:rPr>
                <w:b w:val="0"/>
                <w:noProof/>
                <w:szCs w:val="22"/>
                <w:lang w:val="pl-PL"/>
              </w:rPr>
              <w:t xml:space="preserve">Zaburzenia układu nerwowego </w:t>
            </w:r>
          </w:p>
        </w:tc>
        <w:tc>
          <w:tcPr>
            <w:tcW w:w="2410" w:type="dxa"/>
            <w:shd w:val="clear" w:color="auto" w:fill="auto"/>
          </w:tcPr>
          <w:p w14:paraId="50360970" w14:textId="77777777" w:rsidR="00C63F1F" w:rsidRPr="00105A25" w:rsidRDefault="00C63F1F" w:rsidP="001D75B1">
            <w:pPr>
              <w:rPr>
                <w:sz w:val="22"/>
                <w:szCs w:val="22"/>
              </w:rPr>
            </w:pPr>
            <w:r w:rsidRPr="00105A25">
              <w:rPr>
                <w:sz w:val="22"/>
                <w:szCs w:val="22"/>
              </w:rPr>
              <w:t xml:space="preserve">Niezbyt często </w:t>
            </w:r>
          </w:p>
        </w:tc>
        <w:tc>
          <w:tcPr>
            <w:tcW w:w="3402" w:type="dxa"/>
            <w:shd w:val="clear" w:color="auto" w:fill="auto"/>
          </w:tcPr>
          <w:p w14:paraId="4414F4DD" w14:textId="0CA039AE" w:rsidR="00C63F1F" w:rsidRPr="00BD52D2" w:rsidRDefault="00C63F1F" w:rsidP="001D75B1">
            <w:pPr>
              <w:rPr>
                <w:sz w:val="22"/>
                <w:szCs w:val="22"/>
              </w:rPr>
            </w:pPr>
            <w:r w:rsidRPr="00105A25">
              <w:rPr>
                <w:sz w:val="22"/>
                <w:szCs w:val="22"/>
              </w:rPr>
              <w:t xml:space="preserve">Ból głowy, </w:t>
            </w:r>
            <w:r w:rsidR="00BD52D2">
              <w:rPr>
                <w:sz w:val="22"/>
                <w:szCs w:val="22"/>
              </w:rPr>
              <w:t>zawroty głowy pochodzenia ośrodkowego</w:t>
            </w:r>
          </w:p>
        </w:tc>
      </w:tr>
      <w:tr w:rsidR="00C63F1F" w:rsidRPr="00105A25" w14:paraId="28E06060" w14:textId="77777777" w:rsidTr="00115876">
        <w:tc>
          <w:tcPr>
            <w:tcW w:w="3510" w:type="dxa"/>
            <w:vMerge/>
            <w:shd w:val="clear" w:color="auto" w:fill="auto"/>
          </w:tcPr>
          <w:p w14:paraId="46DBA168" w14:textId="77777777" w:rsidR="00C63F1F" w:rsidRPr="00105A25" w:rsidRDefault="00C63F1F" w:rsidP="001D75B1">
            <w:pPr>
              <w:rPr>
                <w:sz w:val="22"/>
                <w:szCs w:val="22"/>
              </w:rPr>
            </w:pPr>
          </w:p>
        </w:tc>
        <w:tc>
          <w:tcPr>
            <w:tcW w:w="2410" w:type="dxa"/>
            <w:shd w:val="clear" w:color="auto" w:fill="auto"/>
          </w:tcPr>
          <w:p w14:paraId="72CBFD67" w14:textId="77777777" w:rsidR="00C63F1F" w:rsidRPr="00105A25" w:rsidRDefault="00C63F1F" w:rsidP="001D75B1">
            <w:pPr>
              <w:rPr>
                <w:sz w:val="22"/>
                <w:szCs w:val="22"/>
              </w:rPr>
            </w:pPr>
            <w:r w:rsidRPr="00105A25">
              <w:rPr>
                <w:sz w:val="22"/>
                <w:szCs w:val="22"/>
              </w:rPr>
              <w:t>Rzadko</w:t>
            </w:r>
          </w:p>
        </w:tc>
        <w:tc>
          <w:tcPr>
            <w:tcW w:w="3402" w:type="dxa"/>
            <w:shd w:val="clear" w:color="auto" w:fill="auto"/>
          </w:tcPr>
          <w:p w14:paraId="16C54478" w14:textId="77777777" w:rsidR="00C63F1F" w:rsidRPr="00105A25" w:rsidRDefault="00C63F1F" w:rsidP="002A22EC">
            <w:pPr>
              <w:rPr>
                <w:sz w:val="22"/>
                <w:szCs w:val="22"/>
              </w:rPr>
            </w:pPr>
            <w:r w:rsidRPr="00105A25">
              <w:rPr>
                <w:sz w:val="22"/>
                <w:szCs w:val="22"/>
              </w:rPr>
              <w:t>Zaburzenia odczuwania smaku, zaburzenia równowagi, dezorientacja</w:t>
            </w:r>
          </w:p>
        </w:tc>
      </w:tr>
      <w:tr w:rsidR="006C26C4" w:rsidRPr="00105A25" w14:paraId="7403251B" w14:textId="77777777" w:rsidTr="00115876">
        <w:tc>
          <w:tcPr>
            <w:tcW w:w="3510" w:type="dxa"/>
            <w:shd w:val="clear" w:color="auto" w:fill="auto"/>
          </w:tcPr>
          <w:p w14:paraId="42DDFFDE" w14:textId="77777777" w:rsidR="006C26C4" w:rsidRPr="00105A25" w:rsidRDefault="006C26C4" w:rsidP="001D75B1">
            <w:pPr>
              <w:rPr>
                <w:sz w:val="22"/>
                <w:szCs w:val="22"/>
              </w:rPr>
            </w:pPr>
            <w:r w:rsidRPr="00105A25">
              <w:rPr>
                <w:noProof/>
                <w:sz w:val="22"/>
                <w:szCs w:val="22"/>
              </w:rPr>
              <w:t>Zaburzenia oka</w:t>
            </w:r>
          </w:p>
        </w:tc>
        <w:tc>
          <w:tcPr>
            <w:tcW w:w="2410" w:type="dxa"/>
            <w:shd w:val="clear" w:color="auto" w:fill="auto"/>
          </w:tcPr>
          <w:p w14:paraId="59ADBBF1" w14:textId="77777777" w:rsidR="006C26C4" w:rsidRPr="00105A25" w:rsidRDefault="006C26C4" w:rsidP="001D75B1">
            <w:pPr>
              <w:rPr>
                <w:sz w:val="22"/>
                <w:szCs w:val="22"/>
              </w:rPr>
            </w:pPr>
            <w:r w:rsidRPr="00105A25">
              <w:rPr>
                <w:sz w:val="22"/>
                <w:szCs w:val="22"/>
              </w:rPr>
              <w:t>Nieznana</w:t>
            </w:r>
          </w:p>
        </w:tc>
        <w:tc>
          <w:tcPr>
            <w:tcW w:w="3402" w:type="dxa"/>
            <w:shd w:val="clear" w:color="auto" w:fill="auto"/>
          </w:tcPr>
          <w:p w14:paraId="790FF3A6" w14:textId="77777777" w:rsidR="006C26C4" w:rsidRPr="00105A25" w:rsidRDefault="006C26C4" w:rsidP="002A22EC">
            <w:pPr>
              <w:rPr>
                <w:sz w:val="22"/>
                <w:szCs w:val="22"/>
              </w:rPr>
            </w:pPr>
            <w:r w:rsidRPr="00105A25">
              <w:rPr>
                <w:sz w:val="22"/>
                <w:szCs w:val="22"/>
              </w:rPr>
              <w:t>Zaburzenia widzenia</w:t>
            </w:r>
          </w:p>
        </w:tc>
      </w:tr>
      <w:tr w:rsidR="00C45C3C" w:rsidRPr="00105A25" w14:paraId="1A84AC45" w14:textId="77777777" w:rsidTr="00115876">
        <w:tc>
          <w:tcPr>
            <w:tcW w:w="3510" w:type="dxa"/>
            <w:vMerge w:val="restart"/>
            <w:shd w:val="clear" w:color="auto" w:fill="auto"/>
          </w:tcPr>
          <w:p w14:paraId="37B37C1D" w14:textId="77777777" w:rsidR="00C45C3C" w:rsidRPr="00105A25" w:rsidRDefault="00C45C3C" w:rsidP="001D75B1">
            <w:pPr>
              <w:rPr>
                <w:sz w:val="22"/>
                <w:szCs w:val="22"/>
              </w:rPr>
            </w:pPr>
            <w:r w:rsidRPr="00105A25">
              <w:rPr>
                <w:noProof/>
                <w:sz w:val="22"/>
                <w:szCs w:val="22"/>
              </w:rPr>
              <w:t>Zaburzenia ucha i błędnika</w:t>
            </w:r>
          </w:p>
        </w:tc>
        <w:tc>
          <w:tcPr>
            <w:tcW w:w="2410" w:type="dxa"/>
            <w:shd w:val="clear" w:color="auto" w:fill="auto"/>
          </w:tcPr>
          <w:p w14:paraId="7BAD2F63" w14:textId="77777777" w:rsidR="00C45C3C" w:rsidRPr="00105A25" w:rsidRDefault="00C45C3C" w:rsidP="001D75B1">
            <w:pPr>
              <w:rPr>
                <w:sz w:val="22"/>
                <w:szCs w:val="22"/>
              </w:rPr>
            </w:pPr>
            <w:r w:rsidRPr="00105A25">
              <w:rPr>
                <w:sz w:val="22"/>
                <w:szCs w:val="22"/>
              </w:rPr>
              <w:t>Rzadko</w:t>
            </w:r>
          </w:p>
        </w:tc>
        <w:tc>
          <w:tcPr>
            <w:tcW w:w="3402" w:type="dxa"/>
            <w:shd w:val="clear" w:color="auto" w:fill="auto"/>
          </w:tcPr>
          <w:p w14:paraId="3DFFD46A" w14:textId="77777777" w:rsidR="00C45C3C" w:rsidRPr="00105A25" w:rsidRDefault="00C45C3C" w:rsidP="002A22EC">
            <w:pPr>
              <w:rPr>
                <w:sz w:val="22"/>
                <w:szCs w:val="22"/>
              </w:rPr>
            </w:pPr>
            <w:r w:rsidRPr="00105A25">
              <w:rPr>
                <w:sz w:val="22"/>
                <w:szCs w:val="22"/>
              </w:rPr>
              <w:t>Szumy uszne</w:t>
            </w:r>
          </w:p>
        </w:tc>
      </w:tr>
      <w:tr w:rsidR="00C45C3C" w:rsidRPr="00105A25" w14:paraId="4F5A8F6A" w14:textId="77777777" w:rsidTr="00115876">
        <w:tc>
          <w:tcPr>
            <w:tcW w:w="3510" w:type="dxa"/>
            <w:vMerge/>
            <w:shd w:val="clear" w:color="auto" w:fill="auto"/>
          </w:tcPr>
          <w:p w14:paraId="6ED18AA9" w14:textId="77777777" w:rsidR="00C45C3C" w:rsidRPr="00105A25" w:rsidRDefault="00C45C3C" w:rsidP="001D75B1">
            <w:pPr>
              <w:rPr>
                <w:noProof/>
                <w:sz w:val="22"/>
                <w:szCs w:val="22"/>
              </w:rPr>
            </w:pPr>
          </w:p>
        </w:tc>
        <w:tc>
          <w:tcPr>
            <w:tcW w:w="2410" w:type="dxa"/>
            <w:shd w:val="clear" w:color="auto" w:fill="auto"/>
          </w:tcPr>
          <w:p w14:paraId="77C16D0D" w14:textId="69E6EAC7" w:rsidR="00C45C3C" w:rsidRPr="00105A25" w:rsidRDefault="00C45C3C" w:rsidP="001D75B1">
            <w:pPr>
              <w:rPr>
                <w:sz w:val="22"/>
                <w:szCs w:val="22"/>
              </w:rPr>
            </w:pPr>
            <w:r>
              <w:rPr>
                <w:sz w:val="22"/>
                <w:szCs w:val="22"/>
              </w:rPr>
              <w:t>Nieznan</w:t>
            </w:r>
            <w:r w:rsidR="005E25C9">
              <w:rPr>
                <w:sz w:val="22"/>
                <w:szCs w:val="22"/>
              </w:rPr>
              <w:t>a</w:t>
            </w:r>
          </w:p>
        </w:tc>
        <w:tc>
          <w:tcPr>
            <w:tcW w:w="3402" w:type="dxa"/>
            <w:shd w:val="clear" w:color="auto" w:fill="auto"/>
          </w:tcPr>
          <w:p w14:paraId="52818F12" w14:textId="77E16B8D" w:rsidR="00C45C3C" w:rsidRPr="00105A25" w:rsidRDefault="00C45C3C" w:rsidP="002A22EC">
            <w:pPr>
              <w:rPr>
                <w:sz w:val="22"/>
                <w:szCs w:val="22"/>
              </w:rPr>
            </w:pPr>
            <w:r>
              <w:rPr>
                <w:sz w:val="22"/>
                <w:szCs w:val="22"/>
              </w:rPr>
              <w:t>Zawroty głowy</w:t>
            </w:r>
            <w:r w:rsidR="00687EF1">
              <w:rPr>
                <w:sz w:val="22"/>
                <w:szCs w:val="22"/>
              </w:rPr>
              <w:t xml:space="preserve"> pochodzenia błędnikowego</w:t>
            </w:r>
          </w:p>
        </w:tc>
      </w:tr>
      <w:tr w:rsidR="002A22EC" w:rsidRPr="00105A25" w14:paraId="118A5CDC" w14:textId="77777777" w:rsidTr="00115876">
        <w:tc>
          <w:tcPr>
            <w:tcW w:w="3510" w:type="dxa"/>
            <w:shd w:val="clear" w:color="auto" w:fill="auto"/>
          </w:tcPr>
          <w:p w14:paraId="603CA23C" w14:textId="77777777" w:rsidR="002A22EC" w:rsidRPr="00105A25" w:rsidRDefault="002A22EC" w:rsidP="001D75B1">
            <w:pPr>
              <w:rPr>
                <w:sz w:val="22"/>
                <w:szCs w:val="22"/>
              </w:rPr>
            </w:pPr>
            <w:r w:rsidRPr="00105A25">
              <w:rPr>
                <w:noProof/>
                <w:sz w:val="22"/>
                <w:szCs w:val="22"/>
              </w:rPr>
              <w:t>Zaburzenia serca</w:t>
            </w:r>
          </w:p>
        </w:tc>
        <w:tc>
          <w:tcPr>
            <w:tcW w:w="2410" w:type="dxa"/>
            <w:shd w:val="clear" w:color="auto" w:fill="auto"/>
          </w:tcPr>
          <w:p w14:paraId="1128B1A4" w14:textId="77777777" w:rsidR="002A22EC" w:rsidRPr="00105A25" w:rsidRDefault="002A22EC" w:rsidP="001D75B1">
            <w:pPr>
              <w:rPr>
                <w:sz w:val="22"/>
                <w:szCs w:val="22"/>
              </w:rPr>
            </w:pPr>
            <w:r w:rsidRPr="00105A25">
              <w:rPr>
                <w:sz w:val="22"/>
                <w:szCs w:val="22"/>
              </w:rPr>
              <w:t>Rzadko</w:t>
            </w:r>
          </w:p>
        </w:tc>
        <w:tc>
          <w:tcPr>
            <w:tcW w:w="3402" w:type="dxa"/>
            <w:shd w:val="clear" w:color="auto" w:fill="auto"/>
          </w:tcPr>
          <w:p w14:paraId="61338BE3" w14:textId="77777777" w:rsidR="002A22EC" w:rsidRPr="00105A25" w:rsidRDefault="002A22EC" w:rsidP="002A22EC">
            <w:pPr>
              <w:rPr>
                <w:sz w:val="22"/>
                <w:szCs w:val="22"/>
              </w:rPr>
            </w:pPr>
            <w:r w:rsidRPr="00105A25">
              <w:rPr>
                <w:sz w:val="22"/>
                <w:szCs w:val="22"/>
              </w:rPr>
              <w:t>Kołatanie serca</w:t>
            </w:r>
          </w:p>
        </w:tc>
      </w:tr>
      <w:tr w:rsidR="00C63F1F" w:rsidRPr="00105A25" w14:paraId="16CFD12B" w14:textId="77777777" w:rsidTr="00115876">
        <w:tc>
          <w:tcPr>
            <w:tcW w:w="3510" w:type="dxa"/>
            <w:vMerge w:val="restart"/>
            <w:shd w:val="clear" w:color="auto" w:fill="auto"/>
          </w:tcPr>
          <w:p w14:paraId="04190BCA" w14:textId="77777777" w:rsidR="00C63F1F" w:rsidRPr="00105A25" w:rsidRDefault="00C63F1F" w:rsidP="001D75B1">
            <w:pPr>
              <w:rPr>
                <w:sz w:val="22"/>
                <w:szCs w:val="22"/>
              </w:rPr>
            </w:pPr>
            <w:r w:rsidRPr="00105A25">
              <w:rPr>
                <w:sz w:val="22"/>
                <w:szCs w:val="22"/>
              </w:rPr>
              <w:t xml:space="preserve">Zaburzenia naczyniowe </w:t>
            </w:r>
          </w:p>
        </w:tc>
        <w:tc>
          <w:tcPr>
            <w:tcW w:w="2410" w:type="dxa"/>
            <w:shd w:val="clear" w:color="auto" w:fill="auto"/>
          </w:tcPr>
          <w:p w14:paraId="4FE5E9C5" w14:textId="77777777" w:rsidR="00C63F1F" w:rsidRPr="00105A25" w:rsidRDefault="00C63F1F" w:rsidP="001D75B1">
            <w:pPr>
              <w:rPr>
                <w:sz w:val="22"/>
                <w:szCs w:val="22"/>
              </w:rPr>
            </w:pPr>
            <w:r w:rsidRPr="00105A25">
              <w:rPr>
                <w:sz w:val="22"/>
                <w:szCs w:val="22"/>
              </w:rPr>
              <w:t xml:space="preserve">Niezbyt często </w:t>
            </w:r>
          </w:p>
        </w:tc>
        <w:tc>
          <w:tcPr>
            <w:tcW w:w="3402" w:type="dxa"/>
            <w:shd w:val="clear" w:color="auto" w:fill="auto"/>
          </w:tcPr>
          <w:p w14:paraId="42461CE8" w14:textId="77777777" w:rsidR="00C63F1F" w:rsidRPr="00105A25" w:rsidRDefault="00C63F1F" w:rsidP="002A22EC">
            <w:pPr>
              <w:rPr>
                <w:sz w:val="22"/>
                <w:szCs w:val="22"/>
              </w:rPr>
            </w:pPr>
            <w:r w:rsidRPr="00105A25">
              <w:rPr>
                <w:sz w:val="22"/>
                <w:szCs w:val="22"/>
              </w:rPr>
              <w:t>Niedociśnienie tętnicze</w:t>
            </w:r>
          </w:p>
        </w:tc>
      </w:tr>
      <w:tr w:rsidR="00C63F1F" w:rsidRPr="00105A25" w14:paraId="04B9DFB2" w14:textId="77777777" w:rsidTr="00115876">
        <w:tc>
          <w:tcPr>
            <w:tcW w:w="3510" w:type="dxa"/>
            <w:vMerge/>
            <w:shd w:val="clear" w:color="auto" w:fill="auto"/>
          </w:tcPr>
          <w:p w14:paraId="3D980CC7" w14:textId="77777777" w:rsidR="00C63F1F" w:rsidRPr="00105A25" w:rsidRDefault="00C63F1F" w:rsidP="001D75B1">
            <w:pPr>
              <w:rPr>
                <w:sz w:val="22"/>
                <w:szCs w:val="22"/>
              </w:rPr>
            </w:pPr>
          </w:p>
        </w:tc>
        <w:tc>
          <w:tcPr>
            <w:tcW w:w="2410" w:type="dxa"/>
            <w:shd w:val="clear" w:color="auto" w:fill="auto"/>
          </w:tcPr>
          <w:p w14:paraId="0D2F03F0" w14:textId="77777777" w:rsidR="00C63F1F" w:rsidRPr="00105A25" w:rsidRDefault="00C63F1F" w:rsidP="009E6641">
            <w:pPr>
              <w:rPr>
                <w:sz w:val="22"/>
                <w:szCs w:val="22"/>
              </w:rPr>
            </w:pPr>
            <w:r w:rsidRPr="00105A25">
              <w:rPr>
                <w:sz w:val="22"/>
                <w:szCs w:val="22"/>
              </w:rPr>
              <w:t>Nieznana</w:t>
            </w:r>
          </w:p>
        </w:tc>
        <w:tc>
          <w:tcPr>
            <w:tcW w:w="3402" w:type="dxa"/>
            <w:shd w:val="clear" w:color="auto" w:fill="auto"/>
          </w:tcPr>
          <w:p w14:paraId="5FB6D944" w14:textId="3ED3DB40" w:rsidR="00C63F1F" w:rsidRPr="00105A25" w:rsidRDefault="00C63F1F" w:rsidP="009E6641">
            <w:pPr>
              <w:rPr>
                <w:sz w:val="22"/>
                <w:szCs w:val="22"/>
              </w:rPr>
            </w:pPr>
            <w:r w:rsidRPr="00105A25">
              <w:rPr>
                <w:sz w:val="22"/>
                <w:szCs w:val="22"/>
              </w:rPr>
              <w:t xml:space="preserve">Częstoskurcz lub inne rodzaje niemiarowości serca, uczucie kołatania serca, dławica piersiowa, zawał mięśnia sercowego, </w:t>
            </w:r>
            <w:r>
              <w:rPr>
                <w:sz w:val="22"/>
                <w:szCs w:val="22"/>
              </w:rPr>
              <w:t xml:space="preserve">przemijający napad </w:t>
            </w:r>
            <w:r w:rsidRPr="00105A25">
              <w:rPr>
                <w:sz w:val="22"/>
                <w:szCs w:val="22"/>
              </w:rPr>
              <w:t>niedokrwienn</w:t>
            </w:r>
            <w:r>
              <w:rPr>
                <w:sz w:val="22"/>
                <w:szCs w:val="22"/>
              </w:rPr>
              <w:t>y</w:t>
            </w:r>
            <w:r w:rsidRPr="00105A25">
              <w:rPr>
                <w:sz w:val="22"/>
                <w:szCs w:val="22"/>
              </w:rPr>
              <w:t xml:space="preserve"> (</w:t>
            </w:r>
            <w:r w:rsidR="00A4342C">
              <w:rPr>
                <w:sz w:val="22"/>
                <w:szCs w:val="22"/>
              </w:rPr>
              <w:t>ang.</w:t>
            </w:r>
            <w:r w:rsidR="00A4342C" w:rsidRPr="007816FE">
              <w:rPr>
                <w:i/>
                <w:iCs/>
                <w:sz w:val="22"/>
                <w:szCs w:val="22"/>
              </w:rPr>
              <w:t xml:space="preserve"> transient ischemic attack</w:t>
            </w:r>
            <w:r w:rsidR="00A4342C">
              <w:rPr>
                <w:sz w:val="22"/>
                <w:szCs w:val="22"/>
              </w:rPr>
              <w:t>,</w:t>
            </w:r>
            <w:r w:rsidRPr="00105A25">
              <w:rPr>
                <w:sz w:val="22"/>
                <w:szCs w:val="22"/>
              </w:rPr>
              <w:t>TIA), krwotok do mózgu</w:t>
            </w:r>
          </w:p>
        </w:tc>
      </w:tr>
      <w:tr w:rsidR="00C45C3C" w:rsidRPr="00105A25" w14:paraId="11266AEB" w14:textId="77777777" w:rsidTr="00115876">
        <w:tc>
          <w:tcPr>
            <w:tcW w:w="3510" w:type="dxa"/>
            <w:vMerge w:val="restart"/>
            <w:shd w:val="clear" w:color="auto" w:fill="auto"/>
          </w:tcPr>
          <w:p w14:paraId="69C768E8" w14:textId="77777777" w:rsidR="00C45C3C" w:rsidRPr="00EE2AA1" w:rsidRDefault="00C45C3C" w:rsidP="00D0628D">
            <w:pPr>
              <w:pStyle w:val="Tytu"/>
              <w:jc w:val="left"/>
              <w:rPr>
                <w:b w:val="0"/>
                <w:noProof/>
                <w:szCs w:val="22"/>
                <w:lang w:val="pl-PL"/>
              </w:rPr>
            </w:pPr>
            <w:r w:rsidRPr="00105A25">
              <w:rPr>
                <w:b w:val="0"/>
                <w:noProof/>
                <w:szCs w:val="22"/>
                <w:lang w:val="pl-PL"/>
              </w:rPr>
              <w:t xml:space="preserve">Zaburzenia układu oddechowego, klatki piersiowej i śródpiersia </w:t>
            </w:r>
          </w:p>
        </w:tc>
        <w:tc>
          <w:tcPr>
            <w:tcW w:w="2410" w:type="dxa"/>
            <w:shd w:val="clear" w:color="auto" w:fill="auto"/>
          </w:tcPr>
          <w:p w14:paraId="221083CB" w14:textId="77777777" w:rsidR="00C45C3C" w:rsidRPr="00105A25" w:rsidRDefault="00C45C3C" w:rsidP="001D75B1">
            <w:pPr>
              <w:rPr>
                <w:sz w:val="22"/>
                <w:szCs w:val="22"/>
              </w:rPr>
            </w:pPr>
            <w:r w:rsidRPr="00105A25">
              <w:rPr>
                <w:sz w:val="22"/>
                <w:szCs w:val="22"/>
              </w:rPr>
              <w:t>Często</w:t>
            </w:r>
          </w:p>
        </w:tc>
        <w:tc>
          <w:tcPr>
            <w:tcW w:w="3402" w:type="dxa"/>
            <w:shd w:val="clear" w:color="auto" w:fill="auto"/>
          </w:tcPr>
          <w:p w14:paraId="6E9CD1B8" w14:textId="77777777" w:rsidR="00C45C3C" w:rsidRPr="00105A25" w:rsidRDefault="00C45C3C" w:rsidP="002A22EC">
            <w:pPr>
              <w:rPr>
                <w:sz w:val="22"/>
                <w:szCs w:val="22"/>
              </w:rPr>
            </w:pPr>
            <w:r w:rsidRPr="00105A25">
              <w:rPr>
                <w:sz w:val="22"/>
                <w:szCs w:val="22"/>
              </w:rPr>
              <w:t>Kaszel</w:t>
            </w:r>
          </w:p>
        </w:tc>
      </w:tr>
      <w:tr w:rsidR="00C45C3C" w:rsidRPr="00105A25" w14:paraId="7BE6BEA3" w14:textId="77777777" w:rsidTr="00115876">
        <w:tc>
          <w:tcPr>
            <w:tcW w:w="3510" w:type="dxa"/>
            <w:vMerge/>
            <w:shd w:val="clear" w:color="auto" w:fill="auto"/>
          </w:tcPr>
          <w:p w14:paraId="09E08294" w14:textId="77777777" w:rsidR="00C45C3C" w:rsidRPr="00105A25" w:rsidRDefault="00C45C3C" w:rsidP="001D75B1">
            <w:pPr>
              <w:rPr>
                <w:noProof/>
                <w:sz w:val="22"/>
                <w:szCs w:val="22"/>
              </w:rPr>
            </w:pPr>
          </w:p>
        </w:tc>
        <w:tc>
          <w:tcPr>
            <w:tcW w:w="2410" w:type="dxa"/>
            <w:shd w:val="clear" w:color="auto" w:fill="auto"/>
          </w:tcPr>
          <w:p w14:paraId="04FE2D01" w14:textId="77777777" w:rsidR="00C45C3C" w:rsidRPr="00105A25" w:rsidRDefault="00C45C3C" w:rsidP="001D75B1">
            <w:pPr>
              <w:rPr>
                <w:sz w:val="22"/>
                <w:szCs w:val="22"/>
              </w:rPr>
            </w:pPr>
            <w:r w:rsidRPr="00105A25">
              <w:rPr>
                <w:sz w:val="22"/>
                <w:szCs w:val="22"/>
              </w:rPr>
              <w:t>Rzadko</w:t>
            </w:r>
          </w:p>
        </w:tc>
        <w:tc>
          <w:tcPr>
            <w:tcW w:w="3402" w:type="dxa"/>
            <w:shd w:val="clear" w:color="auto" w:fill="auto"/>
          </w:tcPr>
          <w:p w14:paraId="26112C8C" w14:textId="77777777" w:rsidR="00C45C3C" w:rsidRPr="00105A25" w:rsidRDefault="00C45C3C" w:rsidP="002A22EC">
            <w:pPr>
              <w:rPr>
                <w:sz w:val="22"/>
                <w:szCs w:val="22"/>
              </w:rPr>
            </w:pPr>
            <w:r w:rsidRPr="00105A25">
              <w:rPr>
                <w:sz w:val="22"/>
                <w:szCs w:val="22"/>
              </w:rPr>
              <w:t xml:space="preserve">Duszność, zapalenie zatok, nieżyt nosa, zapalenie języka, zapalenie </w:t>
            </w:r>
            <w:r w:rsidRPr="00105A25">
              <w:rPr>
                <w:sz w:val="22"/>
                <w:szCs w:val="22"/>
              </w:rPr>
              <w:lastRenderedPageBreak/>
              <w:t>oskrzeli, skurcz oskrzeli i obrzęk naczynioruchowy górnych dróg oddechowych</w:t>
            </w:r>
          </w:p>
        </w:tc>
      </w:tr>
      <w:tr w:rsidR="00C45C3C" w:rsidRPr="00105A25" w14:paraId="0E785FCD" w14:textId="77777777" w:rsidTr="00115876">
        <w:tc>
          <w:tcPr>
            <w:tcW w:w="3510" w:type="dxa"/>
            <w:vMerge/>
            <w:shd w:val="clear" w:color="auto" w:fill="auto"/>
          </w:tcPr>
          <w:p w14:paraId="5E2C73DD" w14:textId="77777777" w:rsidR="00C45C3C" w:rsidRPr="00105A25" w:rsidRDefault="00C45C3C" w:rsidP="001D75B1">
            <w:pPr>
              <w:rPr>
                <w:noProof/>
                <w:sz w:val="22"/>
                <w:szCs w:val="22"/>
              </w:rPr>
            </w:pPr>
          </w:p>
        </w:tc>
        <w:tc>
          <w:tcPr>
            <w:tcW w:w="2410" w:type="dxa"/>
            <w:shd w:val="clear" w:color="auto" w:fill="auto"/>
          </w:tcPr>
          <w:p w14:paraId="6A65E0D7" w14:textId="77777777" w:rsidR="00C45C3C" w:rsidRPr="00105A25" w:rsidRDefault="00C45C3C" w:rsidP="001D75B1">
            <w:pPr>
              <w:rPr>
                <w:sz w:val="22"/>
                <w:szCs w:val="22"/>
              </w:rPr>
            </w:pPr>
            <w:r>
              <w:rPr>
                <w:sz w:val="22"/>
                <w:szCs w:val="22"/>
              </w:rPr>
              <w:t>Nieznana</w:t>
            </w:r>
          </w:p>
        </w:tc>
        <w:tc>
          <w:tcPr>
            <w:tcW w:w="3402" w:type="dxa"/>
            <w:shd w:val="clear" w:color="auto" w:fill="auto"/>
          </w:tcPr>
          <w:p w14:paraId="616F8619" w14:textId="77777777" w:rsidR="00C45C3C" w:rsidRPr="00105A25" w:rsidRDefault="00C45C3C" w:rsidP="002A22EC">
            <w:pPr>
              <w:rPr>
                <w:sz w:val="22"/>
                <w:szCs w:val="22"/>
              </w:rPr>
            </w:pPr>
            <w:r>
              <w:rPr>
                <w:sz w:val="22"/>
                <w:szCs w:val="22"/>
              </w:rPr>
              <w:t>Dyskomfort w jamie ustnej i gardle</w:t>
            </w:r>
          </w:p>
        </w:tc>
      </w:tr>
      <w:tr w:rsidR="002A22EC" w:rsidRPr="00105A25" w14:paraId="612677E0" w14:textId="77777777" w:rsidTr="00115876">
        <w:tc>
          <w:tcPr>
            <w:tcW w:w="3510" w:type="dxa"/>
            <w:shd w:val="clear" w:color="auto" w:fill="auto"/>
          </w:tcPr>
          <w:p w14:paraId="3AFFF278" w14:textId="77777777" w:rsidR="002A22EC" w:rsidRPr="00105A25" w:rsidRDefault="002A22EC" w:rsidP="001D75B1">
            <w:pPr>
              <w:rPr>
                <w:sz w:val="22"/>
                <w:szCs w:val="22"/>
              </w:rPr>
            </w:pPr>
            <w:r w:rsidRPr="00105A25">
              <w:rPr>
                <w:noProof/>
                <w:sz w:val="22"/>
                <w:szCs w:val="22"/>
              </w:rPr>
              <w:t>Zaburzenia żołądka i jelit</w:t>
            </w:r>
          </w:p>
        </w:tc>
        <w:tc>
          <w:tcPr>
            <w:tcW w:w="2410" w:type="dxa"/>
            <w:shd w:val="clear" w:color="auto" w:fill="auto"/>
          </w:tcPr>
          <w:p w14:paraId="0805CBE0" w14:textId="77777777" w:rsidR="002A22EC" w:rsidRPr="00105A25" w:rsidRDefault="002A22EC" w:rsidP="001D75B1">
            <w:pPr>
              <w:rPr>
                <w:sz w:val="22"/>
                <w:szCs w:val="22"/>
              </w:rPr>
            </w:pPr>
            <w:r w:rsidRPr="00105A25">
              <w:rPr>
                <w:sz w:val="22"/>
                <w:szCs w:val="22"/>
              </w:rPr>
              <w:t xml:space="preserve">Rzadko </w:t>
            </w:r>
          </w:p>
        </w:tc>
        <w:tc>
          <w:tcPr>
            <w:tcW w:w="3402" w:type="dxa"/>
            <w:shd w:val="clear" w:color="auto" w:fill="auto"/>
          </w:tcPr>
          <w:p w14:paraId="616B0187" w14:textId="77777777" w:rsidR="002A22EC" w:rsidRPr="00105A25" w:rsidRDefault="002A22EC" w:rsidP="009E6641">
            <w:pPr>
              <w:tabs>
                <w:tab w:val="num" w:pos="0"/>
              </w:tabs>
              <w:rPr>
                <w:sz w:val="22"/>
                <w:szCs w:val="22"/>
              </w:rPr>
            </w:pPr>
            <w:r w:rsidRPr="00105A25">
              <w:rPr>
                <w:sz w:val="22"/>
                <w:szCs w:val="22"/>
              </w:rPr>
              <w:t xml:space="preserve">Nudności, wymioty, biegunka, </w:t>
            </w:r>
            <w:r w:rsidR="009E6641" w:rsidRPr="00105A25">
              <w:rPr>
                <w:sz w:val="22"/>
                <w:szCs w:val="22"/>
              </w:rPr>
              <w:t xml:space="preserve">nieżyt żołądka, </w:t>
            </w:r>
            <w:r w:rsidRPr="00105A25">
              <w:rPr>
                <w:sz w:val="22"/>
                <w:szCs w:val="22"/>
              </w:rPr>
              <w:t>ból brzucha</w:t>
            </w:r>
            <w:r w:rsidR="009E6641" w:rsidRPr="00105A25">
              <w:rPr>
                <w:sz w:val="22"/>
                <w:szCs w:val="22"/>
              </w:rPr>
              <w:t>, zaparcie, uczucie suchości w jamie ustnej, niedrożność jelit, zapalenie trzustki</w:t>
            </w:r>
          </w:p>
        </w:tc>
      </w:tr>
      <w:tr w:rsidR="00C45C3C" w:rsidRPr="00105A25" w14:paraId="580C83B9" w14:textId="77777777" w:rsidTr="00115876">
        <w:tc>
          <w:tcPr>
            <w:tcW w:w="3510" w:type="dxa"/>
            <w:vMerge w:val="restart"/>
            <w:shd w:val="clear" w:color="auto" w:fill="auto"/>
          </w:tcPr>
          <w:p w14:paraId="1BD1B26E" w14:textId="77777777" w:rsidR="00C45C3C" w:rsidRPr="00105A25" w:rsidRDefault="00C45C3C" w:rsidP="001D75B1">
            <w:pPr>
              <w:rPr>
                <w:sz w:val="22"/>
                <w:szCs w:val="22"/>
              </w:rPr>
            </w:pPr>
            <w:r w:rsidRPr="00105A25">
              <w:rPr>
                <w:noProof/>
                <w:sz w:val="22"/>
                <w:szCs w:val="22"/>
              </w:rPr>
              <w:t>Zaburzenia wątroby i dróg żółciowych</w:t>
            </w:r>
          </w:p>
        </w:tc>
        <w:tc>
          <w:tcPr>
            <w:tcW w:w="2410" w:type="dxa"/>
            <w:shd w:val="clear" w:color="auto" w:fill="auto"/>
          </w:tcPr>
          <w:p w14:paraId="56B6E892" w14:textId="77777777" w:rsidR="00C45C3C" w:rsidRPr="00105A25" w:rsidRDefault="00C45C3C" w:rsidP="001D75B1">
            <w:pPr>
              <w:rPr>
                <w:sz w:val="22"/>
                <w:szCs w:val="22"/>
              </w:rPr>
            </w:pPr>
            <w:r w:rsidRPr="00105A25">
              <w:rPr>
                <w:sz w:val="22"/>
                <w:szCs w:val="22"/>
              </w:rPr>
              <w:t>Rzadko</w:t>
            </w:r>
          </w:p>
        </w:tc>
        <w:tc>
          <w:tcPr>
            <w:tcW w:w="3402" w:type="dxa"/>
            <w:shd w:val="clear" w:color="auto" w:fill="auto"/>
          </w:tcPr>
          <w:p w14:paraId="4205153C" w14:textId="77777777" w:rsidR="00C45C3C" w:rsidRPr="00105A25" w:rsidRDefault="00C45C3C" w:rsidP="002A22EC">
            <w:pPr>
              <w:rPr>
                <w:sz w:val="22"/>
                <w:szCs w:val="22"/>
              </w:rPr>
            </w:pPr>
            <w:r w:rsidRPr="00105A25">
              <w:rPr>
                <w:sz w:val="22"/>
                <w:szCs w:val="22"/>
              </w:rPr>
              <w:t>Żółtaczka cholestatyczna, zapalenie wątroby</w:t>
            </w:r>
          </w:p>
        </w:tc>
      </w:tr>
      <w:tr w:rsidR="00C45C3C" w:rsidRPr="00105A25" w14:paraId="09EBC342" w14:textId="77777777" w:rsidTr="00115876">
        <w:tc>
          <w:tcPr>
            <w:tcW w:w="3510" w:type="dxa"/>
            <w:vMerge/>
            <w:shd w:val="clear" w:color="auto" w:fill="auto"/>
          </w:tcPr>
          <w:p w14:paraId="732643BE" w14:textId="77777777" w:rsidR="00C45C3C" w:rsidRPr="00105A25" w:rsidRDefault="00C45C3C" w:rsidP="001D75B1">
            <w:pPr>
              <w:rPr>
                <w:noProof/>
                <w:sz w:val="22"/>
                <w:szCs w:val="22"/>
              </w:rPr>
            </w:pPr>
          </w:p>
        </w:tc>
        <w:tc>
          <w:tcPr>
            <w:tcW w:w="2410" w:type="dxa"/>
            <w:shd w:val="clear" w:color="auto" w:fill="auto"/>
          </w:tcPr>
          <w:p w14:paraId="1E01D3AD" w14:textId="77777777" w:rsidR="00C45C3C" w:rsidRPr="00105A25" w:rsidRDefault="00C45C3C" w:rsidP="001D75B1">
            <w:pPr>
              <w:rPr>
                <w:sz w:val="22"/>
                <w:szCs w:val="22"/>
              </w:rPr>
            </w:pPr>
            <w:r>
              <w:rPr>
                <w:sz w:val="22"/>
                <w:szCs w:val="22"/>
              </w:rPr>
              <w:t>Nieznana</w:t>
            </w:r>
          </w:p>
        </w:tc>
        <w:tc>
          <w:tcPr>
            <w:tcW w:w="3402" w:type="dxa"/>
            <w:shd w:val="clear" w:color="auto" w:fill="auto"/>
          </w:tcPr>
          <w:p w14:paraId="47224CDE" w14:textId="77777777" w:rsidR="00C45C3C" w:rsidRPr="00105A25" w:rsidRDefault="00C45C3C" w:rsidP="002A22EC">
            <w:pPr>
              <w:rPr>
                <w:sz w:val="22"/>
                <w:szCs w:val="22"/>
              </w:rPr>
            </w:pPr>
            <w:r>
              <w:rPr>
                <w:sz w:val="22"/>
                <w:szCs w:val="22"/>
              </w:rPr>
              <w:t>Żółtaczka</w:t>
            </w:r>
          </w:p>
        </w:tc>
      </w:tr>
      <w:tr w:rsidR="00C63F1F" w:rsidRPr="00105A25" w14:paraId="5F7247EB" w14:textId="77777777" w:rsidTr="00115876">
        <w:tc>
          <w:tcPr>
            <w:tcW w:w="3510" w:type="dxa"/>
            <w:vMerge w:val="restart"/>
            <w:shd w:val="clear" w:color="auto" w:fill="auto"/>
          </w:tcPr>
          <w:p w14:paraId="34AE6FF4" w14:textId="77777777" w:rsidR="00C63F1F" w:rsidRPr="00105A25" w:rsidRDefault="00C63F1F" w:rsidP="001D75B1">
            <w:pPr>
              <w:rPr>
                <w:sz w:val="22"/>
                <w:szCs w:val="22"/>
              </w:rPr>
            </w:pPr>
            <w:r w:rsidRPr="00105A25">
              <w:rPr>
                <w:noProof/>
                <w:sz w:val="22"/>
                <w:szCs w:val="22"/>
              </w:rPr>
              <w:t>Zaburzenia skóry i tkanki podskórnej</w:t>
            </w:r>
          </w:p>
        </w:tc>
        <w:tc>
          <w:tcPr>
            <w:tcW w:w="2410" w:type="dxa"/>
            <w:shd w:val="clear" w:color="auto" w:fill="auto"/>
          </w:tcPr>
          <w:p w14:paraId="2309A73A" w14:textId="77777777" w:rsidR="00C63F1F" w:rsidRPr="00105A25" w:rsidRDefault="00C63F1F" w:rsidP="001D75B1">
            <w:pPr>
              <w:rPr>
                <w:sz w:val="22"/>
                <w:szCs w:val="22"/>
              </w:rPr>
            </w:pPr>
            <w:r w:rsidRPr="00105A25">
              <w:rPr>
                <w:sz w:val="22"/>
                <w:szCs w:val="22"/>
              </w:rPr>
              <w:t>Niezbyt często</w:t>
            </w:r>
          </w:p>
        </w:tc>
        <w:tc>
          <w:tcPr>
            <w:tcW w:w="3402" w:type="dxa"/>
            <w:shd w:val="clear" w:color="auto" w:fill="auto"/>
          </w:tcPr>
          <w:p w14:paraId="44612FC4" w14:textId="77777777" w:rsidR="00C63F1F" w:rsidRPr="00105A25" w:rsidRDefault="00C63F1F" w:rsidP="002A22EC">
            <w:pPr>
              <w:rPr>
                <w:sz w:val="22"/>
                <w:szCs w:val="22"/>
              </w:rPr>
            </w:pPr>
            <w:r w:rsidRPr="00105A25">
              <w:rPr>
                <w:sz w:val="22"/>
                <w:szCs w:val="22"/>
              </w:rPr>
              <w:t>Wysypka, świąd</w:t>
            </w:r>
          </w:p>
        </w:tc>
      </w:tr>
      <w:tr w:rsidR="00C63F1F" w:rsidRPr="00105A25" w14:paraId="2B8E8B76" w14:textId="77777777" w:rsidTr="00115876">
        <w:tc>
          <w:tcPr>
            <w:tcW w:w="3510" w:type="dxa"/>
            <w:vMerge/>
            <w:shd w:val="clear" w:color="auto" w:fill="auto"/>
          </w:tcPr>
          <w:p w14:paraId="3E3DFAC8" w14:textId="77777777" w:rsidR="00C63F1F" w:rsidRPr="00105A25" w:rsidRDefault="00C63F1F" w:rsidP="001D75B1">
            <w:pPr>
              <w:rPr>
                <w:noProof/>
                <w:sz w:val="22"/>
                <w:szCs w:val="22"/>
              </w:rPr>
            </w:pPr>
          </w:p>
        </w:tc>
        <w:tc>
          <w:tcPr>
            <w:tcW w:w="2410" w:type="dxa"/>
            <w:shd w:val="clear" w:color="auto" w:fill="auto"/>
          </w:tcPr>
          <w:p w14:paraId="6ACAA086" w14:textId="77777777" w:rsidR="00C63F1F" w:rsidRPr="00105A25" w:rsidRDefault="00C63F1F" w:rsidP="001D75B1">
            <w:pPr>
              <w:rPr>
                <w:sz w:val="22"/>
                <w:szCs w:val="22"/>
              </w:rPr>
            </w:pPr>
            <w:r w:rsidRPr="00105A25">
              <w:rPr>
                <w:sz w:val="22"/>
                <w:szCs w:val="22"/>
              </w:rPr>
              <w:t>Nieznana</w:t>
            </w:r>
          </w:p>
        </w:tc>
        <w:tc>
          <w:tcPr>
            <w:tcW w:w="3402" w:type="dxa"/>
            <w:shd w:val="clear" w:color="auto" w:fill="auto"/>
          </w:tcPr>
          <w:p w14:paraId="7A7D14A9" w14:textId="697DC736" w:rsidR="00C63F1F" w:rsidRPr="00105A25" w:rsidRDefault="006313CD" w:rsidP="00FD1226">
            <w:pPr>
              <w:rPr>
                <w:sz w:val="22"/>
                <w:szCs w:val="22"/>
              </w:rPr>
            </w:pPr>
            <w:r>
              <w:rPr>
                <w:sz w:val="22"/>
                <w:szCs w:val="22"/>
              </w:rPr>
              <w:t>O</w:t>
            </w:r>
            <w:r w:rsidR="00FD1226" w:rsidRPr="00FD1226">
              <w:rPr>
                <w:sz w:val="22"/>
                <w:szCs w:val="22"/>
              </w:rPr>
              <w:t xml:space="preserve">brzęk naczynioruchowy, </w:t>
            </w:r>
            <w:r w:rsidR="00A909FE" w:rsidRPr="00A909FE">
              <w:rPr>
                <w:sz w:val="22"/>
                <w:szCs w:val="22"/>
              </w:rPr>
              <w:t>toksyczne martwicze oddzielanie się naskórka</w:t>
            </w:r>
            <w:r w:rsidR="00A909FE">
              <w:rPr>
                <w:sz w:val="22"/>
                <w:szCs w:val="22"/>
              </w:rPr>
              <w:t>,</w:t>
            </w:r>
            <w:r w:rsidR="00A909FE" w:rsidRPr="00A909FE">
              <w:rPr>
                <w:sz w:val="22"/>
                <w:szCs w:val="22"/>
              </w:rPr>
              <w:t xml:space="preserve"> </w:t>
            </w:r>
            <w:r w:rsidR="00FD1226" w:rsidRPr="00FD1226">
              <w:rPr>
                <w:sz w:val="22"/>
                <w:szCs w:val="22"/>
              </w:rPr>
              <w:t xml:space="preserve">zespół Stevensa-Johnsona, </w:t>
            </w:r>
            <w:r w:rsidRPr="006313CD">
              <w:rPr>
                <w:sz w:val="22"/>
                <w:szCs w:val="22"/>
              </w:rPr>
              <w:t>rumień wielopostaciowy</w:t>
            </w:r>
            <w:r>
              <w:rPr>
                <w:sz w:val="22"/>
                <w:szCs w:val="22"/>
              </w:rPr>
              <w:t>,</w:t>
            </w:r>
            <w:r w:rsidRPr="006313CD">
              <w:rPr>
                <w:sz w:val="22"/>
                <w:szCs w:val="22"/>
              </w:rPr>
              <w:t xml:space="preserve"> </w:t>
            </w:r>
            <w:r w:rsidR="00FD1226" w:rsidRPr="00FD1226">
              <w:rPr>
                <w:sz w:val="22"/>
                <w:szCs w:val="22"/>
              </w:rPr>
              <w:t>pokrzywka, łysienie, złuszczając</w:t>
            </w:r>
            <w:r w:rsidR="00FD1226">
              <w:rPr>
                <w:sz w:val="22"/>
                <w:szCs w:val="22"/>
              </w:rPr>
              <w:t>e</w:t>
            </w:r>
            <w:r w:rsidR="00FD1226" w:rsidRPr="00FD1226">
              <w:rPr>
                <w:sz w:val="22"/>
                <w:szCs w:val="22"/>
              </w:rPr>
              <w:t xml:space="preserve"> zapalenie skóry, nadwrażliwość na światło</w:t>
            </w:r>
            <w:r>
              <w:rPr>
                <w:sz w:val="22"/>
                <w:szCs w:val="22"/>
              </w:rPr>
              <w:t xml:space="preserve">, </w:t>
            </w:r>
            <w:r w:rsidRPr="006313CD">
              <w:rPr>
                <w:sz w:val="22"/>
                <w:szCs w:val="22"/>
              </w:rPr>
              <w:t>wysypka łuszczycopodobna</w:t>
            </w:r>
            <w:r>
              <w:rPr>
                <w:sz w:val="22"/>
                <w:szCs w:val="22"/>
              </w:rPr>
              <w:t>, wyprysk, pokrzywka</w:t>
            </w:r>
          </w:p>
        </w:tc>
      </w:tr>
      <w:tr w:rsidR="00BA51FD" w:rsidRPr="00105A25" w14:paraId="77E0A808" w14:textId="77777777" w:rsidTr="00BA51FD">
        <w:trPr>
          <w:trHeight w:val="510"/>
        </w:trPr>
        <w:tc>
          <w:tcPr>
            <w:tcW w:w="3510" w:type="dxa"/>
            <w:vMerge w:val="restart"/>
            <w:shd w:val="clear" w:color="auto" w:fill="auto"/>
          </w:tcPr>
          <w:p w14:paraId="1688EF48" w14:textId="77777777" w:rsidR="00BA51FD" w:rsidRPr="00105A25" w:rsidRDefault="00BA51FD" w:rsidP="001D75B1">
            <w:pPr>
              <w:rPr>
                <w:sz w:val="22"/>
                <w:szCs w:val="22"/>
              </w:rPr>
            </w:pPr>
            <w:r w:rsidRPr="00105A25">
              <w:rPr>
                <w:noProof/>
                <w:sz w:val="22"/>
                <w:szCs w:val="22"/>
              </w:rPr>
              <w:t>Zaburzenia nerek i dróg moczowych</w:t>
            </w:r>
          </w:p>
        </w:tc>
        <w:tc>
          <w:tcPr>
            <w:tcW w:w="2410" w:type="dxa"/>
            <w:shd w:val="clear" w:color="auto" w:fill="auto"/>
          </w:tcPr>
          <w:p w14:paraId="1E506697" w14:textId="3C0B828A" w:rsidR="00BA51FD" w:rsidRPr="00105A25" w:rsidRDefault="00BA51FD" w:rsidP="001D75B1">
            <w:pPr>
              <w:rPr>
                <w:sz w:val="22"/>
                <w:szCs w:val="22"/>
              </w:rPr>
            </w:pPr>
            <w:r>
              <w:rPr>
                <w:sz w:val="22"/>
                <w:szCs w:val="22"/>
              </w:rPr>
              <w:t>Rzadko</w:t>
            </w:r>
          </w:p>
        </w:tc>
        <w:tc>
          <w:tcPr>
            <w:tcW w:w="3402" w:type="dxa"/>
            <w:shd w:val="clear" w:color="auto" w:fill="auto"/>
          </w:tcPr>
          <w:p w14:paraId="0D7C62A2" w14:textId="01F9FA5A" w:rsidR="00BA51FD" w:rsidRPr="00105A25" w:rsidRDefault="00BA51FD" w:rsidP="009E6641">
            <w:pPr>
              <w:tabs>
                <w:tab w:val="num" w:pos="0"/>
              </w:tabs>
              <w:rPr>
                <w:sz w:val="22"/>
                <w:szCs w:val="22"/>
              </w:rPr>
            </w:pPr>
            <w:r>
              <w:rPr>
                <w:sz w:val="22"/>
                <w:szCs w:val="22"/>
              </w:rPr>
              <w:t>Zaburzenia czynności nerek, białkomocz</w:t>
            </w:r>
          </w:p>
        </w:tc>
      </w:tr>
      <w:tr w:rsidR="00BA51FD" w:rsidRPr="00105A25" w14:paraId="315BEB38" w14:textId="77777777" w:rsidTr="002A63DA">
        <w:trPr>
          <w:trHeight w:val="510"/>
        </w:trPr>
        <w:tc>
          <w:tcPr>
            <w:tcW w:w="3510" w:type="dxa"/>
            <w:vMerge/>
            <w:shd w:val="clear" w:color="auto" w:fill="auto"/>
          </w:tcPr>
          <w:p w14:paraId="09E0DE94" w14:textId="77777777" w:rsidR="00BA51FD" w:rsidRPr="00105A25" w:rsidRDefault="00BA51FD" w:rsidP="001D75B1">
            <w:pPr>
              <w:rPr>
                <w:noProof/>
                <w:sz w:val="22"/>
                <w:szCs w:val="22"/>
              </w:rPr>
            </w:pPr>
          </w:p>
        </w:tc>
        <w:tc>
          <w:tcPr>
            <w:tcW w:w="2410" w:type="dxa"/>
            <w:shd w:val="clear" w:color="auto" w:fill="auto"/>
          </w:tcPr>
          <w:p w14:paraId="12C799FA" w14:textId="1D049797" w:rsidR="00BA51FD" w:rsidRPr="00105A25" w:rsidDel="0088344C" w:rsidRDefault="000B2A87" w:rsidP="001D75B1">
            <w:pPr>
              <w:rPr>
                <w:sz w:val="22"/>
                <w:szCs w:val="22"/>
              </w:rPr>
            </w:pPr>
            <w:r>
              <w:rPr>
                <w:sz w:val="22"/>
                <w:szCs w:val="22"/>
              </w:rPr>
              <w:t>Nieznana</w:t>
            </w:r>
          </w:p>
        </w:tc>
        <w:tc>
          <w:tcPr>
            <w:tcW w:w="3402" w:type="dxa"/>
            <w:shd w:val="clear" w:color="auto" w:fill="auto"/>
          </w:tcPr>
          <w:p w14:paraId="0E6AC6DE" w14:textId="3FAB54CB" w:rsidR="00BA51FD" w:rsidRPr="00105A25" w:rsidDel="00401086" w:rsidRDefault="000B2A87" w:rsidP="0088344C">
            <w:pPr>
              <w:tabs>
                <w:tab w:val="num" w:pos="0"/>
              </w:tabs>
              <w:rPr>
                <w:sz w:val="22"/>
                <w:szCs w:val="22"/>
              </w:rPr>
            </w:pPr>
            <w:r>
              <w:rPr>
                <w:sz w:val="22"/>
                <w:szCs w:val="22"/>
              </w:rPr>
              <w:t>Ostra niewydolność nerek</w:t>
            </w:r>
          </w:p>
        </w:tc>
      </w:tr>
      <w:tr w:rsidR="006C26C4" w:rsidRPr="00105A25" w14:paraId="48715C55" w14:textId="77777777" w:rsidTr="00115876">
        <w:tc>
          <w:tcPr>
            <w:tcW w:w="3510" w:type="dxa"/>
            <w:shd w:val="clear" w:color="auto" w:fill="auto"/>
          </w:tcPr>
          <w:p w14:paraId="505DCF94" w14:textId="77777777" w:rsidR="006C26C4" w:rsidRPr="00105A25" w:rsidRDefault="006C26C4" w:rsidP="001D75B1">
            <w:pPr>
              <w:rPr>
                <w:noProof/>
                <w:sz w:val="22"/>
                <w:szCs w:val="22"/>
              </w:rPr>
            </w:pPr>
            <w:r w:rsidRPr="00105A25">
              <w:rPr>
                <w:noProof/>
                <w:sz w:val="22"/>
                <w:szCs w:val="22"/>
              </w:rPr>
              <w:t>Zaburzenia układu rozrodczego i piersi</w:t>
            </w:r>
          </w:p>
        </w:tc>
        <w:tc>
          <w:tcPr>
            <w:tcW w:w="2410" w:type="dxa"/>
            <w:shd w:val="clear" w:color="auto" w:fill="auto"/>
          </w:tcPr>
          <w:p w14:paraId="39F14DB6" w14:textId="77777777" w:rsidR="006C26C4" w:rsidRPr="00105A25" w:rsidRDefault="006C26C4" w:rsidP="001D75B1">
            <w:pPr>
              <w:rPr>
                <w:sz w:val="22"/>
                <w:szCs w:val="22"/>
              </w:rPr>
            </w:pPr>
            <w:r w:rsidRPr="00105A25">
              <w:rPr>
                <w:sz w:val="22"/>
                <w:szCs w:val="22"/>
              </w:rPr>
              <w:t>Nieznana</w:t>
            </w:r>
          </w:p>
        </w:tc>
        <w:tc>
          <w:tcPr>
            <w:tcW w:w="3402" w:type="dxa"/>
            <w:shd w:val="clear" w:color="auto" w:fill="auto"/>
          </w:tcPr>
          <w:p w14:paraId="793F1D00" w14:textId="77777777" w:rsidR="006C26C4" w:rsidRPr="00105A25" w:rsidRDefault="006C26C4" w:rsidP="009E6641">
            <w:pPr>
              <w:tabs>
                <w:tab w:val="num" w:pos="0"/>
              </w:tabs>
              <w:rPr>
                <w:sz w:val="22"/>
                <w:szCs w:val="22"/>
              </w:rPr>
            </w:pPr>
            <w:r w:rsidRPr="00105A25">
              <w:rPr>
                <w:sz w:val="22"/>
                <w:szCs w:val="22"/>
              </w:rPr>
              <w:t>Impotencja</w:t>
            </w:r>
          </w:p>
          <w:p w14:paraId="054879B2" w14:textId="77777777" w:rsidR="00A80A45" w:rsidRPr="00105A25" w:rsidRDefault="00A80A45" w:rsidP="009E6641">
            <w:pPr>
              <w:tabs>
                <w:tab w:val="num" w:pos="0"/>
              </w:tabs>
              <w:rPr>
                <w:sz w:val="22"/>
                <w:szCs w:val="22"/>
              </w:rPr>
            </w:pPr>
          </w:p>
        </w:tc>
      </w:tr>
      <w:tr w:rsidR="00401086" w:rsidRPr="00105A25" w14:paraId="70ED1082" w14:textId="77777777" w:rsidTr="00115876">
        <w:tc>
          <w:tcPr>
            <w:tcW w:w="3510" w:type="dxa"/>
            <w:shd w:val="clear" w:color="auto" w:fill="auto"/>
          </w:tcPr>
          <w:p w14:paraId="3FF00B56" w14:textId="77777777" w:rsidR="00401086" w:rsidRPr="00105A25" w:rsidRDefault="00401086" w:rsidP="001D75B1">
            <w:pPr>
              <w:rPr>
                <w:noProof/>
                <w:sz w:val="22"/>
                <w:szCs w:val="22"/>
              </w:rPr>
            </w:pPr>
            <w:r w:rsidRPr="00401086">
              <w:rPr>
                <w:noProof/>
                <w:sz w:val="22"/>
                <w:szCs w:val="22"/>
              </w:rPr>
              <w:t>Zaburzenia ogólne i stany w miejscu podania</w:t>
            </w:r>
          </w:p>
        </w:tc>
        <w:tc>
          <w:tcPr>
            <w:tcW w:w="2410" w:type="dxa"/>
            <w:shd w:val="clear" w:color="auto" w:fill="auto"/>
          </w:tcPr>
          <w:p w14:paraId="76EFAFA4" w14:textId="6E05EE50" w:rsidR="00401086" w:rsidRPr="00105A25" w:rsidRDefault="000B2A87" w:rsidP="001D75B1">
            <w:pPr>
              <w:rPr>
                <w:sz w:val="22"/>
                <w:szCs w:val="22"/>
              </w:rPr>
            </w:pPr>
            <w:r>
              <w:rPr>
                <w:sz w:val="22"/>
                <w:szCs w:val="22"/>
              </w:rPr>
              <w:t>Rzadko</w:t>
            </w:r>
          </w:p>
        </w:tc>
        <w:tc>
          <w:tcPr>
            <w:tcW w:w="3402" w:type="dxa"/>
            <w:shd w:val="clear" w:color="auto" w:fill="auto"/>
          </w:tcPr>
          <w:p w14:paraId="643218C4" w14:textId="77777777" w:rsidR="00401086" w:rsidRPr="00105A25" w:rsidRDefault="00904F81" w:rsidP="009E6641">
            <w:pPr>
              <w:tabs>
                <w:tab w:val="num" w:pos="0"/>
              </w:tabs>
              <w:rPr>
                <w:sz w:val="22"/>
                <w:szCs w:val="22"/>
              </w:rPr>
            </w:pPr>
            <w:r>
              <w:rPr>
                <w:sz w:val="22"/>
                <w:szCs w:val="22"/>
              </w:rPr>
              <w:t>Obrzęk, zmęczenie</w:t>
            </w:r>
          </w:p>
        </w:tc>
      </w:tr>
      <w:tr w:rsidR="002A22EC" w:rsidRPr="00105A25" w14:paraId="120EB071" w14:textId="77777777" w:rsidTr="00115876">
        <w:tc>
          <w:tcPr>
            <w:tcW w:w="3510" w:type="dxa"/>
            <w:shd w:val="clear" w:color="auto" w:fill="auto"/>
          </w:tcPr>
          <w:p w14:paraId="519F4E5A" w14:textId="77777777" w:rsidR="002A22EC" w:rsidRPr="00105A25" w:rsidRDefault="004F26F7" w:rsidP="001D75B1">
            <w:pPr>
              <w:rPr>
                <w:sz w:val="22"/>
                <w:szCs w:val="22"/>
              </w:rPr>
            </w:pPr>
            <w:r w:rsidRPr="00105A25">
              <w:rPr>
                <w:noProof/>
                <w:sz w:val="22"/>
                <w:szCs w:val="22"/>
              </w:rPr>
              <w:t>Badania diagnostyczne</w:t>
            </w:r>
          </w:p>
        </w:tc>
        <w:tc>
          <w:tcPr>
            <w:tcW w:w="2410" w:type="dxa"/>
            <w:shd w:val="clear" w:color="auto" w:fill="auto"/>
          </w:tcPr>
          <w:p w14:paraId="678DA7BD" w14:textId="1B03427A" w:rsidR="002A22EC" w:rsidRPr="00105A25" w:rsidRDefault="006C26C4" w:rsidP="001D75B1">
            <w:pPr>
              <w:rPr>
                <w:sz w:val="22"/>
                <w:szCs w:val="22"/>
              </w:rPr>
            </w:pPr>
            <w:r w:rsidRPr="00105A25">
              <w:rPr>
                <w:sz w:val="22"/>
                <w:szCs w:val="22"/>
              </w:rPr>
              <w:t>Nieznana</w:t>
            </w:r>
          </w:p>
        </w:tc>
        <w:tc>
          <w:tcPr>
            <w:tcW w:w="3402" w:type="dxa"/>
            <w:shd w:val="clear" w:color="auto" w:fill="auto"/>
          </w:tcPr>
          <w:p w14:paraId="4068DDB8" w14:textId="73E0D79A" w:rsidR="002A22EC" w:rsidRPr="00105A25" w:rsidRDefault="006C26C4" w:rsidP="00422019">
            <w:pPr>
              <w:rPr>
                <w:sz w:val="22"/>
                <w:szCs w:val="22"/>
              </w:rPr>
            </w:pPr>
            <w:r w:rsidRPr="00105A25">
              <w:rPr>
                <w:sz w:val="22"/>
                <w:szCs w:val="22"/>
              </w:rPr>
              <w:t>Zwiększenie stężenia mocznika i kreatyniny w surowicy krwi, zwiększenie stężenia potasu</w:t>
            </w:r>
            <w:r w:rsidR="00422019" w:rsidRPr="00105A25">
              <w:rPr>
                <w:sz w:val="22"/>
                <w:szCs w:val="22"/>
              </w:rPr>
              <w:t>, zwiększenie aktywności enzymów wątrobowych, stężenia bilirubiny i aktywności fosfokinazy kreatyniny w surowicy (CPK)</w:t>
            </w:r>
            <w:r w:rsidR="00D93D08">
              <w:rPr>
                <w:sz w:val="22"/>
                <w:szCs w:val="22"/>
              </w:rPr>
              <w:t>,</w:t>
            </w:r>
            <w:r w:rsidR="00DB0093">
              <w:rPr>
                <w:sz w:val="22"/>
                <w:szCs w:val="22"/>
              </w:rPr>
              <w:t xml:space="preserve"> </w:t>
            </w:r>
            <w:r w:rsidR="009C4031">
              <w:rPr>
                <w:sz w:val="22"/>
                <w:szCs w:val="22"/>
              </w:rPr>
              <w:t xml:space="preserve">aktywności fosfatazy alkalicznej </w:t>
            </w:r>
            <w:r w:rsidR="00DB0093">
              <w:rPr>
                <w:sz w:val="22"/>
                <w:szCs w:val="22"/>
              </w:rPr>
              <w:t>oraz aktywności dehydrogenazy mleczanowej</w:t>
            </w:r>
          </w:p>
        </w:tc>
      </w:tr>
    </w:tbl>
    <w:p w14:paraId="5893954C" w14:textId="77777777" w:rsidR="001D75B1" w:rsidRPr="00105A25" w:rsidRDefault="001D75B1" w:rsidP="001D75B1">
      <w:pPr>
        <w:tabs>
          <w:tab w:val="num" w:pos="0"/>
        </w:tabs>
        <w:rPr>
          <w:sz w:val="22"/>
          <w:szCs w:val="22"/>
        </w:rPr>
      </w:pPr>
    </w:p>
    <w:p w14:paraId="30D371EE" w14:textId="77777777" w:rsidR="00210FFB" w:rsidRDefault="00210FFB" w:rsidP="00210FFB">
      <w:pPr>
        <w:tabs>
          <w:tab w:val="left" w:pos="567"/>
        </w:tabs>
        <w:rPr>
          <w:sz w:val="22"/>
          <w:szCs w:val="22"/>
          <w:u w:val="single"/>
        </w:rPr>
      </w:pPr>
      <w:r>
        <w:rPr>
          <w:sz w:val="22"/>
          <w:szCs w:val="22"/>
          <w:u w:val="single"/>
        </w:rPr>
        <w:t>Zgłaszanie podejrzewanych działań niepożądanych</w:t>
      </w:r>
    </w:p>
    <w:p w14:paraId="3AC691D3" w14:textId="77777777" w:rsidR="00210FFB" w:rsidRDefault="00210FFB" w:rsidP="00210FFB">
      <w:pPr>
        <w:tabs>
          <w:tab w:val="left" w:pos="567"/>
        </w:tabs>
        <w:autoSpaceDE w:val="0"/>
        <w:autoSpaceDN w:val="0"/>
        <w:adjustRightInd w:val="0"/>
        <w:rPr>
          <w:bCs/>
          <w:noProof/>
          <w:sz w:val="22"/>
          <w:szCs w:val="22"/>
          <w:lang w:eastAsia="zh-CN"/>
        </w:rPr>
      </w:pPr>
      <w:r>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Pr>
          <w:bCs/>
          <w:sz w:val="22"/>
          <w:szCs w:val="22"/>
          <w:lang w:eastAsia="zh-CN"/>
        </w:rPr>
        <w:t>Departamentu Monitorowania Niepożądanych Działań Produktów Leczniczych Urzędu Rejestracji Produktów Leczniczych, Wyrobów Medycznych i Produktów Biobójczych</w:t>
      </w:r>
      <w:r w:rsidR="00CA0150">
        <w:rPr>
          <w:bCs/>
          <w:sz w:val="22"/>
          <w:szCs w:val="22"/>
          <w:lang w:eastAsia="zh-CN"/>
        </w:rPr>
        <w:t>:</w:t>
      </w:r>
    </w:p>
    <w:p w14:paraId="6ED527BD" w14:textId="77777777" w:rsidR="00210FFB" w:rsidRDefault="00210FFB" w:rsidP="00210FFB">
      <w:pPr>
        <w:rPr>
          <w:rStyle w:val="Pogrubienie"/>
          <w:b w:val="0"/>
        </w:rPr>
      </w:pPr>
      <w:r>
        <w:rPr>
          <w:rStyle w:val="Pogrubienie"/>
          <w:b w:val="0"/>
          <w:sz w:val="22"/>
          <w:szCs w:val="22"/>
        </w:rPr>
        <w:t xml:space="preserve">Al. Jerozolimskie 181 C, 02-222 Warszawa </w:t>
      </w:r>
    </w:p>
    <w:p w14:paraId="02626092" w14:textId="77777777" w:rsidR="00210FFB" w:rsidRPr="007816FE" w:rsidRDefault="00210FFB" w:rsidP="00210FFB">
      <w:r w:rsidRPr="007816FE">
        <w:rPr>
          <w:sz w:val="22"/>
          <w:szCs w:val="22"/>
        </w:rPr>
        <w:t>Tel.: +48 22 49 21 301, Faks: + 48 22 49 21 309</w:t>
      </w:r>
    </w:p>
    <w:p w14:paraId="131F6B87" w14:textId="77777777" w:rsidR="00210FFB" w:rsidRPr="00456FC1" w:rsidRDefault="00436E19" w:rsidP="00456FC1">
      <w:pPr>
        <w:rPr>
          <w:rFonts w:eastAsia="Calibri"/>
          <w:bCs/>
          <w:sz w:val="22"/>
          <w:szCs w:val="22"/>
          <w:lang w:eastAsia="zh-CN"/>
        </w:rPr>
      </w:pPr>
      <w:r w:rsidRPr="00456FC1">
        <w:rPr>
          <w:sz w:val="22"/>
          <w:szCs w:val="22"/>
        </w:rPr>
        <w:t>Strona internetowa: </w:t>
      </w:r>
      <w:hyperlink r:id="rId8" w:tgtFrame="_blank" w:tooltip="https://smz.ezdrowie.gov.pl/" w:history="1">
        <w:r w:rsidRPr="00456FC1">
          <w:rPr>
            <w:rStyle w:val="Hipercze"/>
            <w:sz w:val="22"/>
            <w:szCs w:val="22"/>
          </w:rPr>
          <w:t>https://smz.ezdrowie.gov.pl</w:t>
        </w:r>
      </w:hyperlink>
    </w:p>
    <w:p w14:paraId="376CCD26" w14:textId="77777777" w:rsidR="000D6499" w:rsidRPr="000D6499" w:rsidRDefault="000D6499" w:rsidP="000D6499">
      <w:pPr>
        <w:outlineLvl w:val="0"/>
        <w:rPr>
          <w:b/>
          <w:sz w:val="22"/>
          <w:szCs w:val="22"/>
        </w:rPr>
      </w:pPr>
      <w:r w:rsidRPr="007250A5">
        <w:rPr>
          <w:snapToGrid w:val="0"/>
          <w:sz w:val="22"/>
          <w:szCs w:val="22"/>
          <w:lang w:eastAsia="hu-HU"/>
        </w:rPr>
        <w:t>Działania niepożądane można zgłaszać również podmiotowi odpowiedzialnemu.</w:t>
      </w:r>
    </w:p>
    <w:p w14:paraId="6406F0A3" w14:textId="77777777" w:rsidR="000D6499" w:rsidRPr="000D6499" w:rsidRDefault="000D6499" w:rsidP="001D75B1">
      <w:pPr>
        <w:outlineLvl w:val="0"/>
        <w:rPr>
          <w:b/>
          <w:sz w:val="22"/>
          <w:szCs w:val="22"/>
        </w:rPr>
      </w:pPr>
    </w:p>
    <w:p w14:paraId="794A8224" w14:textId="77777777" w:rsidR="00D7495B" w:rsidRPr="00105A25" w:rsidRDefault="001D75B1" w:rsidP="001D75B1">
      <w:pPr>
        <w:outlineLvl w:val="0"/>
        <w:rPr>
          <w:b/>
          <w:sz w:val="22"/>
          <w:szCs w:val="22"/>
        </w:rPr>
      </w:pPr>
      <w:r w:rsidRPr="00105A25">
        <w:rPr>
          <w:b/>
          <w:sz w:val="22"/>
          <w:szCs w:val="22"/>
        </w:rPr>
        <w:t>4.9.</w:t>
      </w:r>
      <w:r w:rsidRPr="00105A25">
        <w:rPr>
          <w:b/>
          <w:sz w:val="22"/>
          <w:szCs w:val="22"/>
        </w:rPr>
        <w:tab/>
      </w:r>
      <w:r w:rsidR="00D7495B" w:rsidRPr="00105A25">
        <w:rPr>
          <w:b/>
          <w:sz w:val="22"/>
          <w:szCs w:val="22"/>
        </w:rPr>
        <w:t>Przedawkowanie</w:t>
      </w:r>
    </w:p>
    <w:p w14:paraId="3A6F929E" w14:textId="77777777" w:rsidR="001D75B1" w:rsidRPr="00105A25" w:rsidRDefault="001D75B1" w:rsidP="001D75B1">
      <w:pPr>
        <w:rPr>
          <w:sz w:val="22"/>
          <w:szCs w:val="22"/>
        </w:rPr>
      </w:pPr>
    </w:p>
    <w:p w14:paraId="655894D5" w14:textId="7494716D" w:rsidR="00D7495B" w:rsidRPr="00105A25" w:rsidRDefault="00D7495B" w:rsidP="001D75B1">
      <w:pPr>
        <w:rPr>
          <w:sz w:val="22"/>
          <w:szCs w:val="22"/>
        </w:rPr>
      </w:pPr>
      <w:r w:rsidRPr="00105A25">
        <w:rPr>
          <w:sz w:val="22"/>
          <w:szCs w:val="22"/>
        </w:rPr>
        <w:t xml:space="preserve">Objawy przedawkowania to ciężkie niedociśnienie, wstrząs, </w:t>
      </w:r>
      <w:r w:rsidR="00124C87" w:rsidRPr="00105A25">
        <w:rPr>
          <w:sz w:val="22"/>
          <w:szCs w:val="22"/>
        </w:rPr>
        <w:t>osłupienie</w:t>
      </w:r>
      <w:r w:rsidRPr="00105A25">
        <w:rPr>
          <w:sz w:val="22"/>
          <w:szCs w:val="22"/>
        </w:rPr>
        <w:t xml:space="preserve">, bradykardia, zaburzenia równowagi wodno-elektrolitowej i niewydolność nerek. Po przyjęciu nadmiernej dawki chory </w:t>
      </w:r>
      <w:r w:rsidRPr="00105A25">
        <w:rPr>
          <w:sz w:val="22"/>
          <w:szCs w:val="22"/>
        </w:rPr>
        <w:lastRenderedPageBreak/>
        <w:t>powinien przebywać pod ścisłym nadzorem lekarskim, najlepiej w oddziale intensywnej opieki medycznej. Należy kontrolować stężenia elektrolitów i kreatyniny w</w:t>
      </w:r>
      <w:r w:rsidR="002C370E" w:rsidRPr="00105A25">
        <w:rPr>
          <w:sz w:val="22"/>
          <w:szCs w:val="22"/>
        </w:rPr>
        <w:t> </w:t>
      </w:r>
      <w:r w:rsidRPr="00105A25">
        <w:rPr>
          <w:sz w:val="22"/>
          <w:szCs w:val="22"/>
        </w:rPr>
        <w:t>surowicy. Sposób leczenia przedawkowania należy dostosować do rodzaju i nasilenia objawów. W krótkim czasie od przedawkowania (około 30 minut) skuteczne może być wykonanie płukania żołądka, podanie środków adsorpcyjnych i siarczanu sodu w celu usunięcia lub opóźnienia wchłaniania preparatu.</w:t>
      </w:r>
    </w:p>
    <w:p w14:paraId="12529CA1" w14:textId="77777777" w:rsidR="001D75B1" w:rsidRPr="00105A25" w:rsidRDefault="001D75B1" w:rsidP="001D75B1">
      <w:pPr>
        <w:rPr>
          <w:sz w:val="22"/>
          <w:szCs w:val="22"/>
        </w:rPr>
      </w:pPr>
    </w:p>
    <w:p w14:paraId="064F7986" w14:textId="77777777" w:rsidR="00D7495B" w:rsidRPr="00105A25" w:rsidRDefault="00D7495B" w:rsidP="001D75B1">
      <w:pPr>
        <w:rPr>
          <w:sz w:val="22"/>
          <w:szCs w:val="22"/>
        </w:rPr>
      </w:pPr>
      <w:r w:rsidRPr="00105A25">
        <w:rPr>
          <w:sz w:val="22"/>
          <w:szCs w:val="22"/>
        </w:rPr>
        <w:t xml:space="preserve">W przypadku przedawkowania leku i wystąpienia niedociśnienia należy zwiększyć objętość krwi krążącej podając we wlewie dożylnym 0,9% roztwór chlorku sodu. </w:t>
      </w:r>
      <w:r w:rsidR="00280FD3" w:rsidRPr="00105A25">
        <w:rPr>
          <w:sz w:val="22"/>
          <w:szCs w:val="22"/>
        </w:rPr>
        <w:t>Imidapryl</w:t>
      </w:r>
      <w:r w:rsidRPr="00105A25">
        <w:rPr>
          <w:sz w:val="22"/>
          <w:szCs w:val="22"/>
        </w:rPr>
        <w:t xml:space="preserve"> można usunąć z</w:t>
      </w:r>
      <w:r w:rsidR="00042C5D" w:rsidRPr="00105A25">
        <w:rPr>
          <w:sz w:val="22"/>
          <w:szCs w:val="22"/>
        </w:rPr>
        <w:t> </w:t>
      </w:r>
      <w:r w:rsidRPr="00105A25">
        <w:rPr>
          <w:sz w:val="22"/>
          <w:szCs w:val="22"/>
        </w:rPr>
        <w:t>surowicy za pomocą hemodializy. Bradykardię lub inne zaburzenia związane z</w:t>
      </w:r>
      <w:r w:rsidR="002C370E" w:rsidRPr="00105A25">
        <w:rPr>
          <w:sz w:val="22"/>
          <w:szCs w:val="22"/>
        </w:rPr>
        <w:t> </w:t>
      </w:r>
      <w:r w:rsidRPr="00105A25">
        <w:rPr>
          <w:sz w:val="22"/>
          <w:szCs w:val="22"/>
        </w:rPr>
        <w:t>nadmiernym napięciem nerwu błędnego należy leczyć podawaniem atropiny. W</w:t>
      </w:r>
      <w:r w:rsidR="002C370E" w:rsidRPr="00105A25">
        <w:rPr>
          <w:sz w:val="22"/>
          <w:szCs w:val="22"/>
        </w:rPr>
        <w:t> </w:t>
      </w:r>
      <w:r w:rsidRPr="00105A25">
        <w:rPr>
          <w:sz w:val="22"/>
          <w:szCs w:val="22"/>
        </w:rPr>
        <w:t xml:space="preserve">przypadkach, gdy leczenie farmakologiczne bradykardii jest nieskuteczne, należy zastosować elektrostymulację serca. </w:t>
      </w:r>
      <w:r w:rsidR="00280FD3" w:rsidRPr="00105A25">
        <w:rPr>
          <w:sz w:val="22"/>
          <w:szCs w:val="22"/>
        </w:rPr>
        <w:t>Imidapryl</w:t>
      </w:r>
      <w:r w:rsidRPr="00105A25">
        <w:rPr>
          <w:sz w:val="22"/>
          <w:szCs w:val="22"/>
        </w:rPr>
        <w:t xml:space="preserve"> i</w:t>
      </w:r>
      <w:r w:rsidR="00105A25">
        <w:rPr>
          <w:sz w:val="22"/>
          <w:szCs w:val="22"/>
        </w:rPr>
        <w:t> </w:t>
      </w:r>
      <w:r w:rsidR="00280FD3" w:rsidRPr="00105A25">
        <w:rPr>
          <w:sz w:val="22"/>
          <w:szCs w:val="22"/>
        </w:rPr>
        <w:t>imidapryl</w:t>
      </w:r>
      <w:r w:rsidRPr="00105A25">
        <w:rPr>
          <w:sz w:val="22"/>
          <w:szCs w:val="22"/>
        </w:rPr>
        <w:t xml:space="preserve">at można usunąć w czasie hemodializy. Nie należy stosować </w:t>
      </w:r>
      <w:r w:rsidR="00124C87" w:rsidRPr="00105A25">
        <w:rPr>
          <w:sz w:val="22"/>
          <w:szCs w:val="22"/>
        </w:rPr>
        <w:t>poliakrylonitrylowych</w:t>
      </w:r>
      <w:r w:rsidR="00124C87" w:rsidRPr="00105A25" w:rsidDel="00124C87">
        <w:rPr>
          <w:sz w:val="22"/>
          <w:szCs w:val="22"/>
        </w:rPr>
        <w:t xml:space="preserve"> </w:t>
      </w:r>
      <w:r w:rsidRPr="00105A25">
        <w:rPr>
          <w:sz w:val="22"/>
          <w:szCs w:val="22"/>
        </w:rPr>
        <w:t>błon</w:t>
      </w:r>
      <w:r w:rsidR="00124C87" w:rsidRPr="00105A25">
        <w:rPr>
          <w:sz w:val="22"/>
          <w:szCs w:val="22"/>
        </w:rPr>
        <w:t xml:space="preserve"> o wysokiej przepuszczalności</w:t>
      </w:r>
      <w:r w:rsidRPr="00105A25">
        <w:rPr>
          <w:sz w:val="22"/>
          <w:szCs w:val="22"/>
        </w:rPr>
        <w:t>.</w:t>
      </w:r>
    </w:p>
    <w:p w14:paraId="31F5C387" w14:textId="77777777" w:rsidR="00D11D86" w:rsidRPr="00105A25" w:rsidRDefault="00D11D86" w:rsidP="001D75B1">
      <w:pPr>
        <w:rPr>
          <w:sz w:val="22"/>
          <w:szCs w:val="22"/>
        </w:rPr>
      </w:pPr>
    </w:p>
    <w:p w14:paraId="3C5ACE36" w14:textId="77777777" w:rsidR="001D75B1" w:rsidRPr="00105A25" w:rsidRDefault="001D75B1" w:rsidP="001D75B1">
      <w:pPr>
        <w:rPr>
          <w:sz w:val="22"/>
          <w:szCs w:val="22"/>
        </w:rPr>
      </w:pPr>
    </w:p>
    <w:p w14:paraId="02A5C1FE" w14:textId="77777777" w:rsidR="00D7495B" w:rsidRPr="00105A25" w:rsidRDefault="001D75B1" w:rsidP="001D75B1">
      <w:pPr>
        <w:rPr>
          <w:b/>
          <w:sz w:val="22"/>
          <w:szCs w:val="22"/>
        </w:rPr>
      </w:pPr>
      <w:r w:rsidRPr="00105A25">
        <w:rPr>
          <w:b/>
          <w:sz w:val="22"/>
          <w:szCs w:val="22"/>
        </w:rPr>
        <w:t>5.</w:t>
      </w:r>
      <w:r w:rsidRPr="00105A25">
        <w:rPr>
          <w:b/>
          <w:sz w:val="22"/>
          <w:szCs w:val="22"/>
        </w:rPr>
        <w:tab/>
      </w:r>
      <w:r w:rsidR="00D7495B" w:rsidRPr="00105A25">
        <w:rPr>
          <w:b/>
          <w:sz w:val="22"/>
          <w:szCs w:val="22"/>
        </w:rPr>
        <w:t>WŁAŚCIWOŚCI FARMAKOLOGICZNE</w:t>
      </w:r>
    </w:p>
    <w:p w14:paraId="2C0FCE9E" w14:textId="77777777" w:rsidR="001D75B1" w:rsidRPr="00105A25" w:rsidRDefault="001D75B1" w:rsidP="001D75B1">
      <w:pPr>
        <w:rPr>
          <w:b/>
          <w:sz w:val="22"/>
          <w:szCs w:val="22"/>
        </w:rPr>
      </w:pPr>
    </w:p>
    <w:p w14:paraId="757656B8" w14:textId="77777777" w:rsidR="00D7495B" w:rsidRPr="00105A25" w:rsidRDefault="001D75B1" w:rsidP="001D75B1">
      <w:pPr>
        <w:rPr>
          <w:b/>
          <w:sz w:val="22"/>
          <w:szCs w:val="22"/>
        </w:rPr>
      </w:pPr>
      <w:r w:rsidRPr="00105A25">
        <w:rPr>
          <w:b/>
          <w:sz w:val="22"/>
          <w:szCs w:val="22"/>
        </w:rPr>
        <w:t>5.1</w:t>
      </w:r>
      <w:r w:rsidRPr="00105A25">
        <w:rPr>
          <w:b/>
          <w:sz w:val="22"/>
          <w:szCs w:val="22"/>
        </w:rPr>
        <w:tab/>
      </w:r>
      <w:r w:rsidR="00D7495B" w:rsidRPr="00105A25">
        <w:rPr>
          <w:b/>
          <w:sz w:val="22"/>
          <w:szCs w:val="22"/>
        </w:rPr>
        <w:t>Właściwości farmakodynamiczne</w:t>
      </w:r>
    </w:p>
    <w:p w14:paraId="57E9C116" w14:textId="77777777" w:rsidR="001D75B1" w:rsidRPr="00105A25" w:rsidRDefault="001D75B1" w:rsidP="001D75B1">
      <w:pPr>
        <w:outlineLvl w:val="0"/>
        <w:rPr>
          <w:sz w:val="22"/>
          <w:szCs w:val="22"/>
        </w:rPr>
      </w:pPr>
    </w:p>
    <w:p w14:paraId="3DA146BA" w14:textId="77777777" w:rsidR="00D7495B" w:rsidRPr="00105A25" w:rsidRDefault="00D7495B" w:rsidP="001D75B1">
      <w:pPr>
        <w:outlineLvl w:val="0"/>
        <w:rPr>
          <w:sz w:val="22"/>
          <w:szCs w:val="22"/>
        </w:rPr>
      </w:pPr>
      <w:r w:rsidRPr="00105A25">
        <w:rPr>
          <w:sz w:val="22"/>
          <w:szCs w:val="22"/>
        </w:rPr>
        <w:t>Grupa farmakoterapeutyczna: inhibitory konwertazy angiotensyny</w:t>
      </w:r>
    </w:p>
    <w:p w14:paraId="6F233053" w14:textId="77777777" w:rsidR="00D7495B" w:rsidRPr="00105A25" w:rsidRDefault="00D7495B" w:rsidP="001D75B1">
      <w:pPr>
        <w:outlineLvl w:val="0"/>
        <w:rPr>
          <w:sz w:val="22"/>
          <w:szCs w:val="22"/>
        </w:rPr>
      </w:pPr>
      <w:r w:rsidRPr="00105A25">
        <w:rPr>
          <w:sz w:val="22"/>
          <w:szCs w:val="22"/>
        </w:rPr>
        <w:t>Kod ATC :</w:t>
      </w:r>
      <w:r w:rsidR="002C370E" w:rsidRPr="00105A25">
        <w:rPr>
          <w:sz w:val="22"/>
          <w:szCs w:val="22"/>
        </w:rPr>
        <w:t xml:space="preserve"> </w:t>
      </w:r>
      <w:r w:rsidRPr="00105A25">
        <w:rPr>
          <w:sz w:val="22"/>
          <w:szCs w:val="22"/>
        </w:rPr>
        <w:t>C09AA16</w:t>
      </w:r>
    </w:p>
    <w:p w14:paraId="3401C96D" w14:textId="77777777" w:rsidR="001D75B1" w:rsidRPr="00105A25" w:rsidRDefault="001D75B1" w:rsidP="001D75B1">
      <w:pPr>
        <w:rPr>
          <w:sz w:val="22"/>
          <w:szCs w:val="22"/>
        </w:rPr>
      </w:pPr>
    </w:p>
    <w:p w14:paraId="43993C61" w14:textId="77777777" w:rsidR="00D7495B" w:rsidRPr="00105A25" w:rsidRDefault="00D7495B" w:rsidP="001D75B1">
      <w:pPr>
        <w:rPr>
          <w:sz w:val="22"/>
          <w:szCs w:val="22"/>
        </w:rPr>
      </w:pPr>
      <w:r w:rsidRPr="00105A25">
        <w:rPr>
          <w:sz w:val="22"/>
          <w:szCs w:val="22"/>
        </w:rPr>
        <w:t xml:space="preserve">Działanie przeciwnadciśnieniowe </w:t>
      </w:r>
      <w:r w:rsidR="00280FD3" w:rsidRPr="00105A25">
        <w:rPr>
          <w:sz w:val="22"/>
          <w:szCs w:val="22"/>
        </w:rPr>
        <w:t>imidaprylu</w:t>
      </w:r>
      <w:r w:rsidRPr="00105A25">
        <w:rPr>
          <w:sz w:val="22"/>
          <w:szCs w:val="22"/>
        </w:rPr>
        <w:t xml:space="preserve"> u pacjentów z nadciśnieniem jest </w:t>
      </w:r>
      <w:r w:rsidR="001E6528" w:rsidRPr="00105A25">
        <w:rPr>
          <w:sz w:val="22"/>
          <w:szCs w:val="22"/>
        </w:rPr>
        <w:t xml:space="preserve">związane </w:t>
      </w:r>
      <w:r w:rsidRPr="00105A25">
        <w:rPr>
          <w:sz w:val="22"/>
          <w:szCs w:val="22"/>
        </w:rPr>
        <w:t>głównie z</w:t>
      </w:r>
      <w:r w:rsidR="00042C5D" w:rsidRPr="00105A25">
        <w:rPr>
          <w:sz w:val="22"/>
          <w:szCs w:val="22"/>
        </w:rPr>
        <w:t> </w:t>
      </w:r>
      <w:r w:rsidRPr="00105A25">
        <w:rPr>
          <w:sz w:val="22"/>
          <w:szCs w:val="22"/>
        </w:rPr>
        <w:t>hamowaniem układu renina-angiotensyna-aldosteron w osoczu. Renina jest endogennym enzymem syntezowanym przez nerki i uwalnianym do krwi, gdzie</w:t>
      </w:r>
      <w:r w:rsidR="002C370E" w:rsidRPr="00105A25">
        <w:rPr>
          <w:sz w:val="22"/>
          <w:szCs w:val="22"/>
        </w:rPr>
        <w:t xml:space="preserve"> </w:t>
      </w:r>
      <w:r w:rsidRPr="00105A25">
        <w:rPr>
          <w:sz w:val="22"/>
          <w:szCs w:val="22"/>
        </w:rPr>
        <w:t>przekształca angiotensynogen w</w:t>
      </w:r>
      <w:r w:rsidR="00F4649F" w:rsidRPr="00105A25">
        <w:rPr>
          <w:sz w:val="22"/>
          <w:szCs w:val="22"/>
        </w:rPr>
        <w:t>e względnie</w:t>
      </w:r>
      <w:r w:rsidRPr="00105A25">
        <w:rPr>
          <w:sz w:val="22"/>
          <w:szCs w:val="22"/>
        </w:rPr>
        <w:t xml:space="preserve"> nieaktywny dekapeptyd</w:t>
      </w:r>
      <w:r w:rsidR="001E6528" w:rsidRPr="00105A25">
        <w:rPr>
          <w:sz w:val="22"/>
          <w:szCs w:val="22"/>
        </w:rPr>
        <w:t xml:space="preserve"> angiotensynę I</w:t>
      </w:r>
      <w:r w:rsidRPr="00105A25">
        <w:rPr>
          <w:sz w:val="22"/>
          <w:szCs w:val="22"/>
        </w:rPr>
        <w:t>. Angiotensyna I przekształcana jest następnie przez enzym konwertazę angiotensyny (ACE), peptydopeptydazę, w angiotensynę II. Angiotensyna II jest silnym czynnikiem zwężającym naczynia odpowiedzialnym za zwężenie naczyń tętniczych i zwiększone ciśnienie krwi, a</w:t>
      </w:r>
      <w:r w:rsidR="002C370E" w:rsidRPr="00105A25">
        <w:rPr>
          <w:sz w:val="22"/>
          <w:szCs w:val="22"/>
        </w:rPr>
        <w:t> </w:t>
      </w:r>
      <w:r w:rsidRPr="00105A25">
        <w:rPr>
          <w:sz w:val="22"/>
          <w:szCs w:val="22"/>
        </w:rPr>
        <w:t xml:space="preserve">także za pobudzanie nadnerczy do wydzielania aldosteronu. Hamowanie aktywności ACE powoduje zmniejszenie stężenia angiotensyny II w osoczu, co prowadzi do obniżonej aktywności </w:t>
      </w:r>
      <w:r w:rsidR="00AB293C" w:rsidRPr="00105A25">
        <w:rPr>
          <w:sz w:val="22"/>
          <w:szCs w:val="22"/>
        </w:rPr>
        <w:t xml:space="preserve">wazokonstrykcyjnej </w:t>
      </w:r>
      <w:r w:rsidRPr="00105A25">
        <w:rPr>
          <w:sz w:val="22"/>
          <w:szCs w:val="22"/>
        </w:rPr>
        <w:t>i do zmniejszonego wydzielania aldosteronu.</w:t>
      </w:r>
    </w:p>
    <w:p w14:paraId="68AE30A6" w14:textId="77777777" w:rsidR="001D75B1" w:rsidRPr="00105A25" w:rsidRDefault="001D75B1" w:rsidP="001D75B1">
      <w:pPr>
        <w:rPr>
          <w:sz w:val="22"/>
          <w:szCs w:val="22"/>
        </w:rPr>
      </w:pPr>
    </w:p>
    <w:p w14:paraId="7D8D4138" w14:textId="77777777" w:rsidR="00D7495B" w:rsidRPr="00105A25" w:rsidRDefault="00D7495B" w:rsidP="001D75B1">
      <w:pPr>
        <w:rPr>
          <w:sz w:val="22"/>
          <w:szCs w:val="22"/>
        </w:rPr>
      </w:pPr>
      <w:r w:rsidRPr="00105A25">
        <w:rPr>
          <w:sz w:val="22"/>
          <w:szCs w:val="22"/>
        </w:rPr>
        <w:t xml:space="preserve">Chociaż </w:t>
      </w:r>
      <w:r w:rsidR="008E64B7" w:rsidRPr="00105A25">
        <w:rPr>
          <w:sz w:val="22"/>
          <w:szCs w:val="22"/>
        </w:rPr>
        <w:t>wpływ na</w:t>
      </w:r>
      <w:r w:rsidRPr="00105A25">
        <w:rPr>
          <w:sz w:val="22"/>
          <w:szCs w:val="22"/>
        </w:rPr>
        <w:t xml:space="preserve"> </w:t>
      </w:r>
      <w:r w:rsidR="008E64B7" w:rsidRPr="00105A25">
        <w:rPr>
          <w:sz w:val="22"/>
          <w:szCs w:val="22"/>
        </w:rPr>
        <w:t xml:space="preserve">wydzielania aldosteronu </w:t>
      </w:r>
      <w:r w:rsidRPr="00105A25">
        <w:rPr>
          <w:sz w:val="22"/>
          <w:szCs w:val="22"/>
        </w:rPr>
        <w:t xml:space="preserve">jest niewielki, może </w:t>
      </w:r>
      <w:r w:rsidR="008E64B7" w:rsidRPr="00105A25">
        <w:rPr>
          <w:sz w:val="22"/>
          <w:szCs w:val="22"/>
        </w:rPr>
        <w:t xml:space="preserve">jednak </w:t>
      </w:r>
      <w:r w:rsidRPr="00105A25">
        <w:rPr>
          <w:sz w:val="22"/>
          <w:szCs w:val="22"/>
        </w:rPr>
        <w:t xml:space="preserve">wystąpić niewielki wzrost stężenia potasu w surowicy </w:t>
      </w:r>
      <w:r w:rsidR="008E64B7" w:rsidRPr="00105A25">
        <w:rPr>
          <w:sz w:val="22"/>
          <w:szCs w:val="22"/>
        </w:rPr>
        <w:t xml:space="preserve">wraz </w:t>
      </w:r>
      <w:r w:rsidRPr="00105A25">
        <w:rPr>
          <w:sz w:val="22"/>
          <w:szCs w:val="22"/>
        </w:rPr>
        <w:t xml:space="preserve">z utratą sodu i płynów. </w:t>
      </w:r>
      <w:r w:rsidR="008E64B7" w:rsidRPr="00105A25">
        <w:rPr>
          <w:sz w:val="22"/>
          <w:szCs w:val="22"/>
        </w:rPr>
        <w:t>Przerwanie</w:t>
      </w:r>
      <w:r w:rsidRPr="00105A25">
        <w:rPr>
          <w:sz w:val="22"/>
          <w:szCs w:val="22"/>
        </w:rPr>
        <w:t xml:space="preserve"> ujemnego sprzężenia zwrotnego </w:t>
      </w:r>
      <w:r w:rsidR="008E64B7" w:rsidRPr="00105A25">
        <w:rPr>
          <w:sz w:val="22"/>
          <w:szCs w:val="22"/>
        </w:rPr>
        <w:t xml:space="preserve">dotyczącego wpływu </w:t>
      </w:r>
      <w:r w:rsidRPr="00105A25">
        <w:rPr>
          <w:sz w:val="22"/>
          <w:szCs w:val="22"/>
        </w:rPr>
        <w:t>angiotensyny II na wydzielanie reniny prowadzi do wzrostu aktywności reniny w osoczu.</w:t>
      </w:r>
    </w:p>
    <w:p w14:paraId="2F0BF748" w14:textId="77777777" w:rsidR="001D75B1" w:rsidRPr="00105A25" w:rsidRDefault="001D75B1" w:rsidP="001D75B1">
      <w:pPr>
        <w:rPr>
          <w:sz w:val="22"/>
          <w:szCs w:val="22"/>
        </w:rPr>
      </w:pPr>
    </w:p>
    <w:p w14:paraId="791A5B65" w14:textId="77777777" w:rsidR="00D7495B" w:rsidRPr="00105A25" w:rsidRDefault="00D7495B" w:rsidP="001D75B1">
      <w:pPr>
        <w:rPr>
          <w:sz w:val="22"/>
          <w:szCs w:val="22"/>
        </w:rPr>
      </w:pPr>
      <w:r w:rsidRPr="00105A25">
        <w:rPr>
          <w:sz w:val="22"/>
          <w:szCs w:val="22"/>
        </w:rPr>
        <w:t>Inną funkcją enzymu konwertującego jest rozkładanie bradykininy, peptydu</w:t>
      </w:r>
      <w:r w:rsidR="002C370E" w:rsidRPr="00105A25">
        <w:rPr>
          <w:sz w:val="22"/>
          <w:szCs w:val="22"/>
        </w:rPr>
        <w:t xml:space="preserve"> </w:t>
      </w:r>
      <w:r w:rsidRPr="00105A25">
        <w:rPr>
          <w:sz w:val="22"/>
          <w:szCs w:val="22"/>
        </w:rPr>
        <w:t>kininowego silnie rozszerzającego naczynia, do nieaktywnych metabolitów. Dlatego hamowanie ACE daje w rezultacie zwiększoną aktywność ogólną i miejscową układu kalikreina – kinina, co może mieć udział w</w:t>
      </w:r>
      <w:r w:rsidR="00105A25">
        <w:rPr>
          <w:sz w:val="22"/>
          <w:szCs w:val="22"/>
        </w:rPr>
        <w:t> </w:t>
      </w:r>
      <w:r w:rsidRPr="00105A25">
        <w:rPr>
          <w:sz w:val="22"/>
          <w:szCs w:val="22"/>
        </w:rPr>
        <w:t xml:space="preserve">rozszerzaniu naczyń obwodowych przez aktywowanie układu prostaglandynowego. </w:t>
      </w:r>
      <w:r w:rsidR="007A327B" w:rsidRPr="00105A25">
        <w:rPr>
          <w:sz w:val="22"/>
          <w:szCs w:val="22"/>
        </w:rPr>
        <w:t xml:space="preserve">Taki </w:t>
      </w:r>
      <w:r w:rsidRPr="00105A25">
        <w:rPr>
          <w:sz w:val="22"/>
          <w:szCs w:val="22"/>
        </w:rPr>
        <w:t xml:space="preserve">mechanizm </w:t>
      </w:r>
      <w:r w:rsidR="007A327B" w:rsidRPr="00105A25">
        <w:rPr>
          <w:sz w:val="22"/>
          <w:szCs w:val="22"/>
        </w:rPr>
        <w:t xml:space="preserve">prawdopodobnie </w:t>
      </w:r>
      <w:r w:rsidRPr="00105A25">
        <w:rPr>
          <w:sz w:val="22"/>
          <w:szCs w:val="22"/>
        </w:rPr>
        <w:t>uczestniczy w działaniu przeciwnadciśnieniowym inhibitorów ACE i jest odpowiedzialny za niektóre działania niepożądane.</w:t>
      </w:r>
    </w:p>
    <w:p w14:paraId="03313485" w14:textId="77777777" w:rsidR="001D75B1" w:rsidRPr="00105A25" w:rsidRDefault="001D75B1" w:rsidP="001D75B1">
      <w:pPr>
        <w:rPr>
          <w:sz w:val="22"/>
          <w:szCs w:val="22"/>
        </w:rPr>
      </w:pPr>
    </w:p>
    <w:p w14:paraId="11B88B7D" w14:textId="3A0A16A8" w:rsidR="003B6D6C" w:rsidRDefault="003B6D6C" w:rsidP="003B6D6C">
      <w:pPr>
        <w:rPr>
          <w:sz w:val="22"/>
          <w:szCs w:val="22"/>
        </w:rPr>
      </w:pPr>
      <w:r w:rsidRPr="003B6D6C">
        <w:rPr>
          <w:sz w:val="22"/>
          <w:szCs w:val="22"/>
        </w:rPr>
        <w:t>Po podaniu doustnym chlorowodorek imidapr</w:t>
      </w:r>
      <w:r w:rsidR="007B7419">
        <w:rPr>
          <w:sz w:val="22"/>
          <w:szCs w:val="22"/>
        </w:rPr>
        <w:t>y</w:t>
      </w:r>
      <w:r w:rsidRPr="003B6D6C">
        <w:rPr>
          <w:sz w:val="22"/>
          <w:szCs w:val="22"/>
        </w:rPr>
        <w:t>lu jest przekształcany do aktywnego metabolitu, postaci kwasu dikarboksylowego (imidapr</w:t>
      </w:r>
      <w:r w:rsidR="007B7419">
        <w:rPr>
          <w:sz w:val="22"/>
          <w:szCs w:val="22"/>
        </w:rPr>
        <w:t>y</w:t>
      </w:r>
      <w:r w:rsidRPr="003B6D6C">
        <w:rPr>
          <w:sz w:val="22"/>
          <w:szCs w:val="22"/>
        </w:rPr>
        <w:t>latu). Imidaprylat wykazuje działanie hipotensyjne poprzez hamowanie syntezy angiotensyny II w wyniku hamowania aktywności ACE we krwi i tkankach.</w:t>
      </w:r>
    </w:p>
    <w:p w14:paraId="6FCC0497" w14:textId="77777777" w:rsidR="003B6D6C" w:rsidRPr="003B6D6C" w:rsidRDefault="003B6D6C" w:rsidP="003B6D6C">
      <w:pPr>
        <w:rPr>
          <w:sz w:val="22"/>
          <w:szCs w:val="22"/>
        </w:rPr>
      </w:pPr>
    </w:p>
    <w:p w14:paraId="00D8FEF5" w14:textId="77777777" w:rsidR="003B6D6C" w:rsidRPr="007816FE" w:rsidRDefault="003B6D6C" w:rsidP="003B6D6C">
      <w:pPr>
        <w:rPr>
          <w:b/>
          <w:bCs/>
          <w:sz w:val="22"/>
          <w:szCs w:val="22"/>
        </w:rPr>
      </w:pPr>
      <w:r w:rsidRPr="007816FE">
        <w:rPr>
          <w:b/>
          <w:bCs/>
          <w:sz w:val="22"/>
          <w:szCs w:val="22"/>
        </w:rPr>
        <w:t>1. Działanie hamujące enzym konwertujący angiotensynę</w:t>
      </w:r>
    </w:p>
    <w:p w14:paraId="1FB9B846" w14:textId="0B6D6C4A" w:rsidR="003B6D6C" w:rsidRPr="003B6D6C" w:rsidRDefault="003B6D6C" w:rsidP="003B6D6C">
      <w:pPr>
        <w:ind w:left="426" w:hanging="426"/>
        <w:rPr>
          <w:sz w:val="22"/>
          <w:szCs w:val="22"/>
        </w:rPr>
      </w:pPr>
      <w:r w:rsidRPr="003B6D6C">
        <w:rPr>
          <w:sz w:val="22"/>
          <w:szCs w:val="22"/>
        </w:rPr>
        <w:t xml:space="preserve">1) </w:t>
      </w:r>
      <w:r>
        <w:rPr>
          <w:sz w:val="22"/>
          <w:szCs w:val="22"/>
        </w:rPr>
        <w:tab/>
      </w:r>
      <w:r w:rsidRPr="003B6D6C">
        <w:rPr>
          <w:sz w:val="22"/>
          <w:szCs w:val="22"/>
        </w:rPr>
        <w:t>Imidapr</w:t>
      </w:r>
      <w:r w:rsidR="00E55F69">
        <w:rPr>
          <w:sz w:val="22"/>
          <w:szCs w:val="22"/>
        </w:rPr>
        <w:t>y</w:t>
      </w:r>
      <w:r w:rsidRPr="003B6D6C">
        <w:rPr>
          <w:sz w:val="22"/>
          <w:szCs w:val="22"/>
        </w:rPr>
        <w:t>lat, aktywny metabolit chlorowodorku imidapr</w:t>
      </w:r>
      <w:r w:rsidR="00144B1A">
        <w:rPr>
          <w:sz w:val="22"/>
          <w:szCs w:val="22"/>
        </w:rPr>
        <w:t>y</w:t>
      </w:r>
      <w:r w:rsidRPr="003B6D6C">
        <w:rPr>
          <w:sz w:val="22"/>
          <w:szCs w:val="22"/>
        </w:rPr>
        <w:t>lu, hamuje aktywność ACE wytworzonego z kory nerkowej świni i surowicy ludzkiej in vitro w sposób konkurencyjny i zależny od dawki.</w:t>
      </w:r>
    </w:p>
    <w:p w14:paraId="32DF22E8" w14:textId="524F32D9" w:rsidR="003B6D6C" w:rsidRDefault="003B6D6C" w:rsidP="003B6D6C">
      <w:pPr>
        <w:ind w:left="426" w:hanging="426"/>
        <w:rPr>
          <w:sz w:val="22"/>
          <w:szCs w:val="22"/>
        </w:rPr>
      </w:pPr>
      <w:r w:rsidRPr="003B6D6C">
        <w:rPr>
          <w:sz w:val="22"/>
          <w:szCs w:val="22"/>
        </w:rPr>
        <w:t xml:space="preserve">2) </w:t>
      </w:r>
      <w:r>
        <w:rPr>
          <w:sz w:val="22"/>
          <w:szCs w:val="22"/>
        </w:rPr>
        <w:tab/>
      </w:r>
      <w:r w:rsidRPr="003B6D6C">
        <w:rPr>
          <w:sz w:val="22"/>
          <w:szCs w:val="22"/>
        </w:rPr>
        <w:t>Gdy chlorowodorek imidapr</w:t>
      </w:r>
      <w:r w:rsidR="00144B1A">
        <w:rPr>
          <w:sz w:val="22"/>
          <w:szCs w:val="22"/>
        </w:rPr>
        <w:t>y</w:t>
      </w:r>
      <w:r w:rsidRPr="003B6D6C">
        <w:rPr>
          <w:sz w:val="22"/>
          <w:szCs w:val="22"/>
        </w:rPr>
        <w:t>lu i imidapr</w:t>
      </w:r>
      <w:r w:rsidR="00144B1A">
        <w:rPr>
          <w:sz w:val="22"/>
          <w:szCs w:val="22"/>
        </w:rPr>
        <w:t>y</w:t>
      </w:r>
      <w:r w:rsidRPr="003B6D6C">
        <w:rPr>
          <w:sz w:val="22"/>
          <w:szCs w:val="22"/>
        </w:rPr>
        <w:t>lat podaje się szczurom doustnie, reakcja wazopresyjna wywołana przez angiotensynę I jest hamowana w zależności od dawki.</w:t>
      </w:r>
    </w:p>
    <w:p w14:paraId="354AFC94" w14:textId="77777777" w:rsidR="003B6D6C" w:rsidRPr="003B6D6C" w:rsidRDefault="003B6D6C" w:rsidP="003B6D6C">
      <w:pPr>
        <w:rPr>
          <w:sz w:val="22"/>
          <w:szCs w:val="22"/>
        </w:rPr>
      </w:pPr>
    </w:p>
    <w:p w14:paraId="18C8973E" w14:textId="77777777" w:rsidR="003B6D6C" w:rsidRPr="007816FE" w:rsidRDefault="003B6D6C" w:rsidP="003B6D6C">
      <w:pPr>
        <w:rPr>
          <w:b/>
          <w:bCs/>
          <w:sz w:val="22"/>
          <w:szCs w:val="22"/>
        </w:rPr>
      </w:pPr>
      <w:r w:rsidRPr="007816FE">
        <w:rPr>
          <w:b/>
          <w:bCs/>
          <w:sz w:val="22"/>
          <w:szCs w:val="22"/>
        </w:rPr>
        <w:t>2. Działanie hipotensyjne</w:t>
      </w:r>
    </w:p>
    <w:p w14:paraId="625EDCB5" w14:textId="435E9C74" w:rsidR="003B6D6C" w:rsidRPr="003B6D6C" w:rsidRDefault="003B6D6C" w:rsidP="003B6D6C">
      <w:pPr>
        <w:ind w:left="426" w:hanging="426"/>
        <w:rPr>
          <w:sz w:val="22"/>
          <w:szCs w:val="22"/>
        </w:rPr>
      </w:pPr>
      <w:r w:rsidRPr="003B6D6C">
        <w:rPr>
          <w:sz w:val="22"/>
          <w:szCs w:val="22"/>
        </w:rPr>
        <w:lastRenderedPageBreak/>
        <w:t xml:space="preserve">1) </w:t>
      </w:r>
      <w:r>
        <w:rPr>
          <w:sz w:val="22"/>
          <w:szCs w:val="22"/>
        </w:rPr>
        <w:tab/>
      </w:r>
      <w:r w:rsidRPr="003B6D6C">
        <w:rPr>
          <w:sz w:val="22"/>
          <w:szCs w:val="22"/>
        </w:rPr>
        <w:t>Działanie hipotensyjne obserwowano w zależności od dawki po podaniu doustnym chlorowodorku imidapr</w:t>
      </w:r>
      <w:r w:rsidR="00144B1A">
        <w:rPr>
          <w:sz w:val="22"/>
          <w:szCs w:val="22"/>
        </w:rPr>
        <w:t>y</w:t>
      </w:r>
      <w:r w:rsidRPr="003B6D6C">
        <w:rPr>
          <w:sz w:val="22"/>
          <w:szCs w:val="22"/>
        </w:rPr>
        <w:t>lu szczurom z samoistnym nadciśnieniem (SHR) i szczurami z obustronnym nadciśnieniem nerkowym. Tymczasem działanie hipotensyjne u szczurów z prawidłowym ciśnieniem tętniczym było niezwykle niewielkie i nie zaobserwowano wystarczającego obniżenia ciśnienia tętniczego u szczurów z nadciśnieniem DOCA/nadciśnieniem soli.</w:t>
      </w:r>
    </w:p>
    <w:p w14:paraId="6C45F045" w14:textId="1FA4DE04" w:rsidR="003B6D6C" w:rsidRDefault="003B6D6C" w:rsidP="00E522EC">
      <w:pPr>
        <w:ind w:left="426" w:hanging="426"/>
        <w:rPr>
          <w:sz w:val="22"/>
          <w:szCs w:val="22"/>
        </w:rPr>
      </w:pPr>
      <w:r w:rsidRPr="003B6D6C">
        <w:rPr>
          <w:sz w:val="22"/>
          <w:szCs w:val="22"/>
        </w:rPr>
        <w:t xml:space="preserve">2) </w:t>
      </w:r>
      <w:r>
        <w:rPr>
          <w:sz w:val="22"/>
          <w:szCs w:val="22"/>
        </w:rPr>
        <w:tab/>
      </w:r>
      <w:r w:rsidRPr="003B6D6C">
        <w:rPr>
          <w:sz w:val="22"/>
          <w:szCs w:val="22"/>
        </w:rPr>
        <w:t>Po 2-tygodniowym wielokrotnym podawaniu doustnym chlorowodorku imidapr</w:t>
      </w:r>
      <w:r w:rsidR="002346A1">
        <w:rPr>
          <w:sz w:val="22"/>
          <w:szCs w:val="22"/>
        </w:rPr>
        <w:t>y</w:t>
      </w:r>
      <w:r w:rsidRPr="003B6D6C">
        <w:rPr>
          <w:sz w:val="22"/>
          <w:szCs w:val="22"/>
        </w:rPr>
        <w:t>lu SHR obserwowano utrzymujące się działanie hipotensyjne bez wpływu na częstość akcji serca.</w:t>
      </w:r>
    </w:p>
    <w:p w14:paraId="521F676C" w14:textId="12E60B0F" w:rsidR="00E522EC" w:rsidRDefault="00E522EC" w:rsidP="00E522EC">
      <w:pPr>
        <w:ind w:left="426" w:hanging="426"/>
        <w:rPr>
          <w:sz w:val="22"/>
          <w:szCs w:val="22"/>
        </w:rPr>
      </w:pPr>
      <w:r w:rsidRPr="00E522EC">
        <w:rPr>
          <w:sz w:val="22"/>
          <w:szCs w:val="22"/>
        </w:rPr>
        <w:t xml:space="preserve">3) </w:t>
      </w:r>
      <w:r>
        <w:rPr>
          <w:sz w:val="22"/>
          <w:szCs w:val="22"/>
        </w:rPr>
        <w:tab/>
      </w:r>
      <w:r w:rsidRPr="00E522EC">
        <w:rPr>
          <w:sz w:val="22"/>
          <w:szCs w:val="22"/>
        </w:rPr>
        <w:t>Gdy  dawka</w:t>
      </w:r>
      <w:r w:rsidR="000B00B6">
        <w:rPr>
          <w:sz w:val="22"/>
          <w:szCs w:val="22"/>
        </w:rPr>
        <w:t xml:space="preserve"> dobowa</w:t>
      </w:r>
      <w:r w:rsidRPr="00E522EC">
        <w:rPr>
          <w:sz w:val="22"/>
          <w:szCs w:val="22"/>
        </w:rPr>
        <w:t xml:space="preserve"> tego produktu była podawana raz na dobę pacjentom z samoistnym nadciśnieniem tętniczym, działanie hipotensyjne pozostawało stabilne przez 24 godziny i nie było różnic w dobowej zmienności i zakresie ciśnienia krwi.</w:t>
      </w:r>
      <w:r w:rsidR="006E0E22" w:rsidRPr="006E0E22">
        <w:rPr>
          <w:sz w:val="22"/>
          <w:szCs w:val="22"/>
        </w:rPr>
        <w:t xml:space="preserve"> </w:t>
      </w:r>
      <w:r w:rsidR="006E0E22">
        <w:rPr>
          <w:sz w:val="22"/>
          <w:szCs w:val="22"/>
        </w:rPr>
        <w:t>O</w:t>
      </w:r>
      <w:r w:rsidR="006E0E22" w:rsidRPr="00105A25">
        <w:rPr>
          <w:sz w:val="22"/>
          <w:szCs w:val="22"/>
        </w:rPr>
        <w:t>bniżeni</w:t>
      </w:r>
      <w:r w:rsidR="006E0E22">
        <w:rPr>
          <w:sz w:val="22"/>
          <w:szCs w:val="22"/>
        </w:rPr>
        <w:t>e</w:t>
      </w:r>
      <w:r w:rsidR="006E0E22" w:rsidRPr="00105A25">
        <w:rPr>
          <w:sz w:val="22"/>
          <w:szCs w:val="22"/>
        </w:rPr>
        <w:t xml:space="preserve"> ciśnienia krwi </w:t>
      </w:r>
      <w:r w:rsidR="006E0E22">
        <w:rPr>
          <w:sz w:val="22"/>
          <w:szCs w:val="22"/>
        </w:rPr>
        <w:t xml:space="preserve">obserwuje się </w:t>
      </w:r>
      <w:r w:rsidR="006E0E22" w:rsidRPr="00105A25">
        <w:rPr>
          <w:sz w:val="22"/>
          <w:szCs w:val="22"/>
        </w:rPr>
        <w:t>w zbliżonym stopniu w pozycji siedzącej, leżącej na plecach i stojącej, bez odruchowej tachykardii. Najsilniejsze działanie przeciwnadciśnieniowe obserwowano po 6-8 godzinach od podania leku. Uzyskanie optymalnego obniżenia ciśnienia krwi u niektórych chorych może wymagać kilku tygodni leczenia. Przeciwnadciśnieniowe działanie utrzymuje się w czasie długotrwałego leczenia. Nagłe odstawienie imidaprylu nie powoduje nagłego wzrostu ciśnienia krwi.</w:t>
      </w:r>
    </w:p>
    <w:p w14:paraId="19CF8ADB" w14:textId="77777777" w:rsidR="00E522EC" w:rsidRPr="00E522EC" w:rsidRDefault="00E522EC" w:rsidP="00E522EC">
      <w:pPr>
        <w:ind w:left="426" w:hanging="426"/>
        <w:rPr>
          <w:sz w:val="22"/>
          <w:szCs w:val="22"/>
        </w:rPr>
      </w:pPr>
    </w:p>
    <w:p w14:paraId="4A0EA742" w14:textId="77777777" w:rsidR="00E522EC" w:rsidRPr="007816FE" w:rsidRDefault="00E522EC" w:rsidP="00E522EC">
      <w:pPr>
        <w:rPr>
          <w:b/>
          <w:bCs/>
          <w:sz w:val="22"/>
          <w:szCs w:val="22"/>
        </w:rPr>
      </w:pPr>
      <w:r w:rsidRPr="007816FE">
        <w:rPr>
          <w:b/>
          <w:bCs/>
          <w:sz w:val="22"/>
          <w:szCs w:val="22"/>
        </w:rPr>
        <w:t>3. Poprawa wpływu na nefropatię cukrzycową</w:t>
      </w:r>
    </w:p>
    <w:p w14:paraId="2F33758E" w14:textId="1E42FC7E" w:rsidR="00E522EC" w:rsidRPr="00E522EC" w:rsidRDefault="00E522EC" w:rsidP="007816FE">
      <w:pPr>
        <w:ind w:left="426"/>
        <w:rPr>
          <w:sz w:val="22"/>
          <w:szCs w:val="22"/>
        </w:rPr>
      </w:pPr>
      <w:r w:rsidRPr="00E522EC">
        <w:rPr>
          <w:sz w:val="22"/>
          <w:szCs w:val="22"/>
        </w:rPr>
        <w:t>Chlorowodorek imidapr</w:t>
      </w:r>
      <w:r w:rsidR="00A73F7E">
        <w:rPr>
          <w:sz w:val="22"/>
          <w:szCs w:val="22"/>
        </w:rPr>
        <w:t>y</w:t>
      </w:r>
      <w:r w:rsidRPr="00E522EC">
        <w:rPr>
          <w:sz w:val="22"/>
          <w:szCs w:val="22"/>
        </w:rPr>
        <w:t>lu wykazuje hamujący wpływ na nerkową aktywność ACE i podwyższenie poziomu wydalania albuminy z moczem oraz spadek skurczowego ciśnienia krwi u myszy z cukrzycą indukowaną streptozotocyną (STZ) po wielokrotnym podawaniu doustnym przez 28 kolejnych dni.</w:t>
      </w:r>
    </w:p>
    <w:p w14:paraId="5D457762" w14:textId="77777777" w:rsidR="00E522EC" w:rsidRPr="00E522EC" w:rsidRDefault="00E522EC" w:rsidP="00E522EC">
      <w:pPr>
        <w:ind w:left="426" w:hanging="426"/>
        <w:rPr>
          <w:sz w:val="22"/>
          <w:szCs w:val="22"/>
        </w:rPr>
      </w:pPr>
    </w:p>
    <w:p w14:paraId="4D01D227" w14:textId="77777777" w:rsidR="00E522EC" w:rsidRPr="007816FE" w:rsidRDefault="00E522EC" w:rsidP="00E522EC">
      <w:pPr>
        <w:rPr>
          <w:b/>
          <w:bCs/>
          <w:sz w:val="22"/>
          <w:szCs w:val="22"/>
        </w:rPr>
      </w:pPr>
      <w:r w:rsidRPr="007816FE">
        <w:rPr>
          <w:b/>
          <w:bCs/>
          <w:sz w:val="22"/>
          <w:szCs w:val="22"/>
        </w:rPr>
        <w:t>4. Inne działania</w:t>
      </w:r>
    </w:p>
    <w:p w14:paraId="59E7FD0E" w14:textId="629BCB8A" w:rsidR="00E522EC" w:rsidRPr="00E522EC" w:rsidRDefault="00E522EC" w:rsidP="00E522EC">
      <w:pPr>
        <w:ind w:left="426" w:hanging="426"/>
        <w:rPr>
          <w:sz w:val="22"/>
          <w:szCs w:val="22"/>
        </w:rPr>
      </w:pPr>
      <w:r w:rsidRPr="00E522EC">
        <w:rPr>
          <w:sz w:val="22"/>
          <w:szCs w:val="22"/>
        </w:rPr>
        <w:t xml:space="preserve">1) </w:t>
      </w:r>
      <w:r>
        <w:rPr>
          <w:sz w:val="22"/>
          <w:szCs w:val="22"/>
        </w:rPr>
        <w:tab/>
      </w:r>
      <w:r w:rsidRPr="00E522EC">
        <w:rPr>
          <w:sz w:val="22"/>
          <w:szCs w:val="22"/>
        </w:rPr>
        <w:t>Po podaniu chlorowodorku imidapr</w:t>
      </w:r>
      <w:r w:rsidR="00A73F7E">
        <w:rPr>
          <w:sz w:val="22"/>
          <w:szCs w:val="22"/>
        </w:rPr>
        <w:t>y</w:t>
      </w:r>
      <w:r w:rsidRPr="00E522EC">
        <w:rPr>
          <w:sz w:val="22"/>
          <w:szCs w:val="22"/>
        </w:rPr>
        <w:t>lu lub imidapr</w:t>
      </w:r>
      <w:r w:rsidR="00A73F7E">
        <w:rPr>
          <w:sz w:val="22"/>
          <w:szCs w:val="22"/>
        </w:rPr>
        <w:t>y</w:t>
      </w:r>
      <w:r w:rsidRPr="00E522EC">
        <w:rPr>
          <w:sz w:val="22"/>
          <w:szCs w:val="22"/>
        </w:rPr>
        <w:t>latu psom dodwunastniczo lub dożylnie zaobserwowano znaczny wzrost przepływu krwi przez nerki i przesączania kłębuszkowego.</w:t>
      </w:r>
    </w:p>
    <w:p w14:paraId="33E3E897" w14:textId="0DDC49D3" w:rsidR="003B6D6C" w:rsidRDefault="00E522EC" w:rsidP="007816FE">
      <w:pPr>
        <w:ind w:left="426" w:hanging="426"/>
        <w:rPr>
          <w:sz w:val="22"/>
          <w:szCs w:val="22"/>
        </w:rPr>
      </w:pPr>
      <w:r w:rsidRPr="00E522EC">
        <w:rPr>
          <w:sz w:val="22"/>
          <w:szCs w:val="22"/>
        </w:rPr>
        <w:t xml:space="preserve">2) </w:t>
      </w:r>
      <w:r>
        <w:rPr>
          <w:sz w:val="22"/>
          <w:szCs w:val="22"/>
        </w:rPr>
        <w:tab/>
      </w:r>
      <w:r w:rsidRPr="00E522EC">
        <w:rPr>
          <w:sz w:val="22"/>
          <w:szCs w:val="22"/>
        </w:rPr>
        <w:t>Gdy chlorowodorek imidapr</w:t>
      </w:r>
      <w:r w:rsidR="00A73F7E">
        <w:rPr>
          <w:sz w:val="22"/>
          <w:szCs w:val="22"/>
        </w:rPr>
        <w:t>y</w:t>
      </w:r>
      <w:r w:rsidRPr="00E522EC">
        <w:rPr>
          <w:sz w:val="22"/>
          <w:szCs w:val="22"/>
        </w:rPr>
        <w:t>lu podawano SHR doustnie pod wpływem rozwoju czynnika ciśnieniowego przez 9 do 10 kolejnych tygodni, zaobserwowano zahamowanie rozwoju czynnika ciśnieniowego i działanie hamujące na nadciśnieniowy przerost mięśnia sercowego.</w:t>
      </w:r>
    </w:p>
    <w:p w14:paraId="495EAEEA" w14:textId="77777777" w:rsidR="00E522EC" w:rsidRDefault="00E522EC" w:rsidP="001D75B1">
      <w:pPr>
        <w:rPr>
          <w:sz w:val="22"/>
          <w:szCs w:val="22"/>
        </w:rPr>
      </w:pPr>
    </w:p>
    <w:p w14:paraId="50691A7A" w14:textId="768C3E0B" w:rsidR="00D7495B" w:rsidRDefault="00D7495B" w:rsidP="001D75B1">
      <w:pPr>
        <w:rPr>
          <w:sz w:val="22"/>
          <w:szCs w:val="22"/>
        </w:rPr>
      </w:pPr>
    </w:p>
    <w:p w14:paraId="6B29A17F" w14:textId="77777777" w:rsidR="0085485D" w:rsidRDefault="0085485D" w:rsidP="001D75B1">
      <w:pPr>
        <w:rPr>
          <w:sz w:val="22"/>
          <w:szCs w:val="22"/>
        </w:rPr>
      </w:pPr>
    </w:p>
    <w:p w14:paraId="3725638C" w14:textId="77777777" w:rsidR="0085485D" w:rsidRPr="00EF4F11" w:rsidRDefault="0085485D" w:rsidP="0085485D">
      <w:pPr>
        <w:rPr>
          <w:sz w:val="22"/>
          <w:szCs w:val="22"/>
        </w:rPr>
      </w:pPr>
      <w:r w:rsidRPr="004B2224">
        <w:rPr>
          <w:iCs/>
          <w:sz w:val="22"/>
          <w:szCs w:val="22"/>
        </w:rPr>
        <w:t xml:space="preserve">Dwa duże randomizowane, kontrolowane badania kliniczne ONTARGET (ang. </w:t>
      </w:r>
      <w:r w:rsidRPr="004B2224">
        <w:rPr>
          <w:iCs/>
          <w:sz w:val="22"/>
          <w:szCs w:val="22"/>
          <w:lang w:val="en-US"/>
        </w:rPr>
        <w:t xml:space="preserve">ONgoing Telmistartan Alone and in combination with Ramipril Global Endpoint Trial) i VA NEPHRON-D (ang. </w:t>
      </w:r>
      <w:r w:rsidRPr="004B2224">
        <w:rPr>
          <w:iCs/>
          <w:sz w:val="22"/>
          <w:szCs w:val="22"/>
        </w:rPr>
        <w:t>The Veterans Affairs Nefropathy in Diabetes) badały jednoczesne zastosowanie inhibitora ACE z antagonistami receptora angiotensyny II.</w:t>
      </w:r>
      <w:r w:rsidRPr="00EF4F11">
        <w:rPr>
          <w:sz w:val="22"/>
          <w:szCs w:val="22"/>
        </w:rPr>
        <w:t xml:space="preserve"> </w:t>
      </w:r>
    </w:p>
    <w:p w14:paraId="3068C69B" w14:textId="77777777" w:rsidR="0085485D" w:rsidRPr="00EF4F11" w:rsidRDefault="0085485D" w:rsidP="0085485D">
      <w:pPr>
        <w:rPr>
          <w:sz w:val="22"/>
          <w:szCs w:val="22"/>
        </w:rPr>
      </w:pPr>
      <w:r w:rsidRPr="004B2224">
        <w:rPr>
          <w:iCs/>
          <w:sz w:val="22"/>
          <w:szCs w:val="22"/>
        </w:rPr>
        <w:t xml:space="preserve">Badanie ONTARGET było przeprowadzone z udziałem pacjentów z chorobami układu sercowo-naczyniowego, chorobami naczyń mózgowych w wywiadzie lub cukrzycą typu 2 z towarzyszącymi, udowodnionymi uszkodzeniami narządów docelowych. </w:t>
      </w:r>
    </w:p>
    <w:p w14:paraId="3E97EC7E" w14:textId="77777777" w:rsidR="00714A4B" w:rsidRDefault="0085485D" w:rsidP="0085485D">
      <w:pPr>
        <w:rPr>
          <w:iCs/>
          <w:sz w:val="22"/>
          <w:szCs w:val="22"/>
        </w:rPr>
      </w:pPr>
      <w:r w:rsidRPr="004B2224">
        <w:rPr>
          <w:iCs/>
          <w:sz w:val="22"/>
          <w:szCs w:val="22"/>
        </w:rPr>
        <w:t xml:space="preserve">Badanie VA NEPHRON-D było przeprowadzone z udziałem pacjentów z cukrzycą typu 2 oraz </w:t>
      </w:r>
    </w:p>
    <w:p w14:paraId="655882DA" w14:textId="77777777" w:rsidR="0085485D" w:rsidRPr="00EF4F11" w:rsidRDefault="0085485D" w:rsidP="0085485D">
      <w:pPr>
        <w:rPr>
          <w:sz w:val="22"/>
          <w:szCs w:val="22"/>
        </w:rPr>
      </w:pPr>
      <w:r w:rsidRPr="004B2224">
        <w:rPr>
          <w:iCs/>
          <w:sz w:val="22"/>
          <w:szCs w:val="22"/>
        </w:rPr>
        <w:t xml:space="preserve">z nefropatią cukrzycową. </w:t>
      </w:r>
    </w:p>
    <w:p w14:paraId="0FA0C050" w14:textId="77777777" w:rsidR="00714A4B" w:rsidRDefault="0085485D" w:rsidP="0085485D">
      <w:pPr>
        <w:rPr>
          <w:iCs/>
          <w:sz w:val="22"/>
          <w:szCs w:val="22"/>
        </w:rPr>
      </w:pPr>
      <w:r w:rsidRPr="004B2224">
        <w:rPr>
          <w:iCs/>
          <w:sz w:val="22"/>
          <w:szCs w:val="22"/>
        </w:rPr>
        <w:t xml:space="preserve">Badania te wykazały brak istotnego korzystnego wpływu na parametry nerkowe i (lub) wyniki </w:t>
      </w:r>
    </w:p>
    <w:p w14:paraId="24FE6BBF" w14:textId="77777777" w:rsidR="00714A4B" w:rsidRDefault="0085485D" w:rsidP="0085485D">
      <w:pPr>
        <w:rPr>
          <w:iCs/>
          <w:sz w:val="22"/>
          <w:szCs w:val="22"/>
        </w:rPr>
      </w:pPr>
      <w:r w:rsidRPr="004B2224">
        <w:rPr>
          <w:iCs/>
          <w:sz w:val="22"/>
          <w:szCs w:val="22"/>
        </w:rPr>
        <w:t xml:space="preserve">w zakresie chorobowości oraz śmiertelności sercowo-naczyniowej, podczas gdy zaobserwowano zwiększone ryzyko hiperkaliemii, ostrego uszkodzenia nerek i (lub) niedociśnienia, w porównaniu </w:t>
      </w:r>
    </w:p>
    <w:p w14:paraId="4F783815" w14:textId="77777777" w:rsidR="0085485D" w:rsidRPr="00EF4F11" w:rsidRDefault="0085485D" w:rsidP="0085485D">
      <w:pPr>
        <w:rPr>
          <w:sz w:val="22"/>
          <w:szCs w:val="22"/>
        </w:rPr>
      </w:pPr>
      <w:r w:rsidRPr="004B2224">
        <w:rPr>
          <w:iCs/>
          <w:sz w:val="22"/>
          <w:szCs w:val="22"/>
        </w:rPr>
        <w:t xml:space="preserve">z monoterapią. </w:t>
      </w:r>
    </w:p>
    <w:p w14:paraId="520C5239" w14:textId="4A85A1B3" w:rsidR="0085485D" w:rsidRPr="00EF4F11" w:rsidRDefault="0085485D" w:rsidP="0085485D">
      <w:pPr>
        <w:rPr>
          <w:sz w:val="22"/>
          <w:szCs w:val="22"/>
        </w:rPr>
      </w:pPr>
      <w:r w:rsidRPr="004B2224">
        <w:rPr>
          <w:iCs/>
          <w:sz w:val="22"/>
          <w:szCs w:val="22"/>
        </w:rPr>
        <w:t xml:space="preserve">Ze względu na podobieństwa w zakresie właściwości farmakodynamicznych tych leków, przytoczone wyniki również mają znaczenie w przypadku innych inhibitorów ACE oraz antagonistów receptora angiotensyny II. </w:t>
      </w:r>
    </w:p>
    <w:p w14:paraId="3DBB3152" w14:textId="77777777" w:rsidR="0085485D" w:rsidRPr="00EF4F11" w:rsidRDefault="0085485D" w:rsidP="0085485D">
      <w:pPr>
        <w:rPr>
          <w:sz w:val="22"/>
          <w:szCs w:val="22"/>
        </w:rPr>
      </w:pPr>
      <w:r w:rsidRPr="004B2224">
        <w:rPr>
          <w:iCs/>
          <w:sz w:val="22"/>
          <w:szCs w:val="22"/>
        </w:rPr>
        <w:t xml:space="preserve">Dlatego też u pacjentów z nefropatią cukrzycową nie należy jednocześnie stosować inhibitorów ACE oraz antagonistów receptora angiotensyny II. </w:t>
      </w:r>
    </w:p>
    <w:p w14:paraId="515FDDBF" w14:textId="77777777" w:rsidR="00714A4B" w:rsidRDefault="0085485D" w:rsidP="0085485D">
      <w:pPr>
        <w:rPr>
          <w:iCs/>
          <w:sz w:val="22"/>
          <w:szCs w:val="22"/>
        </w:rPr>
      </w:pPr>
      <w:r w:rsidRPr="004B2224">
        <w:rPr>
          <w:iCs/>
          <w:sz w:val="22"/>
          <w:szCs w:val="22"/>
        </w:rPr>
        <w:t xml:space="preserve">Badanie ALTITUDE (ang. Aliskiren Trial in Type 2 Diabetes Using Cardiovascular and Renal Disease Endpoints) było zaprojektowane w celu zbadania korzyści z dodania aliskirenu do standardowego leczenia inhibitorem ACE lub antagonistą receptora angiotensyny II u pacjentów </w:t>
      </w:r>
    </w:p>
    <w:p w14:paraId="65CAC2C0" w14:textId="77777777" w:rsidR="00714A4B" w:rsidRDefault="0085485D" w:rsidP="0085485D">
      <w:pPr>
        <w:rPr>
          <w:iCs/>
          <w:sz w:val="22"/>
          <w:szCs w:val="22"/>
        </w:rPr>
      </w:pPr>
      <w:r w:rsidRPr="004B2224">
        <w:rPr>
          <w:iCs/>
          <w:sz w:val="22"/>
          <w:szCs w:val="22"/>
        </w:rPr>
        <w:t>z cukrzycą typu 2 i przewlekłą chorobą nerek oraz</w:t>
      </w:r>
      <w:r w:rsidR="002E51B3">
        <w:rPr>
          <w:iCs/>
          <w:sz w:val="22"/>
          <w:szCs w:val="22"/>
        </w:rPr>
        <w:t xml:space="preserve"> (</w:t>
      </w:r>
      <w:r w:rsidRPr="004B2224">
        <w:rPr>
          <w:iCs/>
          <w:sz w:val="22"/>
          <w:szCs w:val="22"/>
        </w:rPr>
        <w:t>lub</w:t>
      </w:r>
      <w:r w:rsidR="002E51B3">
        <w:rPr>
          <w:iCs/>
          <w:sz w:val="22"/>
          <w:szCs w:val="22"/>
        </w:rPr>
        <w:t>)</w:t>
      </w:r>
      <w:r w:rsidRPr="004B2224">
        <w:rPr>
          <w:iCs/>
          <w:sz w:val="22"/>
          <w:szCs w:val="22"/>
        </w:rPr>
        <w:t xml:space="preserve"> z chorobą układu sercowo-naczyniowego. Badanie zostało przedwcześnie przerwane z powodu zwiększonego ryzyka działań niepożądanych. Zgony sercowo-naczyniowe i udary mózgu występowały częściej w grupie otrzymującej aliskiren </w:t>
      </w:r>
    </w:p>
    <w:p w14:paraId="2E9E1BD7" w14:textId="77777777" w:rsidR="0085485D" w:rsidRPr="00105A25" w:rsidRDefault="0085485D" w:rsidP="0085485D">
      <w:pPr>
        <w:rPr>
          <w:sz w:val="22"/>
          <w:szCs w:val="22"/>
        </w:rPr>
      </w:pPr>
      <w:r w:rsidRPr="004B2224">
        <w:rPr>
          <w:iCs/>
          <w:sz w:val="22"/>
          <w:szCs w:val="22"/>
        </w:rPr>
        <w:lastRenderedPageBreak/>
        <w:t>w odniesieniu do grupy placebo. W grupie otrzymującej aliskiren odnotowano również częstsze występowanie zdarzeń niepożądanych, w tym ciężkich zdarzeń niepożądanych (hiperkaliemia, niedociśnienie i niewydolność nerek) względem grupy placebo.</w:t>
      </w:r>
    </w:p>
    <w:p w14:paraId="029EC3A7" w14:textId="77777777" w:rsidR="00D11D86" w:rsidRPr="00105A25" w:rsidRDefault="00D11D86" w:rsidP="001D75B1">
      <w:pPr>
        <w:rPr>
          <w:b/>
          <w:sz w:val="22"/>
          <w:szCs w:val="22"/>
        </w:rPr>
      </w:pPr>
    </w:p>
    <w:p w14:paraId="1FC48828" w14:textId="77777777" w:rsidR="00D7495B" w:rsidRPr="00105A25" w:rsidRDefault="001D75B1" w:rsidP="001D75B1">
      <w:pPr>
        <w:rPr>
          <w:b/>
          <w:sz w:val="22"/>
          <w:szCs w:val="22"/>
        </w:rPr>
      </w:pPr>
      <w:r w:rsidRPr="00105A25">
        <w:rPr>
          <w:b/>
          <w:sz w:val="22"/>
          <w:szCs w:val="22"/>
        </w:rPr>
        <w:t>5.2.</w:t>
      </w:r>
      <w:r w:rsidRPr="00105A25">
        <w:rPr>
          <w:b/>
          <w:sz w:val="22"/>
          <w:szCs w:val="22"/>
        </w:rPr>
        <w:tab/>
      </w:r>
      <w:r w:rsidR="00D7495B" w:rsidRPr="00105A25">
        <w:rPr>
          <w:b/>
          <w:sz w:val="22"/>
          <w:szCs w:val="22"/>
        </w:rPr>
        <w:t>Właściwości farmakokinetyczne</w:t>
      </w:r>
    </w:p>
    <w:p w14:paraId="51A819A2" w14:textId="77777777" w:rsidR="001D75B1" w:rsidRPr="00105A25" w:rsidRDefault="001D75B1" w:rsidP="001D75B1">
      <w:pPr>
        <w:rPr>
          <w:sz w:val="22"/>
          <w:szCs w:val="22"/>
        </w:rPr>
      </w:pPr>
    </w:p>
    <w:p w14:paraId="7860B90E" w14:textId="77777777" w:rsidR="00343D92" w:rsidRPr="007816FE" w:rsidRDefault="00343D92" w:rsidP="00343D92">
      <w:pPr>
        <w:rPr>
          <w:b/>
          <w:bCs/>
          <w:sz w:val="22"/>
          <w:szCs w:val="22"/>
        </w:rPr>
      </w:pPr>
      <w:r w:rsidRPr="007816FE">
        <w:rPr>
          <w:b/>
          <w:bCs/>
          <w:sz w:val="22"/>
          <w:szCs w:val="22"/>
        </w:rPr>
        <w:t>1. Stężenia w osoczu</w:t>
      </w:r>
    </w:p>
    <w:p w14:paraId="31A851BC" w14:textId="77777777" w:rsidR="00343D92" w:rsidRPr="00343D92" w:rsidRDefault="00FA0FF1" w:rsidP="00343D92">
      <w:pPr>
        <w:rPr>
          <w:sz w:val="22"/>
          <w:szCs w:val="22"/>
        </w:rPr>
      </w:pPr>
      <w:r>
        <w:rPr>
          <w:sz w:val="22"/>
          <w:szCs w:val="22"/>
        </w:rPr>
        <w:t>(</w:t>
      </w:r>
      <w:r w:rsidR="00343D92" w:rsidRPr="00343D92">
        <w:rPr>
          <w:sz w:val="22"/>
          <w:szCs w:val="22"/>
        </w:rPr>
        <w:t>1)</w:t>
      </w:r>
      <w:r w:rsidR="00343D92">
        <w:rPr>
          <w:sz w:val="22"/>
          <w:szCs w:val="22"/>
        </w:rPr>
        <w:t xml:space="preserve"> Po jednorazowym podaniu</w:t>
      </w:r>
    </w:p>
    <w:p w14:paraId="215478AF" w14:textId="4C02A502" w:rsidR="00343D92" w:rsidRDefault="00343D92" w:rsidP="00343D92">
      <w:pPr>
        <w:rPr>
          <w:sz w:val="22"/>
          <w:szCs w:val="22"/>
        </w:rPr>
      </w:pPr>
      <w:r w:rsidRPr="00105A25">
        <w:rPr>
          <w:sz w:val="22"/>
          <w:szCs w:val="22"/>
        </w:rPr>
        <w:t xml:space="preserve">Po podaniu doustnym imidapryl szybko wchłania się z przewodu pokarmowego </w:t>
      </w:r>
      <w:r>
        <w:rPr>
          <w:sz w:val="22"/>
          <w:szCs w:val="22"/>
        </w:rPr>
        <w:t>w</w:t>
      </w:r>
      <w:r w:rsidRPr="00105A25">
        <w:rPr>
          <w:sz w:val="22"/>
          <w:szCs w:val="22"/>
        </w:rPr>
        <w:t xml:space="preserve"> około 70% podanej dawki. </w:t>
      </w:r>
      <w:r w:rsidR="00343252" w:rsidRPr="00343252">
        <w:rPr>
          <w:sz w:val="22"/>
          <w:szCs w:val="22"/>
        </w:rPr>
        <w:t xml:space="preserve">Wchłanianie imidaprylu po jednorazowej dawce doustnej przebiegało liniowo od co najmniej 10 mg do 240 mg imidaprylu, w oparciu o dane stężenia w osoczu i wydalania z moczem. </w:t>
      </w:r>
      <w:r w:rsidR="00E912CE" w:rsidRPr="00105A25">
        <w:rPr>
          <w:sz w:val="22"/>
          <w:szCs w:val="22"/>
        </w:rPr>
        <w:t>Bogaty w tłuszcz posiłek znacznie zmniejsza wchłanianie imidaprylu.</w:t>
      </w:r>
      <w:r w:rsidR="00E912CE">
        <w:rPr>
          <w:sz w:val="22"/>
          <w:szCs w:val="22"/>
        </w:rPr>
        <w:t xml:space="preserve"> </w:t>
      </w:r>
      <w:r w:rsidRPr="00343D92">
        <w:rPr>
          <w:sz w:val="22"/>
          <w:szCs w:val="22"/>
        </w:rPr>
        <w:t>Stężenie imidapr</w:t>
      </w:r>
      <w:r w:rsidR="00414B44">
        <w:rPr>
          <w:sz w:val="22"/>
          <w:szCs w:val="22"/>
        </w:rPr>
        <w:t>y</w:t>
      </w:r>
      <w:r w:rsidRPr="00343D92">
        <w:rPr>
          <w:sz w:val="22"/>
          <w:szCs w:val="22"/>
        </w:rPr>
        <w:t>lu w osoczu po jednorazowym podaniu doustnym 10 mg chlorowodorku imidapr</w:t>
      </w:r>
      <w:r w:rsidR="00414B44">
        <w:rPr>
          <w:sz w:val="22"/>
          <w:szCs w:val="22"/>
        </w:rPr>
        <w:t>y</w:t>
      </w:r>
      <w:r w:rsidRPr="00343D92">
        <w:rPr>
          <w:sz w:val="22"/>
          <w:szCs w:val="22"/>
        </w:rPr>
        <w:t>lu zdrowym dorosłym osiągnęło maksimum około 2 godzin</w:t>
      </w:r>
      <w:r w:rsidR="00C2703B">
        <w:rPr>
          <w:sz w:val="22"/>
          <w:szCs w:val="22"/>
        </w:rPr>
        <w:t>y</w:t>
      </w:r>
      <w:r w:rsidRPr="00343D92">
        <w:rPr>
          <w:sz w:val="22"/>
          <w:szCs w:val="22"/>
        </w:rPr>
        <w:t xml:space="preserve"> po podaniu, a następnie zmniejszyło się z okresem półtrwania wynoszącym około 2 godziny. Stężenie aktywnego metabolitu imidapr</w:t>
      </w:r>
      <w:r w:rsidR="00414B44">
        <w:rPr>
          <w:sz w:val="22"/>
          <w:szCs w:val="22"/>
        </w:rPr>
        <w:t>y</w:t>
      </w:r>
      <w:r w:rsidRPr="00343D92">
        <w:rPr>
          <w:sz w:val="22"/>
          <w:szCs w:val="22"/>
        </w:rPr>
        <w:t>latu w osoczu osiągało maksimum (około 15 ng/m</w:t>
      </w:r>
      <w:r w:rsidR="00C17E6C">
        <w:rPr>
          <w:sz w:val="22"/>
          <w:szCs w:val="22"/>
        </w:rPr>
        <w:t>L</w:t>
      </w:r>
      <w:r w:rsidRPr="00343D92">
        <w:rPr>
          <w:sz w:val="22"/>
          <w:szCs w:val="22"/>
        </w:rPr>
        <w:t>) 6 do 8 godzin po podaniu</w:t>
      </w:r>
      <w:r w:rsidR="00D82921">
        <w:rPr>
          <w:sz w:val="22"/>
          <w:szCs w:val="22"/>
        </w:rPr>
        <w:t xml:space="preserve">. </w:t>
      </w:r>
      <w:r w:rsidRPr="00343D92">
        <w:rPr>
          <w:sz w:val="22"/>
          <w:szCs w:val="22"/>
        </w:rPr>
        <w:t xml:space="preserve"> </w:t>
      </w:r>
      <w:r w:rsidR="00D82921" w:rsidRPr="00D82921">
        <w:rPr>
          <w:sz w:val="22"/>
          <w:szCs w:val="22"/>
        </w:rPr>
        <w:t>Stężenie imidaprylatu w osoczu zmniejsza się dwufazowo, z początkowym okresem półtrwania około 7-9 godzin i końcowym okresem półtrwania ponad 24 godziny. Całkowita biodostępność imidaprylatu wynosi około 42%.</w:t>
      </w:r>
    </w:p>
    <w:p w14:paraId="40A68DD1" w14:textId="77777777" w:rsidR="00343D92" w:rsidRDefault="00343D92" w:rsidP="001D75B1">
      <w:pPr>
        <w:rPr>
          <w:sz w:val="22"/>
          <w:szCs w:val="22"/>
        </w:rPr>
      </w:pPr>
    </w:p>
    <w:p w14:paraId="509B6643" w14:textId="77777777" w:rsidR="00E912CE" w:rsidRPr="00E912CE" w:rsidRDefault="00E912CE" w:rsidP="00E912CE">
      <w:pPr>
        <w:rPr>
          <w:sz w:val="22"/>
          <w:szCs w:val="22"/>
        </w:rPr>
      </w:pPr>
      <w:r w:rsidRPr="00E912CE">
        <w:rPr>
          <w:sz w:val="22"/>
          <w:szCs w:val="22"/>
        </w:rPr>
        <w:t xml:space="preserve">(2) </w:t>
      </w:r>
      <w:r>
        <w:rPr>
          <w:sz w:val="22"/>
          <w:szCs w:val="22"/>
        </w:rPr>
        <w:t>Po wielokrotnym podaniu</w:t>
      </w:r>
    </w:p>
    <w:p w14:paraId="74AF0249" w14:textId="77777777" w:rsidR="00E912CE" w:rsidRPr="00E912CE" w:rsidRDefault="00E912CE" w:rsidP="00E912CE">
      <w:pPr>
        <w:rPr>
          <w:sz w:val="22"/>
          <w:szCs w:val="22"/>
        </w:rPr>
      </w:pPr>
      <w:r w:rsidRPr="00E912CE">
        <w:rPr>
          <w:sz w:val="22"/>
          <w:szCs w:val="22"/>
        </w:rPr>
        <w:t xml:space="preserve">1) </w:t>
      </w:r>
      <w:r>
        <w:rPr>
          <w:sz w:val="22"/>
          <w:szCs w:val="22"/>
        </w:rPr>
        <w:tab/>
      </w:r>
      <w:r w:rsidRPr="00E912CE">
        <w:rPr>
          <w:sz w:val="22"/>
          <w:szCs w:val="22"/>
        </w:rPr>
        <w:t>Zdrowi dorośli</w:t>
      </w:r>
    </w:p>
    <w:p w14:paraId="78F7A493" w14:textId="1C812BCC" w:rsidR="00E912CE" w:rsidRPr="00E912CE" w:rsidRDefault="00E912CE" w:rsidP="00E912CE">
      <w:pPr>
        <w:ind w:left="284"/>
        <w:rPr>
          <w:sz w:val="22"/>
          <w:szCs w:val="22"/>
        </w:rPr>
      </w:pPr>
      <w:r w:rsidRPr="00E912CE">
        <w:rPr>
          <w:sz w:val="22"/>
          <w:szCs w:val="22"/>
        </w:rPr>
        <w:t>Stężenie imidapr</w:t>
      </w:r>
      <w:r w:rsidR="00414B44">
        <w:rPr>
          <w:sz w:val="22"/>
          <w:szCs w:val="22"/>
        </w:rPr>
        <w:t>y</w:t>
      </w:r>
      <w:r w:rsidRPr="00E912CE">
        <w:rPr>
          <w:sz w:val="22"/>
          <w:szCs w:val="22"/>
        </w:rPr>
        <w:t>latu w osoczu po wielokrotnym podaniu doustnym 10 mg tego produktu zdrowym dorosłym raz na dobę przez 7 dni osiągało stan stacjonarny 3 do 5 dni po podaniu.</w:t>
      </w:r>
    </w:p>
    <w:p w14:paraId="4F71978F" w14:textId="4A9A8C6B" w:rsidR="00E912CE" w:rsidRDefault="002D1B18" w:rsidP="00E912CE">
      <w:pPr>
        <w:ind w:left="284"/>
        <w:rPr>
          <w:sz w:val="22"/>
          <w:szCs w:val="22"/>
        </w:rPr>
      </w:pPr>
      <w:r w:rsidRPr="002D1B18">
        <w:rPr>
          <w:sz w:val="22"/>
          <w:szCs w:val="22"/>
        </w:rPr>
        <w:t>Parametry farmakokinetyczne po wielokrotnym podaniu doustnym 10 mg tego produktu zdrowym dorosłym raz na dobę przez 7 dni osiągały stan stacjonarny 3 do 5 dni po podaniu.</w:t>
      </w:r>
    </w:p>
    <w:p w14:paraId="2609B4F9" w14:textId="77777777" w:rsidR="002D1B18" w:rsidRDefault="002D1B18" w:rsidP="00E912CE">
      <w:pPr>
        <w:ind w:left="284"/>
        <w:rPr>
          <w:sz w:val="22"/>
          <w:szCs w:val="22"/>
        </w:rPr>
      </w:pPr>
    </w:p>
    <w:p w14:paraId="53D0220A" w14:textId="227A046F" w:rsidR="00E912CE" w:rsidRDefault="002D1B18" w:rsidP="00E912CE">
      <w:pPr>
        <w:ind w:left="284"/>
        <w:rPr>
          <w:sz w:val="22"/>
          <w:szCs w:val="22"/>
        </w:rPr>
      </w:pPr>
      <w:r w:rsidRPr="002D1B18">
        <w:rPr>
          <w:sz w:val="22"/>
          <w:szCs w:val="22"/>
        </w:rPr>
        <w:t xml:space="preserve">Parametry farmakokinetyczne po wielokrotnym podaniu doustnym 10 mg tego produktu zdrowym dorosłym raz </w:t>
      </w:r>
      <w:r w:rsidR="006F43BC">
        <w:rPr>
          <w:sz w:val="22"/>
          <w:szCs w:val="22"/>
        </w:rPr>
        <w:t>na dobę</w:t>
      </w:r>
      <w:r w:rsidRPr="002D1B18">
        <w:rPr>
          <w:sz w:val="22"/>
          <w:szCs w:val="22"/>
        </w:rPr>
        <w:t xml:space="preserve"> przez 7 dni</w:t>
      </w:r>
    </w:p>
    <w:tbl>
      <w:tblPr>
        <w:tblStyle w:val="Tabela-Siatka"/>
        <w:tblW w:w="5000" w:type="pct"/>
        <w:tblLook w:val="04A0" w:firstRow="1" w:lastRow="0" w:firstColumn="1" w:lastColumn="0" w:noHBand="0" w:noVBand="1"/>
      </w:tblPr>
      <w:tblGrid>
        <w:gridCol w:w="2411"/>
        <w:gridCol w:w="1662"/>
        <w:gridCol w:w="1663"/>
        <w:gridCol w:w="1662"/>
        <w:gridCol w:w="1662"/>
      </w:tblGrid>
      <w:tr w:rsidR="002D1B18" w:rsidRPr="002D1B18" w14:paraId="307AAE99" w14:textId="77777777" w:rsidTr="007816FE">
        <w:tc>
          <w:tcPr>
            <w:tcW w:w="1331" w:type="pct"/>
            <w:vMerge w:val="restart"/>
            <w:vAlign w:val="center"/>
          </w:tcPr>
          <w:p w14:paraId="3BD7CF8F" w14:textId="47FBFAED"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Parametry farmakokinetyczne</w:t>
            </w:r>
          </w:p>
        </w:tc>
        <w:tc>
          <w:tcPr>
            <w:tcW w:w="1835" w:type="pct"/>
            <w:gridSpan w:val="2"/>
            <w:vAlign w:val="center"/>
          </w:tcPr>
          <w:p w14:paraId="6142856D" w14:textId="77CF6A98"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Imidapryl</w:t>
            </w:r>
          </w:p>
        </w:tc>
        <w:tc>
          <w:tcPr>
            <w:tcW w:w="1834" w:type="pct"/>
            <w:gridSpan w:val="2"/>
            <w:vAlign w:val="center"/>
          </w:tcPr>
          <w:p w14:paraId="500596B1" w14:textId="07D2810A"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Imidaprylat</w:t>
            </w:r>
          </w:p>
        </w:tc>
      </w:tr>
      <w:tr w:rsidR="002D1B18" w:rsidRPr="002D1B18" w14:paraId="474D034E" w14:textId="77777777" w:rsidTr="002D1B18">
        <w:tc>
          <w:tcPr>
            <w:tcW w:w="1331" w:type="pct"/>
            <w:vMerge/>
            <w:vAlign w:val="center"/>
          </w:tcPr>
          <w:p w14:paraId="2D39EE57"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p>
        </w:tc>
        <w:tc>
          <w:tcPr>
            <w:tcW w:w="917" w:type="pct"/>
            <w:vAlign w:val="center"/>
          </w:tcPr>
          <w:p w14:paraId="22794A03" w14:textId="2498D0F3"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Początkowo</w:t>
            </w:r>
          </w:p>
        </w:tc>
        <w:tc>
          <w:tcPr>
            <w:tcW w:w="918" w:type="pct"/>
            <w:vAlign w:val="center"/>
          </w:tcPr>
          <w:p w14:paraId="2219223B" w14:textId="6C6065B6"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Po wielokrotnym podaniu</w:t>
            </w:r>
          </w:p>
        </w:tc>
        <w:tc>
          <w:tcPr>
            <w:tcW w:w="917" w:type="pct"/>
            <w:vAlign w:val="center"/>
          </w:tcPr>
          <w:p w14:paraId="3942F80E" w14:textId="0E4C94EE"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Początkowo</w:t>
            </w:r>
          </w:p>
        </w:tc>
        <w:tc>
          <w:tcPr>
            <w:tcW w:w="917" w:type="pct"/>
            <w:vAlign w:val="center"/>
          </w:tcPr>
          <w:p w14:paraId="5932FF46" w14:textId="362F96D9"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Po wielokrotnym podaniu</w:t>
            </w:r>
          </w:p>
        </w:tc>
      </w:tr>
      <w:tr w:rsidR="002D1B18" w:rsidRPr="002D1B18" w14:paraId="416F4C3A" w14:textId="77777777" w:rsidTr="007816FE">
        <w:tc>
          <w:tcPr>
            <w:tcW w:w="1331" w:type="pct"/>
            <w:vAlign w:val="center"/>
          </w:tcPr>
          <w:p w14:paraId="5A055805" w14:textId="79637C76"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C</w:t>
            </w:r>
            <w:r w:rsidRPr="009E0A20">
              <w:rPr>
                <w:sz w:val="20"/>
                <w:szCs w:val="20"/>
                <w:vertAlign w:val="subscript"/>
                <w:lang w:val="en-GB" w:eastAsia="ko-KR"/>
              </w:rPr>
              <w:t>max</w:t>
            </w:r>
            <w:r w:rsidRPr="009E0A20">
              <w:rPr>
                <w:sz w:val="20"/>
                <w:szCs w:val="20"/>
                <w:lang w:val="en-GB" w:eastAsia="ko-KR"/>
              </w:rPr>
              <w:t xml:space="preserve"> (ng/m</w:t>
            </w:r>
            <w:r w:rsidR="00C17E6C" w:rsidRPr="009E0A20">
              <w:rPr>
                <w:sz w:val="20"/>
                <w:szCs w:val="20"/>
                <w:lang w:val="en-GB" w:eastAsia="ko-KR"/>
              </w:rPr>
              <w:t>L</w:t>
            </w:r>
            <w:r w:rsidRPr="009E0A20">
              <w:rPr>
                <w:sz w:val="20"/>
                <w:szCs w:val="20"/>
                <w:lang w:val="en-GB" w:eastAsia="ko-KR"/>
              </w:rPr>
              <w:t>)</w:t>
            </w:r>
          </w:p>
        </w:tc>
        <w:tc>
          <w:tcPr>
            <w:tcW w:w="917" w:type="pct"/>
            <w:vAlign w:val="center"/>
          </w:tcPr>
          <w:p w14:paraId="1A0EADC2"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28.9</w:t>
            </w:r>
          </w:p>
        </w:tc>
        <w:tc>
          <w:tcPr>
            <w:tcW w:w="918" w:type="pct"/>
            <w:vAlign w:val="center"/>
          </w:tcPr>
          <w:p w14:paraId="402C9B35"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27.1</w:t>
            </w:r>
          </w:p>
        </w:tc>
        <w:tc>
          <w:tcPr>
            <w:tcW w:w="917" w:type="pct"/>
            <w:vAlign w:val="center"/>
          </w:tcPr>
          <w:p w14:paraId="0A4B0EC8"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7.8</w:t>
            </w:r>
          </w:p>
        </w:tc>
        <w:tc>
          <w:tcPr>
            <w:tcW w:w="917" w:type="pct"/>
            <w:vAlign w:val="center"/>
          </w:tcPr>
          <w:p w14:paraId="7C82CFEA"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20.3</w:t>
            </w:r>
          </w:p>
        </w:tc>
      </w:tr>
      <w:tr w:rsidR="002D1B18" w:rsidRPr="002D1B18" w14:paraId="71A367DB" w14:textId="77777777" w:rsidTr="007816FE">
        <w:tc>
          <w:tcPr>
            <w:tcW w:w="1331" w:type="pct"/>
            <w:vAlign w:val="center"/>
          </w:tcPr>
          <w:p w14:paraId="65CC2F99"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T</w:t>
            </w:r>
            <w:r w:rsidRPr="009E0A20">
              <w:rPr>
                <w:sz w:val="20"/>
                <w:szCs w:val="20"/>
                <w:vertAlign w:val="subscript"/>
                <w:lang w:val="en-GB" w:eastAsia="ko-KR"/>
              </w:rPr>
              <w:t>max</w:t>
            </w:r>
            <w:r w:rsidRPr="009E0A20">
              <w:rPr>
                <w:sz w:val="20"/>
                <w:szCs w:val="20"/>
                <w:lang w:val="en-GB" w:eastAsia="ko-KR"/>
              </w:rPr>
              <w:t xml:space="preserve"> (h)</w:t>
            </w:r>
          </w:p>
        </w:tc>
        <w:tc>
          <w:tcPr>
            <w:tcW w:w="917" w:type="pct"/>
            <w:vAlign w:val="center"/>
          </w:tcPr>
          <w:p w14:paraId="654AFB50"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2.0</w:t>
            </w:r>
          </w:p>
        </w:tc>
        <w:tc>
          <w:tcPr>
            <w:tcW w:w="918" w:type="pct"/>
            <w:vAlign w:val="center"/>
          </w:tcPr>
          <w:p w14:paraId="08981A23"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2.3</w:t>
            </w:r>
          </w:p>
        </w:tc>
        <w:tc>
          <w:tcPr>
            <w:tcW w:w="917" w:type="pct"/>
            <w:vAlign w:val="center"/>
          </w:tcPr>
          <w:p w14:paraId="4E2F5DAC"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9.3</w:t>
            </w:r>
          </w:p>
        </w:tc>
        <w:tc>
          <w:tcPr>
            <w:tcW w:w="917" w:type="pct"/>
            <w:vAlign w:val="center"/>
          </w:tcPr>
          <w:p w14:paraId="0A2968BA"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7.0</w:t>
            </w:r>
          </w:p>
        </w:tc>
      </w:tr>
      <w:tr w:rsidR="002D1B18" w:rsidRPr="002D1B18" w14:paraId="197CBE12" w14:textId="77777777" w:rsidTr="007816FE">
        <w:tc>
          <w:tcPr>
            <w:tcW w:w="1331" w:type="pct"/>
            <w:vAlign w:val="center"/>
          </w:tcPr>
          <w:p w14:paraId="24D436EB"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T</w:t>
            </w:r>
            <w:r w:rsidRPr="009E0A20">
              <w:rPr>
                <w:sz w:val="20"/>
                <w:szCs w:val="20"/>
                <w:vertAlign w:val="subscript"/>
                <w:lang w:val="en-GB" w:eastAsia="ko-KR"/>
              </w:rPr>
              <w:t xml:space="preserve">1/2 </w:t>
            </w:r>
            <w:r w:rsidRPr="009E0A20">
              <w:rPr>
                <w:sz w:val="20"/>
                <w:szCs w:val="20"/>
                <w:lang w:val="en-GB" w:eastAsia="ko-KR"/>
              </w:rPr>
              <w:t>(h)</w:t>
            </w:r>
          </w:p>
        </w:tc>
        <w:tc>
          <w:tcPr>
            <w:tcW w:w="917" w:type="pct"/>
            <w:vAlign w:val="center"/>
          </w:tcPr>
          <w:p w14:paraId="7C4BA0AC"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1.7</w:t>
            </w:r>
          </w:p>
        </w:tc>
        <w:tc>
          <w:tcPr>
            <w:tcW w:w="918" w:type="pct"/>
            <w:vAlign w:val="center"/>
          </w:tcPr>
          <w:p w14:paraId="7C5FD560"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1.6</w:t>
            </w:r>
          </w:p>
        </w:tc>
        <w:tc>
          <w:tcPr>
            <w:tcW w:w="917" w:type="pct"/>
            <w:vAlign w:val="center"/>
          </w:tcPr>
          <w:p w14:paraId="0389BD7D"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14.8</w:t>
            </w:r>
          </w:p>
        </w:tc>
        <w:tc>
          <w:tcPr>
            <w:tcW w:w="917" w:type="pct"/>
            <w:vAlign w:val="center"/>
          </w:tcPr>
          <w:p w14:paraId="56371064"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7.6</w:t>
            </w:r>
          </w:p>
        </w:tc>
      </w:tr>
      <w:tr w:rsidR="002D1B18" w:rsidRPr="002D1B18" w14:paraId="6734A3B7" w14:textId="77777777" w:rsidTr="007816FE">
        <w:tc>
          <w:tcPr>
            <w:tcW w:w="1331" w:type="pct"/>
            <w:vAlign w:val="center"/>
          </w:tcPr>
          <w:p w14:paraId="61948809"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AUC</w:t>
            </w:r>
            <w:r w:rsidRPr="009E0A20">
              <w:rPr>
                <w:sz w:val="20"/>
                <w:szCs w:val="20"/>
                <w:vertAlign w:val="subscript"/>
                <w:lang w:val="en-GB" w:eastAsia="ko-KR"/>
              </w:rPr>
              <w:t>0-24h</w:t>
            </w:r>
            <w:r w:rsidRPr="009E0A20">
              <w:rPr>
                <w:sz w:val="20"/>
                <w:szCs w:val="20"/>
                <w:lang w:val="en-GB" w:eastAsia="ko-KR"/>
              </w:rPr>
              <w:t xml:space="preserve"> (ng×h/ml)</w:t>
            </w:r>
          </w:p>
        </w:tc>
        <w:tc>
          <w:tcPr>
            <w:tcW w:w="917" w:type="pct"/>
            <w:vAlign w:val="center"/>
          </w:tcPr>
          <w:p w14:paraId="1A33B6C2"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113.3</w:t>
            </w:r>
          </w:p>
        </w:tc>
        <w:tc>
          <w:tcPr>
            <w:tcW w:w="918" w:type="pct"/>
            <w:vAlign w:val="center"/>
          </w:tcPr>
          <w:p w14:paraId="4CF7031F"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113.6</w:t>
            </w:r>
          </w:p>
        </w:tc>
        <w:tc>
          <w:tcPr>
            <w:tcW w:w="917" w:type="pct"/>
            <w:vAlign w:val="center"/>
          </w:tcPr>
          <w:p w14:paraId="3B3FA383"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107.8</w:t>
            </w:r>
          </w:p>
        </w:tc>
        <w:tc>
          <w:tcPr>
            <w:tcW w:w="917" w:type="pct"/>
            <w:vAlign w:val="center"/>
          </w:tcPr>
          <w:p w14:paraId="1370BDF9" w14:textId="77777777" w:rsidR="002D1B18" w:rsidRPr="009E0A20" w:rsidRDefault="002D1B18" w:rsidP="007816FE">
            <w:pPr>
              <w:kinsoku w:val="0"/>
              <w:overflowPunct w:val="0"/>
              <w:autoSpaceDE w:val="0"/>
              <w:autoSpaceDN w:val="0"/>
              <w:adjustRightInd w:val="0"/>
              <w:spacing w:line="276" w:lineRule="auto"/>
              <w:ind w:left="57" w:right="57"/>
              <w:jc w:val="center"/>
              <w:rPr>
                <w:sz w:val="20"/>
                <w:szCs w:val="20"/>
                <w:lang w:val="en-GB" w:eastAsia="ko-KR"/>
              </w:rPr>
            </w:pPr>
            <w:r w:rsidRPr="009E0A20">
              <w:rPr>
                <w:sz w:val="20"/>
                <w:szCs w:val="20"/>
                <w:lang w:val="en-GB" w:eastAsia="ko-KR"/>
              </w:rPr>
              <w:t>246.6</w:t>
            </w:r>
          </w:p>
        </w:tc>
      </w:tr>
    </w:tbl>
    <w:p w14:paraId="531F6973" w14:textId="6EB53174" w:rsidR="002D1B18" w:rsidRDefault="002D1B18" w:rsidP="00E912CE">
      <w:pPr>
        <w:ind w:left="284"/>
        <w:rPr>
          <w:sz w:val="22"/>
          <w:szCs w:val="22"/>
        </w:rPr>
      </w:pPr>
    </w:p>
    <w:p w14:paraId="38372035" w14:textId="77777777" w:rsidR="002D1B18" w:rsidRPr="00E912CE" w:rsidRDefault="002D1B18" w:rsidP="00E912CE">
      <w:pPr>
        <w:ind w:left="284"/>
        <w:rPr>
          <w:sz w:val="22"/>
          <w:szCs w:val="22"/>
        </w:rPr>
      </w:pPr>
    </w:p>
    <w:p w14:paraId="72B6B258" w14:textId="77777777" w:rsidR="00E912CE" w:rsidRPr="00E912CE" w:rsidRDefault="00E912CE" w:rsidP="00E912CE">
      <w:pPr>
        <w:rPr>
          <w:sz w:val="22"/>
          <w:szCs w:val="22"/>
        </w:rPr>
      </w:pPr>
      <w:r w:rsidRPr="00E912CE">
        <w:rPr>
          <w:sz w:val="22"/>
          <w:szCs w:val="22"/>
        </w:rPr>
        <w:t xml:space="preserve">2) </w:t>
      </w:r>
      <w:r>
        <w:rPr>
          <w:sz w:val="22"/>
          <w:szCs w:val="22"/>
        </w:rPr>
        <w:tab/>
      </w:r>
      <w:r w:rsidRPr="00E912CE">
        <w:rPr>
          <w:sz w:val="22"/>
          <w:szCs w:val="22"/>
        </w:rPr>
        <w:t>Pacjenci z zaburzeniami czynności nerek</w:t>
      </w:r>
    </w:p>
    <w:p w14:paraId="65E4DC91" w14:textId="3E08C933" w:rsidR="00F220D2" w:rsidRPr="00F220D2" w:rsidRDefault="00F220D2" w:rsidP="00F220D2">
      <w:pPr>
        <w:ind w:left="284"/>
        <w:rPr>
          <w:sz w:val="22"/>
          <w:szCs w:val="22"/>
        </w:rPr>
      </w:pPr>
      <w:r w:rsidRPr="00F220D2">
        <w:rPr>
          <w:sz w:val="22"/>
          <w:szCs w:val="22"/>
        </w:rPr>
        <w:t xml:space="preserve">Zwiększone wartości AUC (pola pod krzywą) imidaprylu i imidaprylatu obserwowano u chorych z zaburzeniem czynności nerek. Dwukrotne zwiększenie AUC imidaprylatu występowało u chorych z klirensem kreatyniny od 30 ml/min do 80 ml/min, a prawie dziesięciokrotne zwiększenie u chorych z klirensem kreatyniny od 10 ml/min do 29 ml/min. Doświadczenie ze stosowaniem imidaprylu we wszystkich stopniach niewydolności nerek jest bardzo ograniczone. Brak jest badań z dawką 20 mg przy </w:t>
      </w:r>
      <w:r w:rsidR="00932C8C">
        <w:rPr>
          <w:sz w:val="22"/>
          <w:szCs w:val="22"/>
        </w:rPr>
        <w:t>zaburzeniach</w:t>
      </w:r>
      <w:r w:rsidRPr="00F220D2">
        <w:rPr>
          <w:sz w:val="22"/>
          <w:szCs w:val="22"/>
        </w:rPr>
        <w:t xml:space="preserve"> czynności nerek.</w:t>
      </w:r>
    </w:p>
    <w:p w14:paraId="17EE9798" w14:textId="211BA66E" w:rsidR="00FA0FF1" w:rsidRDefault="00E912CE" w:rsidP="00E912CE">
      <w:pPr>
        <w:ind w:left="284"/>
        <w:rPr>
          <w:sz w:val="22"/>
          <w:szCs w:val="22"/>
        </w:rPr>
      </w:pPr>
      <w:r w:rsidRPr="00E912CE">
        <w:rPr>
          <w:sz w:val="22"/>
          <w:szCs w:val="22"/>
        </w:rPr>
        <w:t>Czas do osiągnięcia maksymalnego stężenia w osoczu (T</w:t>
      </w:r>
      <w:r w:rsidRPr="009E0A20">
        <w:rPr>
          <w:sz w:val="22"/>
          <w:szCs w:val="22"/>
          <w:vertAlign w:val="subscript"/>
        </w:rPr>
        <w:t>max</w:t>
      </w:r>
      <w:r w:rsidRPr="00E912CE">
        <w:rPr>
          <w:sz w:val="22"/>
          <w:szCs w:val="22"/>
        </w:rPr>
        <w:t>) i okres półtrwania były dłuższe (odpowiednio około 11 godzin i 18 godzin) u pacjentów z nadciśnieniem i ciężkimi zaburzeniami czynności nerek (stężenie kreatyniny w surowicy: 3</w:t>
      </w:r>
      <w:r w:rsidR="00555DE8">
        <w:rPr>
          <w:sz w:val="22"/>
          <w:szCs w:val="22"/>
        </w:rPr>
        <w:t>.</w:t>
      </w:r>
      <w:r w:rsidRPr="00E912CE">
        <w:rPr>
          <w:sz w:val="22"/>
          <w:szCs w:val="22"/>
        </w:rPr>
        <w:t xml:space="preserve">3, </w:t>
      </w:r>
      <w:r w:rsidRPr="007816FE">
        <w:rPr>
          <w:sz w:val="22"/>
          <w:szCs w:val="22"/>
        </w:rPr>
        <w:t>2</w:t>
      </w:r>
      <w:r w:rsidR="00555DE8" w:rsidRPr="007816FE">
        <w:rPr>
          <w:sz w:val="22"/>
          <w:szCs w:val="22"/>
        </w:rPr>
        <w:t>.</w:t>
      </w:r>
      <w:r w:rsidRPr="007816FE">
        <w:rPr>
          <w:sz w:val="22"/>
          <w:szCs w:val="22"/>
        </w:rPr>
        <w:t xml:space="preserve">9, </w:t>
      </w:r>
      <w:r w:rsidR="002D1B18" w:rsidRPr="007816FE">
        <w:rPr>
          <w:sz w:val="22"/>
          <w:szCs w:val="22"/>
        </w:rPr>
        <w:t>1.9</w:t>
      </w:r>
      <w:r w:rsidRPr="007816FE">
        <w:rPr>
          <w:sz w:val="22"/>
          <w:szCs w:val="22"/>
        </w:rPr>
        <w:t xml:space="preserve"> mg/</w:t>
      </w:r>
      <w:r w:rsidRPr="00E912CE">
        <w:rPr>
          <w:sz w:val="22"/>
          <w:szCs w:val="22"/>
        </w:rPr>
        <w:t>d</w:t>
      </w:r>
      <w:r w:rsidR="00C17E6C">
        <w:rPr>
          <w:sz w:val="22"/>
          <w:szCs w:val="22"/>
        </w:rPr>
        <w:t>L</w:t>
      </w:r>
      <w:r w:rsidRPr="00E912CE">
        <w:rPr>
          <w:sz w:val="22"/>
          <w:szCs w:val="22"/>
        </w:rPr>
        <w:t xml:space="preserve">), którzy otrzymywali wielokrotne podanie doustne 5 mg tego produktu raz </w:t>
      </w:r>
      <w:r w:rsidR="00932C8C">
        <w:rPr>
          <w:sz w:val="22"/>
          <w:szCs w:val="22"/>
        </w:rPr>
        <w:t>na dobę</w:t>
      </w:r>
      <w:r w:rsidRPr="00E912CE">
        <w:rPr>
          <w:sz w:val="22"/>
          <w:szCs w:val="22"/>
        </w:rPr>
        <w:t xml:space="preserve"> niż pacjenci z nadciśnieniem bez zaburzeń czynności nerek, którzy otrzymali 10 mg tego produktu. Maksymalne stężenie </w:t>
      </w:r>
      <w:r w:rsidR="009A3FB4">
        <w:rPr>
          <w:sz w:val="22"/>
          <w:szCs w:val="22"/>
        </w:rPr>
        <w:t>imidapr</w:t>
      </w:r>
      <w:r w:rsidR="00E34265">
        <w:rPr>
          <w:sz w:val="22"/>
          <w:szCs w:val="22"/>
        </w:rPr>
        <w:t>y</w:t>
      </w:r>
      <w:r w:rsidR="009A3FB4">
        <w:rPr>
          <w:sz w:val="22"/>
          <w:szCs w:val="22"/>
        </w:rPr>
        <w:t xml:space="preserve">latu </w:t>
      </w:r>
      <w:r w:rsidRPr="00E912CE">
        <w:rPr>
          <w:sz w:val="22"/>
          <w:szCs w:val="22"/>
        </w:rPr>
        <w:t>w osoczu (C</w:t>
      </w:r>
      <w:r w:rsidRPr="009E0A20">
        <w:rPr>
          <w:sz w:val="22"/>
          <w:szCs w:val="22"/>
          <w:vertAlign w:val="subscript"/>
        </w:rPr>
        <w:t>max</w:t>
      </w:r>
      <w:r w:rsidRPr="00E912CE">
        <w:rPr>
          <w:sz w:val="22"/>
          <w:szCs w:val="22"/>
        </w:rPr>
        <w:t xml:space="preserve">) </w:t>
      </w:r>
      <w:r w:rsidR="009A3FB4">
        <w:rPr>
          <w:sz w:val="22"/>
          <w:szCs w:val="22"/>
        </w:rPr>
        <w:t>po podaniu 10 mg imidapr</w:t>
      </w:r>
      <w:r w:rsidR="00E55F69">
        <w:rPr>
          <w:sz w:val="22"/>
          <w:szCs w:val="22"/>
        </w:rPr>
        <w:t>y</w:t>
      </w:r>
      <w:r w:rsidR="009A3FB4">
        <w:rPr>
          <w:sz w:val="22"/>
          <w:szCs w:val="22"/>
        </w:rPr>
        <w:t>l</w:t>
      </w:r>
      <w:r w:rsidR="00835D61">
        <w:rPr>
          <w:sz w:val="22"/>
          <w:szCs w:val="22"/>
        </w:rPr>
        <w:t xml:space="preserve">u u </w:t>
      </w:r>
      <w:r w:rsidRPr="00E912CE">
        <w:rPr>
          <w:sz w:val="22"/>
          <w:szCs w:val="22"/>
        </w:rPr>
        <w:t xml:space="preserve">pacjentów z niewydolnością nerek (około </w:t>
      </w:r>
      <w:r w:rsidR="002D1B18">
        <w:rPr>
          <w:sz w:val="22"/>
          <w:szCs w:val="22"/>
        </w:rPr>
        <w:t>1</w:t>
      </w:r>
      <w:r w:rsidR="00835D61">
        <w:rPr>
          <w:sz w:val="22"/>
          <w:szCs w:val="22"/>
        </w:rPr>
        <w:t>8</w:t>
      </w:r>
      <w:r w:rsidRPr="00E912CE">
        <w:rPr>
          <w:sz w:val="22"/>
          <w:szCs w:val="22"/>
        </w:rPr>
        <w:t xml:space="preserve"> ng/m</w:t>
      </w:r>
      <w:r w:rsidR="00C17E6C">
        <w:rPr>
          <w:sz w:val="22"/>
          <w:szCs w:val="22"/>
        </w:rPr>
        <w:t>L</w:t>
      </w:r>
      <w:r w:rsidRPr="00E912CE">
        <w:rPr>
          <w:sz w:val="22"/>
          <w:szCs w:val="22"/>
        </w:rPr>
        <w:t xml:space="preserve">) było wyższe niż u pacjentów bez niewydolności nerek (około </w:t>
      </w:r>
      <w:r w:rsidR="002D1B18">
        <w:rPr>
          <w:sz w:val="22"/>
          <w:szCs w:val="22"/>
        </w:rPr>
        <w:t>11</w:t>
      </w:r>
      <w:r w:rsidRPr="00E912CE">
        <w:rPr>
          <w:sz w:val="22"/>
          <w:szCs w:val="22"/>
        </w:rPr>
        <w:t xml:space="preserve"> ng/m</w:t>
      </w:r>
      <w:r w:rsidR="00C17E6C">
        <w:rPr>
          <w:sz w:val="22"/>
          <w:szCs w:val="22"/>
        </w:rPr>
        <w:t>L</w:t>
      </w:r>
      <w:r w:rsidRPr="00E912CE">
        <w:rPr>
          <w:sz w:val="22"/>
          <w:szCs w:val="22"/>
        </w:rPr>
        <w:t>).</w:t>
      </w:r>
    </w:p>
    <w:p w14:paraId="373A71CB" w14:textId="77777777" w:rsidR="00A11EB7" w:rsidRDefault="00A11EB7" w:rsidP="00A11EB7">
      <w:pPr>
        <w:rPr>
          <w:sz w:val="22"/>
          <w:szCs w:val="22"/>
        </w:rPr>
      </w:pPr>
      <w:r>
        <w:rPr>
          <w:sz w:val="22"/>
          <w:szCs w:val="22"/>
        </w:rPr>
        <w:t xml:space="preserve">3) </w:t>
      </w:r>
      <w:r>
        <w:rPr>
          <w:sz w:val="22"/>
          <w:szCs w:val="22"/>
        </w:rPr>
        <w:tab/>
        <w:t>Pacjenci z zaburzeniami czynności wątroby</w:t>
      </w:r>
    </w:p>
    <w:p w14:paraId="244A5E65" w14:textId="5B1E4E19" w:rsidR="00F35267" w:rsidRPr="00105A25" w:rsidRDefault="00A11EB7" w:rsidP="00F35267">
      <w:pPr>
        <w:rPr>
          <w:sz w:val="22"/>
          <w:szCs w:val="22"/>
        </w:rPr>
      </w:pPr>
      <w:r w:rsidRPr="00105A25">
        <w:rPr>
          <w:sz w:val="22"/>
          <w:szCs w:val="22"/>
        </w:rPr>
        <w:t>U chorych z zaburzeniem czynności wątroby AUC imidaprylu i imdapr</w:t>
      </w:r>
      <w:r w:rsidR="00E34265">
        <w:rPr>
          <w:sz w:val="22"/>
          <w:szCs w:val="22"/>
        </w:rPr>
        <w:t>y</w:t>
      </w:r>
      <w:r w:rsidRPr="00105A25">
        <w:rPr>
          <w:sz w:val="22"/>
          <w:szCs w:val="22"/>
        </w:rPr>
        <w:t>latu były nieco większe niż u osób zdrowych, natomiast T</w:t>
      </w:r>
      <w:r w:rsidRPr="00105A25">
        <w:rPr>
          <w:sz w:val="22"/>
          <w:szCs w:val="22"/>
          <w:vertAlign w:val="subscript"/>
        </w:rPr>
        <w:t>max</w:t>
      </w:r>
      <w:r w:rsidR="00577003">
        <w:rPr>
          <w:sz w:val="22"/>
          <w:szCs w:val="22"/>
          <w:vertAlign w:val="subscript"/>
        </w:rPr>
        <w:t xml:space="preserve"> </w:t>
      </w:r>
      <w:r w:rsidRPr="00105A25">
        <w:rPr>
          <w:sz w:val="22"/>
          <w:szCs w:val="22"/>
        </w:rPr>
        <w:t xml:space="preserve">dla obu związków był podobny w obu grupach. Ponadto, okres </w:t>
      </w:r>
      <w:r w:rsidRPr="00105A25">
        <w:rPr>
          <w:sz w:val="22"/>
          <w:szCs w:val="22"/>
        </w:rPr>
        <w:lastRenderedPageBreak/>
        <w:t>półtrwania imidaprylatu, ale nie imidaprylu, był znacznie dłuższy u chorych z zaburzeni</w:t>
      </w:r>
      <w:r w:rsidR="00EC5C69">
        <w:rPr>
          <w:sz w:val="22"/>
          <w:szCs w:val="22"/>
        </w:rPr>
        <w:t>a</w:t>
      </w:r>
      <w:r w:rsidRPr="00105A25">
        <w:rPr>
          <w:sz w:val="22"/>
          <w:szCs w:val="22"/>
        </w:rPr>
        <w:t>m</w:t>
      </w:r>
      <w:r w:rsidR="00EC5C69">
        <w:rPr>
          <w:sz w:val="22"/>
          <w:szCs w:val="22"/>
        </w:rPr>
        <w:t>i</w:t>
      </w:r>
      <w:r w:rsidRPr="00105A25">
        <w:rPr>
          <w:sz w:val="22"/>
          <w:szCs w:val="22"/>
        </w:rPr>
        <w:t xml:space="preserve"> czynności wątroby.</w:t>
      </w:r>
    </w:p>
    <w:p w14:paraId="541404B5" w14:textId="2404ABC7" w:rsidR="00D7495B" w:rsidRPr="00105A25" w:rsidRDefault="00D7495B" w:rsidP="001D75B1">
      <w:pPr>
        <w:rPr>
          <w:sz w:val="22"/>
          <w:szCs w:val="22"/>
        </w:rPr>
      </w:pPr>
    </w:p>
    <w:p w14:paraId="1F05808D" w14:textId="77777777" w:rsidR="001D75B1" w:rsidRPr="00105A25" w:rsidRDefault="001D75B1" w:rsidP="001D75B1">
      <w:pPr>
        <w:rPr>
          <w:sz w:val="22"/>
          <w:szCs w:val="22"/>
        </w:rPr>
      </w:pPr>
    </w:p>
    <w:p w14:paraId="3121712C" w14:textId="77777777" w:rsidR="00D7495B" w:rsidRPr="00105A25" w:rsidRDefault="00D7495B" w:rsidP="001D75B1">
      <w:pPr>
        <w:rPr>
          <w:sz w:val="22"/>
          <w:szCs w:val="22"/>
        </w:rPr>
      </w:pPr>
      <w:r w:rsidRPr="00105A25">
        <w:rPr>
          <w:sz w:val="22"/>
          <w:szCs w:val="22"/>
        </w:rPr>
        <w:t xml:space="preserve">Wiązanie z białkami </w:t>
      </w:r>
      <w:r w:rsidR="00280FD3" w:rsidRPr="00105A25">
        <w:rPr>
          <w:sz w:val="22"/>
          <w:szCs w:val="22"/>
        </w:rPr>
        <w:t>imidaprylu</w:t>
      </w:r>
      <w:r w:rsidRPr="00105A25">
        <w:rPr>
          <w:sz w:val="22"/>
          <w:szCs w:val="22"/>
        </w:rPr>
        <w:t xml:space="preserve"> i </w:t>
      </w:r>
      <w:r w:rsidR="00280FD3" w:rsidRPr="00105A25">
        <w:rPr>
          <w:sz w:val="22"/>
          <w:szCs w:val="22"/>
        </w:rPr>
        <w:t>imidapryl</w:t>
      </w:r>
      <w:r w:rsidRPr="00105A25">
        <w:rPr>
          <w:sz w:val="22"/>
          <w:szCs w:val="22"/>
        </w:rPr>
        <w:t>atu jest umiarkowane (odpowiednio 85% i 53%).</w:t>
      </w:r>
    </w:p>
    <w:p w14:paraId="6AFF778E" w14:textId="77777777" w:rsidR="001D75B1" w:rsidRPr="00105A25" w:rsidRDefault="001D75B1" w:rsidP="001D75B1">
      <w:pPr>
        <w:rPr>
          <w:sz w:val="22"/>
          <w:szCs w:val="22"/>
        </w:rPr>
      </w:pPr>
    </w:p>
    <w:p w14:paraId="659A62DE" w14:textId="77777777" w:rsidR="00A11EB7" w:rsidRPr="007816FE" w:rsidRDefault="00A11EB7" w:rsidP="00A11EB7">
      <w:pPr>
        <w:rPr>
          <w:b/>
          <w:bCs/>
          <w:sz w:val="22"/>
          <w:szCs w:val="22"/>
        </w:rPr>
      </w:pPr>
      <w:r w:rsidRPr="007816FE">
        <w:rPr>
          <w:b/>
          <w:bCs/>
          <w:sz w:val="22"/>
          <w:szCs w:val="22"/>
        </w:rPr>
        <w:t>2. Metabolizm, wydalanie</w:t>
      </w:r>
    </w:p>
    <w:p w14:paraId="05B2C7FB" w14:textId="3E35D0CC" w:rsidR="002D1B18" w:rsidRDefault="002D1B18" w:rsidP="002D1B18">
      <w:pPr>
        <w:rPr>
          <w:sz w:val="22"/>
          <w:szCs w:val="22"/>
        </w:rPr>
      </w:pPr>
      <w:r w:rsidRPr="00105A25">
        <w:rPr>
          <w:sz w:val="22"/>
          <w:szCs w:val="22"/>
        </w:rPr>
        <w:t>Imidapryl jest głównie hydrolizowany do aktywnego farmakologicznie metabolitu, imidaprylatu.</w:t>
      </w:r>
      <w:r w:rsidR="003869D4">
        <w:rPr>
          <w:sz w:val="22"/>
          <w:szCs w:val="22"/>
        </w:rPr>
        <w:t xml:space="preserve"> </w:t>
      </w:r>
      <w:r w:rsidRPr="00343D92">
        <w:rPr>
          <w:sz w:val="22"/>
          <w:szCs w:val="22"/>
        </w:rPr>
        <w:t>Wykryto i zidentyfikowano cztery metabolity chlorowodorku imidapr</w:t>
      </w:r>
      <w:r w:rsidR="00E34265">
        <w:rPr>
          <w:sz w:val="22"/>
          <w:szCs w:val="22"/>
        </w:rPr>
        <w:t>y</w:t>
      </w:r>
      <w:r w:rsidRPr="00343D92">
        <w:rPr>
          <w:sz w:val="22"/>
          <w:szCs w:val="22"/>
        </w:rPr>
        <w:t>lu oraz niezmieniony lek. Wśród tych metabolitów aktywnym metabolitem chlorowodorku imidapr</w:t>
      </w:r>
      <w:r w:rsidR="00E34265">
        <w:rPr>
          <w:sz w:val="22"/>
          <w:szCs w:val="22"/>
        </w:rPr>
        <w:t>y</w:t>
      </w:r>
      <w:r w:rsidRPr="00343D92">
        <w:rPr>
          <w:sz w:val="22"/>
          <w:szCs w:val="22"/>
        </w:rPr>
        <w:t>lu jest wyłącznie postać kwasu dikarboksylowego (imidapr</w:t>
      </w:r>
      <w:r w:rsidR="00E55F69">
        <w:rPr>
          <w:sz w:val="22"/>
          <w:szCs w:val="22"/>
        </w:rPr>
        <w:t>y</w:t>
      </w:r>
      <w:r w:rsidRPr="00343D92">
        <w:rPr>
          <w:sz w:val="22"/>
          <w:szCs w:val="22"/>
        </w:rPr>
        <w:t>lat).</w:t>
      </w:r>
    </w:p>
    <w:p w14:paraId="344109ED" w14:textId="36AEA600" w:rsidR="00D7495B" w:rsidRPr="00105A25" w:rsidRDefault="00D7495B" w:rsidP="001D75B1">
      <w:pPr>
        <w:rPr>
          <w:sz w:val="22"/>
          <w:szCs w:val="22"/>
        </w:rPr>
      </w:pPr>
      <w:r w:rsidRPr="00105A25">
        <w:rPr>
          <w:sz w:val="22"/>
          <w:szCs w:val="22"/>
        </w:rPr>
        <w:t>Po</w:t>
      </w:r>
      <w:r w:rsidR="002C370E" w:rsidRPr="00105A25">
        <w:rPr>
          <w:sz w:val="22"/>
          <w:szCs w:val="22"/>
        </w:rPr>
        <w:t> </w:t>
      </w:r>
      <w:r w:rsidRPr="00105A25">
        <w:rPr>
          <w:sz w:val="22"/>
          <w:szCs w:val="22"/>
        </w:rPr>
        <w:t>doustnym podaniu znakowanego izotopem promieniotwórczym związku, około 40% całkowitej radioaktywności wydalane jest z moczem i około 50% z kałem.</w:t>
      </w:r>
    </w:p>
    <w:p w14:paraId="3E268D0F" w14:textId="77777777" w:rsidR="001D75B1" w:rsidRPr="00105A25" w:rsidRDefault="001D75B1" w:rsidP="001D75B1">
      <w:pPr>
        <w:rPr>
          <w:sz w:val="22"/>
          <w:szCs w:val="22"/>
        </w:rPr>
      </w:pPr>
    </w:p>
    <w:p w14:paraId="2134E33D" w14:textId="77777777" w:rsidR="001D75B1" w:rsidRPr="00105A25" w:rsidRDefault="001D75B1" w:rsidP="001D75B1">
      <w:pPr>
        <w:rPr>
          <w:sz w:val="22"/>
          <w:szCs w:val="22"/>
        </w:rPr>
      </w:pPr>
    </w:p>
    <w:p w14:paraId="2FF83CE4" w14:textId="77777777" w:rsidR="00DF54E5" w:rsidRPr="00105A25" w:rsidRDefault="00DF54E5" w:rsidP="001D75B1">
      <w:pPr>
        <w:rPr>
          <w:sz w:val="22"/>
          <w:szCs w:val="22"/>
        </w:rPr>
      </w:pPr>
    </w:p>
    <w:p w14:paraId="6144BC82" w14:textId="77777777" w:rsidR="00D7495B" w:rsidRPr="00105A25" w:rsidRDefault="001D75B1" w:rsidP="001D75B1">
      <w:pPr>
        <w:rPr>
          <w:b/>
          <w:sz w:val="22"/>
          <w:szCs w:val="22"/>
        </w:rPr>
      </w:pPr>
      <w:r w:rsidRPr="00105A25">
        <w:rPr>
          <w:b/>
          <w:sz w:val="22"/>
          <w:szCs w:val="22"/>
        </w:rPr>
        <w:t>5.3.</w:t>
      </w:r>
      <w:r w:rsidRPr="00105A25">
        <w:rPr>
          <w:b/>
          <w:sz w:val="22"/>
          <w:szCs w:val="22"/>
        </w:rPr>
        <w:tab/>
      </w:r>
      <w:r w:rsidR="00D7495B" w:rsidRPr="00105A25">
        <w:rPr>
          <w:b/>
          <w:sz w:val="22"/>
          <w:szCs w:val="22"/>
        </w:rPr>
        <w:t>Przedkliniczne dane o bezpieczeństw</w:t>
      </w:r>
      <w:r w:rsidR="00290D67">
        <w:rPr>
          <w:b/>
          <w:sz w:val="22"/>
          <w:szCs w:val="22"/>
        </w:rPr>
        <w:t>ie</w:t>
      </w:r>
    </w:p>
    <w:p w14:paraId="2500C495" w14:textId="77777777" w:rsidR="001D75B1" w:rsidRPr="00105A25" w:rsidRDefault="001D75B1" w:rsidP="001D75B1">
      <w:pPr>
        <w:rPr>
          <w:sz w:val="22"/>
          <w:szCs w:val="22"/>
        </w:rPr>
      </w:pPr>
    </w:p>
    <w:p w14:paraId="29825D8D" w14:textId="77777777" w:rsidR="00D7495B" w:rsidRPr="00105A25" w:rsidRDefault="00D7495B" w:rsidP="001D75B1">
      <w:pPr>
        <w:rPr>
          <w:sz w:val="22"/>
          <w:szCs w:val="22"/>
        </w:rPr>
      </w:pPr>
      <w:r w:rsidRPr="00105A25">
        <w:rPr>
          <w:sz w:val="22"/>
          <w:szCs w:val="22"/>
        </w:rPr>
        <w:t>Zarówno krótkotrwałe badania toksyczności przeprowadzone na zwierzętach (</w:t>
      </w:r>
      <w:r w:rsidR="006D1FF0" w:rsidRPr="00105A25">
        <w:rPr>
          <w:sz w:val="22"/>
          <w:szCs w:val="22"/>
        </w:rPr>
        <w:t xml:space="preserve">w tym </w:t>
      </w:r>
      <w:r w:rsidRPr="00105A25">
        <w:rPr>
          <w:sz w:val="22"/>
          <w:szCs w:val="22"/>
        </w:rPr>
        <w:t>badania mutagenności) ani przedłużone badania toksyczności (</w:t>
      </w:r>
      <w:r w:rsidR="006D1FF0" w:rsidRPr="00105A25">
        <w:rPr>
          <w:sz w:val="22"/>
          <w:szCs w:val="22"/>
        </w:rPr>
        <w:t xml:space="preserve">w tym </w:t>
      </w:r>
      <w:r w:rsidRPr="00105A25">
        <w:rPr>
          <w:sz w:val="22"/>
          <w:szCs w:val="22"/>
        </w:rPr>
        <w:t xml:space="preserve">badania </w:t>
      </w:r>
      <w:r w:rsidR="006D1FF0" w:rsidRPr="00105A25">
        <w:rPr>
          <w:sz w:val="22"/>
          <w:szCs w:val="22"/>
        </w:rPr>
        <w:t>rakotwórczości</w:t>
      </w:r>
      <w:r w:rsidRPr="00105A25">
        <w:rPr>
          <w:sz w:val="22"/>
          <w:szCs w:val="22"/>
        </w:rPr>
        <w:t xml:space="preserve">), nie dostarczyły </w:t>
      </w:r>
      <w:r w:rsidR="006D1FF0" w:rsidRPr="00105A25">
        <w:rPr>
          <w:sz w:val="22"/>
          <w:szCs w:val="22"/>
        </w:rPr>
        <w:t>innych istotnych</w:t>
      </w:r>
      <w:r w:rsidRPr="00105A25">
        <w:rPr>
          <w:sz w:val="22"/>
          <w:szCs w:val="22"/>
        </w:rPr>
        <w:t xml:space="preserve"> informacji niż uzyskan</w:t>
      </w:r>
      <w:r w:rsidR="006D1FF0" w:rsidRPr="00105A25">
        <w:rPr>
          <w:sz w:val="22"/>
          <w:szCs w:val="22"/>
        </w:rPr>
        <w:t>e</w:t>
      </w:r>
      <w:r w:rsidRPr="00105A25">
        <w:rPr>
          <w:sz w:val="22"/>
          <w:szCs w:val="22"/>
        </w:rPr>
        <w:t xml:space="preserve"> w czasie stosowania u ludzi po wprowadzeniu </w:t>
      </w:r>
      <w:r w:rsidR="00280FD3" w:rsidRPr="00105A25">
        <w:rPr>
          <w:sz w:val="22"/>
          <w:szCs w:val="22"/>
        </w:rPr>
        <w:t>imidaprylu</w:t>
      </w:r>
      <w:r w:rsidRPr="00105A25">
        <w:rPr>
          <w:sz w:val="22"/>
          <w:szCs w:val="22"/>
        </w:rPr>
        <w:t xml:space="preserve"> </w:t>
      </w:r>
      <w:r w:rsidR="006D1FF0" w:rsidRPr="00105A25">
        <w:rPr>
          <w:sz w:val="22"/>
          <w:szCs w:val="22"/>
        </w:rPr>
        <w:t>do obrotu</w:t>
      </w:r>
      <w:r w:rsidRPr="00105A25">
        <w:rPr>
          <w:sz w:val="22"/>
          <w:szCs w:val="22"/>
        </w:rPr>
        <w:t xml:space="preserve"> (badania IV fazy).</w:t>
      </w:r>
    </w:p>
    <w:p w14:paraId="094BA066" w14:textId="77777777" w:rsidR="001D75B1" w:rsidRPr="00105A25" w:rsidRDefault="001D75B1" w:rsidP="001D75B1">
      <w:pPr>
        <w:rPr>
          <w:sz w:val="22"/>
          <w:szCs w:val="22"/>
        </w:rPr>
      </w:pPr>
    </w:p>
    <w:p w14:paraId="3555290B" w14:textId="77777777" w:rsidR="00D7495B" w:rsidRPr="00105A25" w:rsidRDefault="00D7495B" w:rsidP="001D75B1">
      <w:pPr>
        <w:rPr>
          <w:sz w:val="22"/>
          <w:szCs w:val="22"/>
        </w:rPr>
      </w:pPr>
      <w:r w:rsidRPr="00105A25">
        <w:rPr>
          <w:sz w:val="22"/>
          <w:szCs w:val="22"/>
        </w:rPr>
        <w:t xml:space="preserve">W badaniach dotyczących reprodukcji u zwierząt </w:t>
      </w:r>
      <w:r w:rsidR="00280FD3" w:rsidRPr="00105A25">
        <w:rPr>
          <w:sz w:val="22"/>
          <w:szCs w:val="22"/>
        </w:rPr>
        <w:t>imidapryl</w:t>
      </w:r>
      <w:r w:rsidRPr="00105A25">
        <w:rPr>
          <w:sz w:val="22"/>
          <w:szCs w:val="22"/>
        </w:rPr>
        <w:t xml:space="preserve"> nie wykazywał wyraźnej toksyczności </w:t>
      </w:r>
      <w:r w:rsidR="006D1FF0" w:rsidRPr="00105A25">
        <w:rPr>
          <w:sz w:val="22"/>
          <w:szCs w:val="22"/>
        </w:rPr>
        <w:t>dla</w:t>
      </w:r>
      <w:r w:rsidRPr="00105A25">
        <w:rPr>
          <w:sz w:val="22"/>
          <w:szCs w:val="22"/>
        </w:rPr>
        <w:t xml:space="preserve"> płodu, chociaż zahamowanie wzrostu przedurodzeniowego i wolniejszy przyrost masy ciała obserwowano u potomstwa szczurów po dawkach </w:t>
      </w:r>
      <w:r w:rsidRPr="00105A25">
        <w:rPr>
          <w:sz w:val="22"/>
          <w:szCs w:val="22"/>
          <w:lang w:val="de-DE"/>
        </w:rPr>
        <w:t>1500</w:t>
      </w:r>
      <w:r w:rsidR="00143114" w:rsidRPr="00105A25">
        <w:rPr>
          <w:sz w:val="22"/>
          <w:szCs w:val="22"/>
          <w:lang w:val="de-DE"/>
        </w:rPr>
        <w:t> mg</w:t>
      </w:r>
      <w:r w:rsidRPr="00105A25">
        <w:rPr>
          <w:sz w:val="22"/>
          <w:szCs w:val="22"/>
          <w:lang w:val="de-DE"/>
        </w:rPr>
        <w:t xml:space="preserve">/kg mc. </w:t>
      </w:r>
      <w:r w:rsidRPr="00105A25">
        <w:rPr>
          <w:sz w:val="22"/>
          <w:szCs w:val="22"/>
        </w:rPr>
        <w:t xml:space="preserve">Nie zaobserwowano wpływu </w:t>
      </w:r>
      <w:r w:rsidR="00280FD3" w:rsidRPr="00105A25">
        <w:rPr>
          <w:sz w:val="22"/>
          <w:szCs w:val="22"/>
        </w:rPr>
        <w:t>imidaprylu</w:t>
      </w:r>
      <w:r w:rsidRPr="00105A25">
        <w:rPr>
          <w:sz w:val="22"/>
          <w:szCs w:val="22"/>
        </w:rPr>
        <w:t xml:space="preserve"> na płodność u szczurów.</w:t>
      </w:r>
      <w:r w:rsidR="002C370E" w:rsidRPr="00105A25">
        <w:rPr>
          <w:sz w:val="22"/>
          <w:szCs w:val="22"/>
        </w:rPr>
        <w:t xml:space="preserve"> </w:t>
      </w:r>
      <w:r w:rsidRPr="00105A25">
        <w:rPr>
          <w:sz w:val="22"/>
          <w:szCs w:val="22"/>
        </w:rPr>
        <w:t>Badania teratogenności u szczurów i królików nie wykazały potencjału teratogennego.</w:t>
      </w:r>
    </w:p>
    <w:p w14:paraId="1F14697C" w14:textId="77777777" w:rsidR="00210FFB" w:rsidRDefault="00210FFB" w:rsidP="001D75B1">
      <w:pPr>
        <w:rPr>
          <w:b/>
          <w:sz w:val="22"/>
          <w:szCs w:val="22"/>
        </w:rPr>
      </w:pPr>
    </w:p>
    <w:p w14:paraId="6D1F6F65" w14:textId="77777777" w:rsidR="00210FFB" w:rsidRPr="00105A25" w:rsidRDefault="00210FFB" w:rsidP="001D75B1">
      <w:pPr>
        <w:rPr>
          <w:b/>
          <w:sz w:val="22"/>
          <w:szCs w:val="22"/>
        </w:rPr>
      </w:pPr>
    </w:p>
    <w:p w14:paraId="6A015C1E" w14:textId="77777777" w:rsidR="00D7495B" w:rsidRPr="00105A25" w:rsidRDefault="001D75B1" w:rsidP="001D75B1">
      <w:pPr>
        <w:rPr>
          <w:b/>
          <w:sz w:val="22"/>
          <w:szCs w:val="22"/>
        </w:rPr>
      </w:pPr>
      <w:r w:rsidRPr="00105A25">
        <w:rPr>
          <w:b/>
          <w:sz w:val="22"/>
          <w:szCs w:val="22"/>
        </w:rPr>
        <w:t>6.</w:t>
      </w:r>
      <w:r w:rsidRPr="00105A25">
        <w:rPr>
          <w:b/>
          <w:sz w:val="22"/>
          <w:szCs w:val="22"/>
        </w:rPr>
        <w:tab/>
      </w:r>
      <w:r w:rsidR="00D7495B" w:rsidRPr="00105A25">
        <w:rPr>
          <w:b/>
          <w:sz w:val="22"/>
          <w:szCs w:val="22"/>
        </w:rPr>
        <w:t>DANE FARMACEUTYCZNE</w:t>
      </w:r>
    </w:p>
    <w:p w14:paraId="5137D06D" w14:textId="77777777" w:rsidR="001D75B1" w:rsidRPr="00105A25" w:rsidRDefault="001D75B1" w:rsidP="001D75B1">
      <w:pPr>
        <w:outlineLvl w:val="0"/>
        <w:rPr>
          <w:b/>
          <w:sz w:val="22"/>
          <w:szCs w:val="22"/>
        </w:rPr>
      </w:pPr>
    </w:p>
    <w:p w14:paraId="6543C428" w14:textId="77777777" w:rsidR="00D7495B" w:rsidRPr="00105A25" w:rsidRDefault="001D75B1" w:rsidP="001D75B1">
      <w:pPr>
        <w:outlineLvl w:val="0"/>
        <w:rPr>
          <w:sz w:val="22"/>
          <w:szCs w:val="22"/>
        </w:rPr>
      </w:pPr>
      <w:r w:rsidRPr="00105A25">
        <w:rPr>
          <w:b/>
          <w:sz w:val="22"/>
          <w:szCs w:val="22"/>
        </w:rPr>
        <w:t>6.1.</w:t>
      </w:r>
      <w:r w:rsidRPr="00105A25">
        <w:rPr>
          <w:b/>
          <w:sz w:val="22"/>
          <w:szCs w:val="22"/>
        </w:rPr>
        <w:tab/>
      </w:r>
      <w:r w:rsidR="00D7495B" w:rsidRPr="00105A25">
        <w:rPr>
          <w:b/>
          <w:sz w:val="22"/>
          <w:szCs w:val="22"/>
        </w:rPr>
        <w:t>Wykaz substancji pomocniczych</w:t>
      </w:r>
    </w:p>
    <w:p w14:paraId="73C91535" w14:textId="77777777" w:rsidR="001D75B1" w:rsidRPr="00105A25" w:rsidRDefault="001D75B1" w:rsidP="001D75B1">
      <w:pPr>
        <w:outlineLvl w:val="0"/>
        <w:rPr>
          <w:sz w:val="22"/>
          <w:szCs w:val="22"/>
        </w:rPr>
      </w:pPr>
    </w:p>
    <w:p w14:paraId="043F9AED" w14:textId="77777777" w:rsidR="005105BC" w:rsidRPr="00105A25" w:rsidRDefault="005105BC" w:rsidP="001D75B1">
      <w:pPr>
        <w:outlineLvl w:val="0"/>
        <w:rPr>
          <w:sz w:val="22"/>
          <w:szCs w:val="22"/>
        </w:rPr>
      </w:pPr>
      <w:r w:rsidRPr="00105A25">
        <w:rPr>
          <w:sz w:val="22"/>
          <w:szCs w:val="22"/>
        </w:rPr>
        <w:t xml:space="preserve">Wapnia </w:t>
      </w:r>
      <w:r w:rsidR="00D7495B" w:rsidRPr="00105A25">
        <w:rPr>
          <w:sz w:val="22"/>
          <w:szCs w:val="22"/>
        </w:rPr>
        <w:t>wodorofosforan bezwodny</w:t>
      </w:r>
    </w:p>
    <w:p w14:paraId="17273591" w14:textId="77777777" w:rsidR="005105BC" w:rsidRPr="00105A25" w:rsidRDefault="005105BC" w:rsidP="001D75B1">
      <w:pPr>
        <w:outlineLvl w:val="0"/>
        <w:rPr>
          <w:sz w:val="22"/>
          <w:szCs w:val="22"/>
        </w:rPr>
      </w:pPr>
      <w:r w:rsidRPr="00105A25">
        <w:rPr>
          <w:sz w:val="22"/>
          <w:szCs w:val="22"/>
        </w:rPr>
        <w:t xml:space="preserve">Skrobia </w:t>
      </w:r>
      <w:r w:rsidR="00D7495B" w:rsidRPr="00105A25">
        <w:rPr>
          <w:sz w:val="22"/>
          <w:szCs w:val="22"/>
        </w:rPr>
        <w:t xml:space="preserve">kukurydziana </w:t>
      </w:r>
      <w:r w:rsidRPr="00105A25">
        <w:rPr>
          <w:sz w:val="22"/>
          <w:szCs w:val="22"/>
        </w:rPr>
        <w:t>żel</w:t>
      </w:r>
      <w:r w:rsidR="00A93742" w:rsidRPr="00105A25">
        <w:rPr>
          <w:sz w:val="22"/>
          <w:szCs w:val="22"/>
        </w:rPr>
        <w:t xml:space="preserve">owana </w:t>
      </w:r>
    </w:p>
    <w:p w14:paraId="563EA962" w14:textId="77777777" w:rsidR="005105BC" w:rsidRPr="00105A25" w:rsidRDefault="005105BC" w:rsidP="001D75B1">
      <w:pPr>
        <w:outlineLvl w:val="0"/>
        <w:rPr>
          <w:sz w:val="22"/>
          <w:szCs w:val="22"/>
        </w:rPr>
      </w:pPr>
      <w:r w:rsidRPr="00105A25">
        <w:rPr>
          <w:sz w:val="22"/>
          <w:szCs w:val="22"/>
        </w:rPr>
        <w:t xml:space="preserve">Laktoza </w:t>
      </w:r>
      <w:r w:rsidR="00A93742" w:rsidRPr="00105A25">
        <w:rPr>
          <w:sz w:val="22"/>
          <w:szCs w:val="22"/>
        </w:rPr>
        <w:t>jednowodna</w:t>
      </w:r>
    </w:p>
    <w:p w14:paraId="3CF4E6CC" w14:textId="77777777" w:rsidR="005105BC" w:rsidRPr="00105A25" w:rsidRDefault="005105BC" w:rsidP="001D75B1">
      <w:pPr>
        <w:outlineLvl w:val="0"/>
        <w:rPr>
          <w:sz w:val="22"/>
          <w:szCs w:val="22"/>
        </w:rPr>
      </w:pPr>
      <w:r w:rsidRPr="00105A25">
        <w:rPr>
          <w:sz w:val="22"/>
          <w:szCs w:val="22"/>
        </w:rPr>
        <w:t xml:space="preserve">Kroskarmeloza </w:t>
      </w:r>
      <w:r w:rsidR="00A93742" w:rsidRPr="00105A25">
        <w:rPr>
          <w:sz w:val="22"/>
          <w:szCs w:val="22"/>
        </w:rPr>
        <w:t>sodowa</w:t>
      </w:r>
    </w:p>
    <w:p w14:paraId="1A4703EB" w14:textId="77777777" w:rsidR="00D7495B" w:rsidRPr="00105A25" w:rsidRDefault="005105BC" w:rsidP="001D75B1">
      <w:pPr>
        <w:outlineLvl w:val="0"/>
        <w:rPr>
          <w:sz w:val="22"/>
          <w:szCs w:val="22"/>
        </w:rPr>
      </w:pPr>
      <w:r w:rsidRPr="00105A25">
        <w:rPr>
          <w:sz w:val="22"/>
          <w:szCs w:val="22"/>
        </w:rPr>
        <w:t>G</w:t>
      </w:r>
      <w:r w:rsidR="00A93742" w:rsidRPr="00105A25">
        <w:rPr>
          <w:sz w:val="22"/>
          <w:szCs w:val="22"/>
        </w:rPr>
        <w:t>licerolu</w:t>
      </w:r>
      <w:r w:rsidR="00D7495B" w:rsidRPr="00105A25">
        <w:rPr>
          <w:sz w:val="22"/>
          <w:szCs w:val="22"/>
        </w:rPr>
        <w:t xml:space="preserve"> </w:t>
      </w:r>
      <w:r w:rsidR="00786ECF" w:rsidRPr="00786ECF">
        <w:rPr>
          <w:sz w:val="22"/>
          <w:szCs w:val="22"/>
        </w:rPr>
        <w:t>distearynian (typ I)</w:t>
      </w:r>
    </w:p>
    <w:p w14:paraId="316DFFC0" w14:textId="77777777" w:rsidR="00D0628D" w:rsidRPr="00105A25" w:rsidRDefault="00D0628D" w:rsidP="001D75B1">
      <w:pPr>
        <w:outlineLvl w:val="0"/>
        <w:rPr>
          <w:sz w:val="22"/>
          <w:szCs w:val="22"/>
        </w:rPr>
      </w:pPr>
    </w:p>
    <w:p w14:paraId="63F93720" w14:textId="77777777" w:rsidR="00D7495B" w:rsidRPr="00105A25" w:rsidRDefault="001D75B1" w:rsidP="001D75B1">
      <w:pPr>
        <w:outlineLvl w:val="0"/>
        <w:rPr>
          <w:b/>
          <w:sz w:val="22"/>
          <w:szCs w:val="22"/>
        </w:rPr>
      </w:pPr>
      <w:r w:rsidRPr="00105A25">
        <w:rPr>
          <w:b/>
          <w:sz w:val="22"/>
          <w:szCs w:val="22"/>
        </w:rPr>
        <w:t>6.2.</w:t>
      </w:r>
      <w:r w:rsidRPr="00105A25">
        <w:rPr>
          <w:b/>
          <w:sz w:val="22"/>
          <w:szCs w:val="22"/>
        </w:rPr>
        <w:tab/>
      </w:r>
      <w:r w:rsidR="00D7495B" w:rsidRPr="00105A25">
        <w:rPr>
          <w:b/>
          <w:sz w:val="22"/>
          <w:szCs w:val="22"/>
        </w:rPr>
        <w:t>Niezgodności farmaceutyczne</w:t>
      </w:r>
    </w:p>
    <w:p w14:paraId="6AC4A050" w14:textId="77777777" w:rsidR="001D75B1" w:rsidRPr="00105A25" w:rsidRDefault="001D75B1" w:rsidP="001D75B1">
      <w:pPr>
        <w:rPr>
          <w:sz w:val="22"/>
          <w:szCs w:val="22"/>
        </w:rPr>
      </w:pPr>
    </w:p>
    <w:p w14:paraId="1447072A" w14:textId="77777777" w:rsidR="00D7495B" w:rsidRPr="00105A25" w:rsidRDefault="00D7495B" w:rsidP="001D75B1">
      <w:pPr>
        <w:rPr>
          <w:sz w:val="22"/>
          <w:szCs w:val="22"/>
        </w:rPr>
      </w:pPr>
      <w:r w:rsidRPr="00105A25">
        <w:rPr>
          <w:sz w:val="22"/>
          <w:szCs w:val="22"/>
        </w:rPr>
        <w:t>Nie są znane.</w:t>
      </w:r>
    </w:p>
    <w:p w14:paraId="03EA9188" w14:textId="77777777" w:rsidR="00D11D86" w:rsidRPr="00105A25" w:rsidRDefault="00D11D86" w:rsidP="001D75B1">
      <w:pPr>
        <w:rPr>
          <w:b/>
          <w:sz w:val="22"/>
          <w:szCs w:val="22"/>
        </w:rPr>
      </w:pPr>
    </w:p>
    <w:p w14:paraId="58DDB585" w14:textId="77777777" w:rsidR="00D7495B" w:rsidRPr="00105A25" w:rsidRDefault="001D75B1" w:rsidP="001D75B1">
      <w:pPr>
        <w:outlineLvl w:val="0"/>
        <w:rPr>
          <w:b/>
          <w:sz w:val="22"/>
          <w:szCs w:val="22"/>
        </w:rPr>
      </w:pPr>
      <w:r w:rsidRPr="00105A25">
        <w:rPr>
          <w:b/>
          <w:sz w:val="22"/>
          <w:szCs w:val="22"/>
        </w:rPr>
        <w:t>6.3.</w:t>
      </w:r>
      <w:r w:rsidRPr="00105A25">
        <w:rPr>
          <w:b/>
          <w:sz w:val="22"/>
          <w:szCs w:val="22"/>
        </w:rPr>
        <w:tab/>
      </w:r>
      <w:r w:rsidR="00D7495B" w:rsidRPr="00105A25">
        <w:rPr>
          <w:b/>
          <w:sz w:val="22"/>
          <w:szCs w:val="22"/>
        </w:rPr>
        <w:t xml:space="preserve">Okres </w:t>
      </w:r>
      <w:r w:rsidR="00CC2B88" w:rsidRPr="00105A25">
        <w:rPr>
          <w:b/>
          <w:sz w:val="22"/>
          <w:szCs w:val="22"/>
        </w:rPr>
        <w:t>ważności</w:t>
      </w:r>
    </w:p>
    <w:p w14:paraId="4C89821D" w14:textId="77777777" w:rsidR="001D75B1" w:rsidRPr="00105A25" w:rsidRDefault="001D75B1" w:rsidP="001D75B1">
      <w:pPr>
        <w:rPr>
          <w:sz w:val="22"/>
          <w:szCs w:val="22"/>
        </w:rPr>
      </w:pPr>
    </w:p>
    <w:p w14:paraId="5251615C" w14:textId="77777777" w:rsidR="00D7495B" w:rsidRPr="00105A25" w:rsidRDefault="00D7495B" w:rsidP="001D75B1">
      <w:pPr>
        <w:rPr>
          <w:sz w:val="22"/>
          <w:szCs w:val="22"/>
        </w:rPr>
      </w:pPr>
      <w:r w:rsidRPr="00105A25">
        <w:rPr>
          <w:sz w:val="22"/>
          <w:szCs w:val="22"/>
        </w:rPr>
        <w:t>3 lata</w:t>
      </w:r>
      <w:r w:rsidR="002C370E" w:rsidRPr="00105A25">
        <w:rPr>
          <w:sz w:val="22"/>
          <w:szCs w:val="22"/>
        </w:rPr>
        <w:t>.</w:t>
      </w:r>
    </w:p>
    <w:p w14:paraId="1710E390" w14:textId="77777777" w:rsidR="00D11D86" w:rsidRPr="00105A25" w:rsidRDefault="00D11D86" w:rsidP="001D75B1">
      <w:pPr>
        <w:rPr>
          <w:b/>
          <w:sz w:val="22"/>
          <w:szCs w:val="22"/>
        </w:rPr>
      </w:pPr>
    </w:p>
    <w:p w14:paraId="7DF6B651" w14:textId="77777777" w:rsidR="00D7495B" w:rsidRPr="00105A25" w:rsidRDefault="001D75B1" w:rsidP="001D75B1">
      <w:pPr>
        <w:outlineLvl w:val="0"/>
        <w:rPr>
          <w:b/>
          <w:sz w:val="22"/>
          <w:szCs w:val="22"/>
        </w:rPr>
      </w:pPr>
      <w:r w:rsidRPr="00105A25">
        <w:rPr>
          <w:b/>
          <w:sz w:val="22"/>
          <w:szCs w:val="22"/>
        </w:rPr>
        <w:t>6.4.</w:t>
      </w:r>
      <w:r w:rsidRPr="00105A25">
        <w:rPr>
          <w:b/>
          <w:sz w:val="22"/>
          <w:szCs w:val="22"/>
        </w:rPr>
        <w:tab/>
      </w:r>
      <w:r w:rsidR="00D7495B" w:rsidRPr="00105A25">
        <w:rPr>
          <w:b/>
          <w:sz w:val="22"/>
          <w:szCs w:val="22"/>
        </w:rPr>
        <w:t xml:space="preserve">Specjalne środki ostrożności </w:t>
      </w:r>
      <w:r w:rsidR="00CC2B88" w:rsidRPr="00105A25">
        <w:rPr>
          <w:b/>
          <w:sz w:val="22"/>
          <w:szCs w:val="22"/>
        </w:rPr>
        <w:t>podczas</w:t>
      </w:r>
      <w:r w:rsidR="00D7495B" w:rsidRPr="00105A25">
        <w:rPr>
          <w:b/>
          <w:sz w:val="22"/>
          <w:szCs w:val="22"/>
        </w:rPr>
        <w:t xml:space="preserve"> przechowywani</w:t>
      </w:r>
      <w:r w:rsidR="00CC2B88" w:rsidRPr="00105A25">
        <w:rPr>
          <w:b/>
          <w:sz w:val="22"/>
          <w:szCs w:val="22"/>
        </w:rPr>
        <w:t>a</w:t>
      </w:r>
    </w:p>
    <w:p w14:paraId="7CBD4BAA" w14:textId="77777777" w:rsidR="001D75B1" w:rsidRPr="00105A25" w:rsidRDefault="001D75B1" w:rsidP="001D75B1">
      <w:pPr>
        <w:rPr>
          <w:sz w:val="22"/>
          <w:szCs w:val="22"/>
        </w:rPr>
      </w:pPr>
    </w:p>
    <w:p w14:paraId="050CBDE9" w14:textId="77777777" w:rsidR="00D7495B" w:rsidRPr="00105A25" w:rsidRDefault="00A93742" w:rsidP="001D75B1">
      <w:pPr>
        <w:rPr>
          <w:sz w:val="22"/>
          <w:szCs w:val="22"/>
        </w:rPr>
      </w:pPr>
      <w:r w:rsidRPr="00105A25">
        <w:rPr>
          <w:sz w:val="22"/>
          <w:szCs w:val="22"/>
        </w:rPr>
        <w:t>Przechowywać w temperaturze do 30ºC, chronić od wilgoci.</w:t>
      </w:r>
    </w:p>
    <w:p w14:paraId="54DE3E94" w14:textId="77777777" w:rsidR="00D7495B" w:rsidRPr="00105A25" w:rsidRDefault="00D7495B" w:rsidP="001D75B1">
      <w:pPr>
        <w:rPr>
          <w:sz w:val="22"/>
          <w:szCs w:val="22"/>
        </w:rPr>
      </w:pPr>
      <w:r w:rsidRPr="00105A25">
        <w:rPr>
          <w:sz w:val="22"/>
          <w:szCs w:val="22"/>
        </w:rPr>
        <w:t xml:space="preserve">Lek należy przechowywać w miejscu niewidocznym </w:t>
      </w:r>
      <w:r w:rsidR="00290D67">
        <w:rPr>
          <w:sz w:val="22"/>
          <w:szCs w:val="22"/>
        </w:rPr>
        <w:t xml:space="preserve">i niedostępnym </w:t>
      </w:r>
      <w:r w:rsidRPr="00105A25">
        <w:rPr>
          <w:sz w:val="22"/>
          <w:szCs w:val="22"/>
        </w:rPr>
        <w:t>dla dzieci.</w:t>
      </w:r>
    </w:p>
    <w:p w14:paraId="6D1390AD" w14:textId="77777777" w:rsidR="00D11D86" w:rsidRPr="00105A25" w:rsidRDefault="00D11D86" w:rsidP="001D75B1">
      <w:pPr>
        <w:rPr>
          <w:b/>
          <w:sz w:val="22"/>
          <w:szCs w:val="22"/>
        </w:rPr>
      </w:pPr>
    </w:p>
    <w:p w14:paraId="22A21FAE" w14:textId="77777777" w:rsidR="00D55258" w:rsidRDefault="00D55258" w:rsidP="001D75B1">
      <w:pPr>
        <w:outlineLvl w:val="0"/>
        <w:rPr>
          <w:b/>
          <w:sz w:val="22"/>
          <w:szCs w:val="22"/>
        </w:rPr>
      </w:pPr>
    </w:p>
    <w:p w14:paraId="40A6202A" w14:textId="77777777" w:rsidR="001D75B1" w:rsidRPr="00105A25" w:rsidRDefault="00D7495B" w:rsidP="00D55258">
      <w:pPr>
        <w:outlineLvl w:val="0"/>
        <w:rPr>
          <w:sz w:val="22"/>
          <w:szCs w:val="22"/>
        </w:rPr>
      </w:pPr>
      <w:r w:rsidRPr="00105A25">
        <w:rPr>
          <w:b/>
          <w:sz w:val="22"/>
          <w:szCs w:val="22"/>
        </w:rPr>
        <w:t>6</w:t>
      </w:r>
      <w:r w:rsidR="001D75B1" w:rsidRPr="00105A25">
        <w:rPr>
          <w:b/>
          <w:sz w:val="22"/>
          <w:szCs w:val="22"/>
        </w:rPr>
        <w:t>.5.</w:t>
      </w:r>
      <w:r w:rsidR="001D75B1" w:rsidRPr="00105A25">
        <w:rPr>
          <w:b/>
          <w:sz w:val="22"/>
          <w:szCs w:val="22"/>
        </w:rPr>
        <w:tab/>
      </w:r>
      <w:r w:rsidRPr="00105A25">
        <w:rPr>
          <w:b/>
          <w:sz w:val="22"/>
          <w:szCs w:val="22"/>
        </w:rPr>
        <w:t xml:space="preserve">Rodzaj i zawartość </w:t>
      </w:r>
      <w:r w:rsidR="00CC2B88" w:rsidRPr="00105A25">
        <w:rPr>
          <w:b/>
          <w:sz w:val="22"/>
          <w:szCs w:val="22"/>
        </w:rPr>
        <w:t>opakowania</w:t>
      </w:r>
    </w:p>
    <w:p w14:paraId="402CCFD0" w14:textId="77777777" w:rsidR="009E7CAE" w:rsidRPr="00105A25" w:rsidRDefault="00777646" w:rsidP="001D75B1">
      <w:pPr>
        <w:rPr>
          <w:sz w:val="22"/>
          <w:szCs w:val="22"/>
        </w:rPr>
      </w:pPr>
      <w:r w:rsidRPr="00105A25">
        <w:rPr>
          <w:sz w:val="22"/>
          <w:szCs w:val="22"/>
        </w:rPr>
        <w:t>B</w:t>
      </w:r>
      <w:r w:rsidR="00EE1DB0" w:rsidRPr="00105A25">
        <w:rPr>
          <w:sz w:val="22"/>
          <w:szCs w:val="22"/>
        </w:rPr>
        <w:t xml:space="preserve">listry </w:t>
      </w:r>
      <w:r w:rsidR="009E7CAE" w:rsidRPr="00105A25">
        <w:rPr>
          <w:sz w:val="22"/>
          <w:szCs w:val="22"/>
        </w:rPr>
        <w:t xml:space="preserve">z folii </w:t>
      </w:r>
      <w:r w:rsidR="003E2583" w:rsidRPr="00105A25">
        <w:rPr>
          <w:sz w:val="22"/>
          <w:szCs w:val="22"/>
        </w:rPr>
        <w:t>Aluminium</w:t>
      </w:r>
      <w:r w:rsidR="009E7CAE" w:rsidRPr="00105A25">
        <w:rPr>
          <w:sz w:val="22"/>
          <w:szCs w:val="22"/>
        </w:rPr>
        <w:t>/</w:t>
      </w:r>
      <w:r w:rsidR="00A93742" w:rsidRPr="00105A25">
        <w:rPr>
          <w:sz w:val="22"/>
          <w:szCs w:val="22"/>
        </w:rPr>
        <w:t>Al</w:t>
      </w:r>
      <w:r w:rsidR="003E2583" w:rsidRPr="00105A25">
        <w:rPr>
          <w:sz w:val="22"/>
          <w:szCs w:val="22"/>
        </w:rPr>
        <w:t>uminium</w:t>
      </w:r>
      <w:r w:rsidR="00A93742" w:rsidRPr="00105A25">
        <w:rPr>
          <w:sz w:val="22"/>
          <w:szCs w:val="22"/>
        </w:rPr>
        <w:t xml:space="preserve"> w tekturowym pudełku</w:t>
      </w:r>
      <w:r w:rsidR="00DF54E5" w:rsidRPr="00105A25">
        <w:rPr>
          <w:sz w:val="22"/>
          <w:szCs w:val="22"/>
        </w:rPr>
        <w:t xml:space="preserve"> </w:t>
      </w:r>
    </w:p>
    <w:p w14:paraId="122D2F43" w14:textId="77777777" w:rsidR="00D11D86" w:rsidRPr="00105A25" w:rsidRDefault="00DF54E5" w:rsidP="001D75B1">
      <w:pPr>
        <w:rPr>
          <w:sz w:val="22"/>
          <w:szCs w:val="22"/>
        </w:rPr>
      </w:pPr>
      <w:r w:rsidRPr="00105A25">
        <w:rPr>
          <w:sz w:val="22"/>
          <w:szCs w:val="22"/>
        </w:rPr>
        <w:t>2 blistry po 14 tabletek</w:t>
      </w:r>
      <w:r w:rsidR="00D7495B" w:rsidRPr="00105A25">
        <w:rPr>
          <w:sz w:val="22"/>
          <w:szCs w:val="22"/>
        </w:rPr>
        <w:t xml:space="preserve"> </w:t>
      </w:r>
    </w:p>
    <w:p w14:paraId="6A7AE8DE" w14:textId="77777777" w:rsidR="00DF54E5" w:rsidRPr="00105A25" w:rsidRDefault="00DF54E5" w:rsidP="001D75B1">
      <w:pPr>
        <w:rPr>
          <w:sz w:val="22"/>
          <w:szCs w:val="22"/>
        </w:rPr>
      </w:pPr>
    </w:p>
    <w:p w14:paraId="08446A16" w14:textId="77777777" w:rsidR="00D7495B" w:rsidRPr="00105A25" w:rsidRDefault="001D75B1" w:rsidP="001D75B1">
      <w:pPr>
        <w:rPr>
          <w:b/>
          <w:bCs/>
          <w:sz w:val="22"/>
          <w:szCs w:val="22"/>
        </w:rPr>
      </w:pPr>
      <w:r w:rsidRPr="00105A25">
        <w:rPr>
          <w:b/>
          <w:bCs/>
          <w:sz w:val="22"/>
          <w:szCs w:val="22"/>
        </w:rPr>
        <w:t>6.6.</w:t>
      </w:r>
      <w:r w:rsidRPr="00105A25">
        <w:rPr>
          <w:b/>
          <w:bCs/>
          <w:sz w:val="22"/>
          <w:szCs w:val="22"/>
        </w:rPr>
        <w:tab/>
      </w:r>
      <w:r w:rsidR="00CC2B88" w:rsidRPr="00105A25">
        <w:rPr>
          <w:b/>
          <w:bCs/>
          <w:sz w:val="22"/>
          <w:szCs w:val="22"/>
        </w:rPr>
        <w:t xml:space="preserve">Specjalne </w:t>
      </w:r>
      <w:r w:rsidR="00A93742" w:rsidRPr="00105A25">
        <w:rPr>
          <w:b/>
          <w:bCs/>
          <w:sz w:val="22"/>
          <w:szCs w:val="22"/>
        </w:rPr>
        <w:t>środki ostrożności dotyczące usuwania</w:t>
      </w:r>
    </w:p>
    <w:p w14:paraId="43A694E0" w14:textId="77777777" w:rsidR="001D75B1" w:rsidRPr="00105A25" w:rsidRDefault="001D75B1" w:rsidP="001D75B1">
      <w:pPr>
        <w:rPr>
          <w:sz w:val="22"/>
          <w:szCs w:val="22"/>
        </w:rPr>
      </w:pPr>
    </w:p>
    <w:p w14:paraId="68AA28C5" w14:textId="77777777" w:rsidR="00D7495B" w:rsidRPr="00105A25" w:rsidRDefault="00CC2B88" w:rsidP="001D75B1">
      <w:pPr>
        <w:rPr>
          <w:sz w:val="22"/>
          <w:szCs w:val="22"/>
        </w:rPr>
      </w:pPr>
      <w:r w:rsidRPr="00105A25">
        <w:rPr>
          <w:noProof/>
          <w:sz w:val="22"/>
          <w:szCs w:val="22"/>
        </w:rPr>
        <w:t xml:space="preserve">Bez specjalnych </w:t>
      </w:r>
      <w:r w:rsidR="00D7495B" w:rsidRPr="00105A25">
        <w:rPr>
          <w:sz w:val="22"/>
          <w:szCs w:val="22"/>
        </w:rPr>
        <w:t>wymagań.</w:t>
      </w:r>
    </w:p>
    <w:p w14:paraId="62EAEDC6" w14:textId="77777777" w:rsidR="00D11D86" w:rsidRPr="00105A25" w:rsidRDefault="00D11D86" w:rsidP="001D75B1">
      <w:pPr>
        <w:rPr>
          <w:sz w:val="22"/>
          <w:szCs w:val="22"/>
        </w:rPr>
      </w:pPr>
    </w:p>
    <w:p w14:paraId="69B0A775" w14:textId="77777777" w:rsidR="00CC2B88" w:rsidRPr="00105A25" w:rsidRDefault="00CC2B88" w:rsidP="001D75B1">
      <w:pPr>
        <w:rPr>
          <w:sz w:val="22"/>
          <w:szCs w:val="22"/>
        </w:rPr>
      </w:pPr>
    </w:p>
    <w:p w14:paraId="39152E3D" w14:textId="77777777" w:rsidR="00D7495B" w:rsidRPr="00105A25" w:rsidRDefault="001D75B1" w:rsidP="001D75B1">
      <w:pPr>
        <w:ind w:left="567" w:hanging="567"/>
        <w:outlineLvl w:val="0"/>
        <w:rPr>
          <w:b/>
          <w:sz w:val="22"/>
          <w:szCs w:val="22"/>
        </w:rPr>
      </w:pPr>
      <w:r w:rsidRPr="00105A25">
        <w:rPr>
          <w:b/>
          <w:sz w:val="22"/>
          <w:szCs w:val="22"/>
        </w:rPr>
        <w:t>7.</w:t>
      </w:r>
      <w:r w:rsidRPr="00105A25">
        <w:rPr>
          <w:b/>
          <w:sz w:val="22"/>
          <w:szCs w:val="22"/>
        </w:rPr>
        <w:tab/>
      </w:r>
      <w:r w:rsidR="00D7495B" w:rsidRPr="00105A25">
        <w:rPr>
          <w:b/>
          <w:sz w:val="22"/>
          <w:szCs w:val="22"/>
        </w:rPr>
        <w:t>PODMIOT ODPOWIEDZIALNY POSIADAJĄCY POZWOLENIE NA</w:t>
      </w:r>
      <w:r w:rsidR="002C370E" w:rsidRPr="00105A25">
        <w:rPr>
          <w:b/>
          <w:sz w:val="22"/>
          <w:szCs w:val="22"/>
        </w:rPr>
        <w:t xml:space="preserve"> </w:t>
      </w:r>
      <w:r w:rsidR="00D7495B" w:rsidRPr="00105A25">
        <w:rPr>
          <w:b/>
          <w:sz w:val="22"/>
          <w:szCs w:val="22"/>
        </w:rPr>
        <w:t>DOPUSZCZENIE DO OBROTU</w:t>
      </w:r>
    </w:p>
    <w:p w14:paraId="7C9BA1DD" w14:textId="77777777" w:rsidR="003E2583" w:rsidRPr="00105A25" w:rsidRDefault="003E2583" w:rsidP="001D75B1">
      <w:pPr>
        <w:rPr>
          <w:sz w:val="22"/>
          <w:szCs w:val="22"/>
        </w:rPr>
      </w:pPr>
    </w:p>
    <w:p w14:paraId="799D94F7" w14:textId="77777777" w:rsidR="00EC6594" w:rsidRDefault="00EC6594" w:rsidP="00EC6594">
      <w:pPr>
        <w:spacing w:line="276" w:lineRule="auto"/>
        <w:rPr>
          <w:sz w:val="22"/>
          <w:szCs w:val="22"/>
          <w:lang w:val="en-US"/>
        </w:rPr>
      </w:pPr>
      <w:r>
        <w:rPr>
          <w:sz w:val="22"/>
          <w:szCs w:val="22"/>
          <w:lang w:val="en-US"/>
        </w:rPr>
        <w:t>Bausch Health Ireland Limited</w:t>
      </w:r>
    </w:p>
    <w:p w14:paraId="2D68C756" w14:textId="77777777" w:rsidR="00EC6594" w:rsidRDefault="00EC6594" w:rsidP="00EC6594">
      <w:pPr>
        <w:spacing w:line="276" w:lineRule="auto"/>
        <w:rPr>
          <w:sz w:val="22"/>
          <w:szCs w:val="22"/>
          <w:lang w:val="en-US"/>
        </w:rPr>
      </w:pPr>
      <w:r>
        <w:rPr>
          <w:sz w:val="22"/>
          <w:szCs w:val="22"/>
          <w:lang w:val="en-US"/>
        </w:rPr>
        <w:t>3013 Lake Drive</w:t>
      </w:r>
    </w:p>
    <w:p w14:paraId="27B3EE9B" w14:textId="77777777" w:rsidR="00EC6594" w:rsidRDefault="00EC6594" w:rsidP="00EC6594">
      <w:pPr>
        <w:spacing w:line="276" w:lineRule="auto"/>
        <w:rPr>
          <w:sz w:val="22"/>
          <w:szCs w:val="22"/>
          <w:lang w:val="en-US"/>
        </w:rPr>
      </w:pPr>
      <w:r>
        <w:rPr>
          <w:sz w:val="22"/>
          <w:szCs w:val="22"/>
          <w:lang w:val="en-US"/>
        </w:rPr>
        <w:t>Citywest Business Campus</w:t>
      </w:r>
    </w:p>
    <w:p w14:paraId="3CD58B46" w14:textId="77777777" w:rsidR="00EC6594" w:rsidRDefault="00EC6594" w:rsidP="00EC6594">
      <w:pPr>
        <w:spacing w:line="276" w:lineRule="auto"/>
        <w:rPr>
          <w:sz w:val="22"/>
          <w:szCs w:val="22"/>
          <w:lang w:val="en-US"/>
        </w:rPr>
      </w:pPr>
      <w:r>
        <w:rPr>
          <w:sz w:val="22"/>
          <w:szCs w:val="22"/>
          <w:lang w:val="en-US"/>
        </w:rPr>
        <w:t>Dublin 24, D24PPT3</w:t>
      </w:r>
    </w:p>
    <w:p w14:paraId="674CC389" w14:textId="77777777" w:rsidR="00EC6594" w:rsidRDefault="00EC6594" w:rsidP="00EC6594">
      <w:pPr>
        <w:spacing w:line="276" w:lineRule="auto"/>
        <w:rPr>
          <w:sz w:val="22"/>
          <w:szCs w:val="22"/>
          <w:lang w:val="en-US"/>
        </w:rPr>
      </w:pPr>
      <w:r>
        <w:rPr>
          <w:sz w:val="22"/>
          <w:szCs w:val="22"/>
          <w:lang w:val="en-US"/>
        </w:rPr>
        <w:t>Irlandia</w:t>
      </w:r>
    </w:p>
    <w:p w14:paraId="06F64713" w14:textId="77777777" w:rsidR="00D11D86" w:rsidRPr="00456FC1" w:rsidRDefault="00D11D86" w:rsidP="001D75B1">
      <w:pPr>
        <w:rPr>
          <w:b/>
          <w:sz w:val="22"/>
          <w:szCs w:val="22"/>
          <w:lang w:val="en-US"/>
        </w:rPr>
      </w:pPr>
    </w:p>
    <w:p w14:paraId="31115163" w14:textId="77777777" w:rsidR="001D75B1" w:rsidRPr="00456FC1" w:rsidRDefault="001D75B1" w:rsidP="001D75B1">
      <w:pPr>
        <w:rPr>
          <w:b/>
          <w:sz w:val="22"/>
          <w:szCs w:val="22"/>
          <w:lang w:val="en-US"/>
        </w:rPr>
      </w:pPr>
    </w:p>
    <w:p w14:paraId="006C0043" w14:textId="77777777" w:rsidR="00D7495B" w:rsidRPr="00105A25" w:rsidRDefault="00D7495B" w:rsidP="001D75B1">
      <w:pPr>
        <w:rPr>
          <w:b/>
          <w:sz w:val="22"/>
          <w:szCs w:val="22"/>
        </w:rPr>
      </w:pPr>
      <w:r w:rsidRPr="00105A25">
        <w:rPr>
          <w:b/>
          <w:sz w:val="22"/>
          <w:szCs w:val="22"/>
        </w:rPr>
        <w:t>8.</w:t>
      </w:r>
      <w:r w:rsidR="001D75B1" w:rsidRPr="00105A25">
        <w:rPr>
          <w:b/>
          <w:sz w:val="22"/>
          <w:szCs w:val="22"/>
        </w:rPr>
        <w:tab/>
      </w:r>
      <w:r w:rsidRPr="00105A25">
        <w:rPr>
          <w:b/>
          <w:sz w:val="22"/>
          <w:szCs w:val="22"/>
        </w:rPr>
        <w:t>NUMER POZWOLENIA NA DOPUSZCZENIE DO OBROTU</w:t>
      </w:r>
    </w:p>
    <w:p w14:paraId="4A52ADC8" w14:textId="77777777" w:rsidR="001D75B1" w:rsidRPr="00105A25" w:rsidRDefault="001D75B1" w:rsidP="001D75B1">
      <w:pPr>
        <w:rPr>
          <w:sz w:val="22"/>
          <w:szCs w:val="22"/>
        </w:rPr>
      </w:pPr>
    </w:p>
    <w:p w14:paraId="60E1A846" w14:textId="77777777" w:rsidR="00D7495B" w:rsidRPr="00105A25" w:rsidRDefault="00D7495B" w:rsidP="001D75B1">
      <w:pPr>
        <w:rPr>
          <w:sz w:val="22"/>
          <w:szCs w:val="22"/>
        </w:rPr>
      </w:pPr>
      <w:r w:rsidRPr="00105A25">
        <w:rPr>
          <w:sz w:val="22"/>
          <w:szCs w:val="22"/>
        </w:rPr>
        <w:t>10</w:t>
      </w:r>
      <w:r w:rsidR="00EC22CE">
        <w:rPr>
          <w:sz w:val="22"/>
          <w:szCs w:val="22"/>
        </w:rPr>
        <w:t>700</w:t>
      </w:r>
    </w:p>
    <w:p w14:paraId="4C0169D5" w14:textId="77777777" w:rsidR="001223B9" w:rsidRDefault="001223B9" w:rsidP="001D75B1">
      <w:pPr>
        <w:rPr>
          <w:sz w:val="22"/>
          <w:szCs w:val="22"/>
        </w:rPr>
      </w:pPr>
    </w:p>
    <w:p w14:paraId="6D45F980" w14:textId="77777777" w:rsidR="00226A00" w:rsidRPr="00105A25" w:rsidRDefault="00226A00" w:rsidP="001D75B1">
      <w:pPr>
        <w:rPr>
          <w:sz w:val="22"/>
          <w:szCs w:val="22"/>
        </w:rPr>
      </w:pPr>
    </w:p>
    <w:p w14:paraId="30819DA2" w14:textId="77777777" w:rsidR="00D7495B" w:rsidRPr="00105A25" w:rsidRDefault="00D7495B" w:rsidP="001D75B1">
      <w:pPr>
        <w:ind w:left="567" w:hanging="567"/>
        <w:rPr>
          <w:b/>
          <w:sz w:val="22"/>
          <w:szCs w:val="22"/>
        </w:rPr>
      </w:pPr>
      <w:r w:rsidRPr="00105A25">
        <w:rPr>
          <w:b/>
          <w:sz w:val="22"/>
          <w:szCs w:val="22"/>
        </w:rPr>
        <w:t>9.</w:t>
      </w:r>
      <w:r w:rsidR="001D75B1" w:rsidRPr="00105A25">
        <w:rPr>
          <w:b/>
          <w:sz w:val="22"/>
          <w:szCs w:val="22"/>
        </w:rPr>
        <w:tab/>
      </w:r>
      <w:r w:rsidRPr="00105A25">
        <w:rPr>
          <w:b/>
          <w:sz w:val="22"/>
          <w:szCs w:val="22"/>
        </w:rPr>
        <w:t>DATA WYDANIA PIERWSZEGO POZWOLENIA NA DOPUSZCZENIE DO</w:t>
      </w:r>
      <w:r w:rsidR="001D75B1" w:rsidRPr="00105A25">
        <w:rPr>
          <w:b/>
          <w:sz w:val="22"/>
          <w:szCs w:val="22"/>
        </w:rPr>
        <w:t xml:space="preserve"> </w:t>
      </w:r>
      <w:r w:rsidRPr="00105A25">
        <w:rPr>
          <w:b/>
          <w:sz w:val="22"/>
          <w:szCs w:val="22"/>
        </w:rPr>
        <w:t xml:space="preserve">OBROTU </w:t>
      </w:r>
      <w:r w:rsidR="00CC2B88" w:rsidRPr="00105A25">
        <w:rPr>
          <w:b/>
          <w:sz w:val="22"/>
          <w:szCs w:val="22"/>
        </w:rPr>
        <w:t xml:space="preserve">I </w:t>
      </w:r>
      <w:r w:rsidRPr="00105A25">
        <w:rPr>
          <w:b/>
          <w:sz w:val="22"/>
          <w:szCs w:val="22"/>
        </w:rPr>
        <w:t>DATA PRZEDŁUŻENIA POZWOLENIA</w:t>
      </w:r>
    </w:p>
    <w:p w14:paraId="77892CAF" w14:textId="77777777" w:rsidR="001D75B1" w:rsidRPr="00105A25" w:rsidRDefault="001D75B1" w:rsidP="001D75B1">
      <w:pPr>
        <w:outlineLvl w:val="0"/>
        <w:rPr>
          <w:sz w:val="22"/>
          <w:szCs w:val="22"/>
        </w:rPr>
      </w:pPr>
    </w:p>
    <w:p w14:paraId="648437CC" w14:textId="77777777" w:rsidR="00CC2B88" w:rsidRPr="00105A25" w:rsidRDefault="00CC2B88" w:rsidP="001D75B1">
      <w:pPr>
        <w:outlineLvl w:val="0"/>
        <w:rPr>
          <w:sz w:val="22"/>
          <w:szCs w:val="22"/>
        </w:rPr>
      </w:pPr>
      <w:r w:rsidRPr="00105A25">
        <w:rPr>
          <w:noProof/>
          <w:sz w:val="22"/>
          <w:szCs w:val="22"/>
        </w:rPr>
        <w:t>Data wydania pierwszego pozwolenia na dopuszczenie do obrotu:</w:t>
      </w:r>
      <w:r w:rsidRPr="00105A25">
        <w:rPr>
          <w:sz w:val="22"/>
          <w:szCs w:val="22"/>
        </w:rPr>
        <w:t xml:space="preserve"> </w:t>
      </w:r>
      <w:r w:rsidR="00D7495B" w:rsidRPr="00105A25">
        <w:rPr>
          <w:sz w:val="22"/>
          <w:szCs w:val="22"/>
        </w:rPr>
        <w:t>30</w:t>
      </w:r>
      <w:r w:rsidR="00C03BA9">
        <w:rPr>
          <w:sz w:val="22"/>
          <w:szCs w:val="22"/>
        </w:rPr>
        <w:t xml:space="preserve"> kwiecień </w:t>
      </w:r>
      <w:r w:rsidR="00D7495B" w:rsidRPr="00105A25">
        <w:rPr>
          <w:sz w:val="22"/>
          <w:szCs w:val="22"/>
        </w:rPr>
        <w:t>2004 r.</w:t>
      </w:r>
    </w:p>
    <w:p w14:paraId="3F5D81A0" w14:textId="77777777" w:rsidR="00D7495B" w:rsidRPr="00105A25" w:rsidRDefault="00CC2B88" w:rsidP="001D75B1">
      <w:pPr>
        <w:outlineLvl w:val="0"/>
        <w:rPr>
          <w:sz w:val="22"/>
          <w:szCs w:val="22"/>
        </w:rPr>
      </w:pPr>
      <w:r w:rsidRPr="00105A25">
        <w:rPr>
          <w:noProof/>
          <w:sz w:val="22"/>
          <w:szCs w:val="22"/>
        </w:rPr>
        <w:t xml:space="preserve">Data ostatniego przedłużenia pozwolenia: </w:t>
      </w:r>
      <w:r w:rsidR="003E2583" w:rsidRPr="00105A25">
        <w:rPr>
          <w:sz w:val="22"/>
          <w:szCs w:val="22"/>
        </w:rPr>
        <w:t>15</w:t>
      </w:r>
      <w:r w:rsidR="00C03BA9">
        <w:rPr>
          <w:sz w:val="22"/>
          <w:szCs w:val="22"/>
        </w:rPr>
        <w:t xml:space="preserve"> październik </w:t>
      </w:r>
      <w:r w:rsidR="003E2583" w:rsidRPr="00105A25">
        <w:rPr>
          <w:sz w:val="22"/>
          <w:szCs w:val="22"/>
        </w:rPr>
        <w:t>2013 r.</w:t>
      </w:r>
    </w:p>
    <w:p w14:paraId="01429BEA" w14:textId="77777777" w:rsidR="001223B9" w:rsidRDefault="001223B9" w:rsidP="001D75B1">
      <w:pPr>
        <w:outlineLvl w:val="0"/>
        <w:rPr>
          <w:sz w:val="22"/>
          <w:szCs w:val="22"/>
        </w:rPr>
      </w:pPr>
    </w:p>
    <w:p w14:paraId="736409BD" w14:textId="77777777" w:rsidR="00226A00" w:rsidRPr="00105A25" w:rsidRDefault="00226A00" w:rsidP="001D75B1">
      <w:pPr>
        <w:outlineLvl w:val="0"/>
        <w:rPr>
          <w:sz w:val="22"/>
          <w:szCs w:val="22"/>
        </w:rPr>
      </w:pPr>
    </w:p>
    <w:p w14:paraId="5FD69E88" w14:textId="77777777" w:rsidR="00D7495B" w:rsidRPr="00EF56C9" w:rsidRDefault="00D7495B" w:rsidP="00EF56C9">
      <w:pPr>
        <w:numPr>
          <w:ilvl w:val="0"/>
          <w:numId w:val="6"/>
        </w:numPr>
        <w:tabs>
          <w:tab w:val="clear" w:pos="360"/>
          <w:tab w:val="num" w:pos="567"/>
        </w:tabs>
        <w:ind w:left="567" w:hanging="567"/>
        <w:rPr>
          <w:sz w:val="22"/>
          <w:szCs w:val="22"/>
        </w:rPr>
      </w:pPr>
      <w:r w:rsidRPr="00105A25">
        <w:rPr>
          <w:b/>
          <w:sz w:val="22"/>
          <w:szCs w:val="22"/>
        </w:rPr>
        <w:t>DATA ZATWIERDZENIA LUB CZĘŚCIOWEJ ZMIANY TEKSTU CHARAKTERYSTYKI PRODUKTU LECZNICZEGO</w:t>
      </w:r>
    </w:p>
    <w:p w14:paraId="478CAAFC" w14:textId="77777777" w:rsidR="00B2548C" w:rsidRDefault="00B2548C" w:rsidP="00B2548C">
      <w:pPr>
        <w:rPr>
          <w:sz w:val="22"/>
          <w:szCs w:val="22"/>
        </w:rPr>
      </w:pPr>
    </w:p>
    <w:p w14:paraId="7A886EBE" w14:textId="69CE586D" w:rsidR="00FE22EA" w:rsidRPr="00105A25" w:rsidRDefault="004A0EE1" w:rsidP="001D75B1">
      <w:pPr>
        <w:rPr>
          <w:sz w:val="22"/>
          <w:szCs w:val="22"/>
        </w:rPr>
      </w:pPr>
      <w:r>
        <w:rPr>
          <w:sz w:val="22"/>
          <w:szCs w:val="22"/>
        </w:rPr>
        <w:t>26/02/2024</w:t>
      </w:r>
    </w:p>
    <w:sectPr w:rsidR="00FE22EA" w:rsidRPr="00105A25" w:rsidSect="001D75B1">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ED21" w14:textId="77777777" w:rsidR="00AE15DC" w:rsidRDefault="00AE15DC">
      <w:r>
        <w:separator/>
      </w:r>
    </w:p>
  </w:endnote>
  <w:endnote w:type="continuationSeparator" w:id="0">
    <w:p w14:paraId="2DF390F8" w14:textId="77777777" w:rsidR="00AE15DC" w:rsidRDefault="00AE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DAA8" w14:textId="77777777" w:rsidR="004421A4" w:rsidRDefault="004421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89314E" w14:textId="77777777" w:rsidR="004421A4" w:rsidRDefault="004421A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1002" w14:textId="5BBD2893" w:rsidR="004421A4" w:rsidRDefault="004421A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72A16">
      <w:rPr>
        <w:rStyle w:val="Numerstrony"/>
        <w:noProof/>
      </w:rPr>
      <w:t>16</w:t>
    </w:r>
    <w:r>
      <w:rPr>
        <w:rStyle w:val="Numerstrony"/>
      </w:rPr>
      <w:fldChar w:fldCharType="end"/>
    </w:r>
  </w:p>
  <w:p w14:paraId="2BFAEB7B" w14:textId="77777777" w:rsidR="004421A4" w:rsidRDefault="004421A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9DB7" w14:textId="77777777" w:rsidR="003B02EB" w:rsidRDefault="003B02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75B7D" w14:textId="77777777" w:rsidR="00AE15DC" w:rsidRDefault="00AE15DC">
      <w:r>
        <w:separator/>
      </w:r>
    </w:p>
  </w:footnote>
  <w:footnote w:type="continuationSeparator" w:id="0">
    <w:p w14:paraId="54E88099" w14:textId="77777777" w:rsidR="00AE15DC" w:rsidRDefault="00AE1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DA37" w14:textId="77777777" w:rsidR="003B02EB" w:rsidRDefault="003B02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FA79" w14:textId="77777777" w:rsidR="003B02EB" w:rsidRDefault="003B02E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7234" w14:textId="77777777" w:rsidR="003B02EB" w:rsidRDefault="003B02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73A"/>
    <w:multiLevelType w:val="hybridMultilevel"/>
    <w:tmpl w:val="7466CC3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47C8F"/>
    <w:multiLevelType w:val="singleLevel"/>
    <w:tmpl w:val="95AEDE7E"/>
    <w:lvl w:ilvl="0">
      <w:start w:val="4"/>
      <w:numFmt w:val="bullet"/>
      <w:lvlText w:val="-"/>
      <w:lvlJc w:val="left"/>
      <w:pPr>
        <w:tabs>
          <w:tab w:val="num" w:pos="780"/>
        </w:tabs>
        <w:ind w:left="780" w:hanging="360"/>
      </w:pPr>
      <w:rPr>
        <w:rFonts w:hint="default"/>
      </w:rPr>
    </w:lvl>
  </w:abstractNum>
  <w:abstractNum w:abstractNumId="2" w15:restartNumberingAfterBreak="0">
    <w:nsid w:val="0B6E36BD"/>
    <w:multiLevelType w:val="singleLevel"/>
    <w:tmpl w:val="0415000F"/>
    <w:lvl w:ilvl="0">
      <w:start w:val="10"/>
      <w:numFmt w:val="decimal"/>
      <w:lvlText w:val="%1."/>
      <w:lvlJc w:val="left"/>
      <w:pPr>
        <w:tabs>
          <w:tab w:val="num" w:pos="360"/>
        </w:tabs>
        <w:ind w:left="360" w:hanging="360"/>
      </w:pPr>
      <w:rPr>
        <w:rFonts w:hint="default"/>
      </w:rPr>
    </w:lvl>
  </w:abstractNum>
  <w:abstractNum w:abstractNumId="3" w15:restartNumberingAfterBreak="0">
    <w:nsid w:val="23745DAB"/>
    <w:multiLevelType w:val="singleLevel"/>
    <w:tmpl w:val="57749A08"/>
    <w:lvl w:ilvl="0">
      <w:start w:val="9"/>
      <w:numFmt w:val="decimal"/>
      <w:lvlText w:val="%1."/>
      <w:lvlJc w:val="left"/>
      <w:pPr>
        <w:tabs>
          <w:tab w:val="num" w:pos="482"/>
        </w:tabs>
        <w:ind w:left="482" w:hanging="360"/>
      </w:pPr>
      <w:rPr>
        <w:rFonts w:hint="default"/>
      </w:rPr>
    </w:lvl>
  </w:abstractNum>
  <w:abstractNum w:abstractNumId="4" w15:restartNumberingAfterBreak="0">
    <w:nsid w:val="24922F80"/>
    <w:multiLevelType w:val="singleLevel"/>
    <w:tmpl w:val="18D05B5C"/>
    <w:lvl w:ilvl="0">
      <w:start w:val="1"/>
      <w:numFmt w:val="bullet"/>
      <w:lvlText w:val="-"/>
      <w:lvlJc w:val="left"/>
      <w:pPr>
        <w:tabs>
          <w:tab w:val="num" w:pos="786"/>
        </w:tabs>
        <w:ind w:left="786" w:hanging="360"/>
      </w:pPr>
      <w:rPr>
        <w:rFonts w:hint="default"/>
      </w:rPr>
    </w:lvl>
  </w:abstractNum>
  <w:abstractNum w:abstractNumId="5" w15:restartNumberingAfterBreak="0">
    <w:nsid w:val="311D531D"/>
    <w:multiLevelType w:val="singleLevel"/>
    <w:tmpl w:val="7A9634E2"/>
    <w:lvl w:ilvl="0">
      <w:start w:val="9"/>
      <w:numFmt w:val="decimal"/>
      <w:lvlText w:val="%1."/>
      <w:lvlJc w:val="left"/>
      <w:pPr>
        <w:tabs>
          <w:tab w:val="num" w:pos="492"/>
        </w:tabs>
        <w:ind w:left="492" w:hanging="432"/>
      </w:pPr>
      <w:rPr>
        <w:rFonts w:hint="default"/>
      </w:rPr>
    </w:lvl>
  </w:abstractNum>
  <w:abstractNum w:abstractNumId="6" w15:restartNumberingAfterBreak="0">
    <w:nsid w:val="6DC31E56"/>
    <w:multiLevelType w:val="singleLevel"/>
    <w:tmpl w:val="23E6B418"/>
    <w:lvl w:ilvl="0">
      <w:start w:val="10"/>
      <w:numFmt w:val="decimal"/>
      <w:lvlText w:val="%1."/>
      <w:lvlJc w:val="left"/>
      <w:pPr>
        <w:tabs>
          <w:tab w:val="num" w:pos="420"/>
        </w:tabs>
        <w:ind w:left="420" w:hanging="360"/>
      </w:pPr>
      <w:rPr>
        <w:rFonts w:hint="default"/>
      </w:rPr>
    </w:lvl>
  </w:abstractNum>
  <w:abstractNum w:abstractNumId="7" w15:restartNumberingAfterBreak="0">
    <w:nsid w:val="7FCA46DD"/>
    <w:multiLevelType w:val="hybridMultilevel"/>
    <w:tmpl w:val="B10457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228497419">
    <w:abstractNumId w:val="4"/>
  </w:num>
  <w:num w:numId="2" w16cid:durableId="723256137">
    <w:abstractNumId w:val="1"/>
  </w:num>
  <w:num w:numId="3" w16cid:durableId="1571189790">
    <w:abstractNumId w:val="5"/>
  </w:num>
  <w:num w:numId="4" w16cid:durableId="1921059974">
    <w:abstractNumId w:val="3"/>
  </w:num>
  <w:num w:numId="5" w16cid:durableId="1262494885">
    <w:abstractNumId w:val="6"/>
  </w:num>
  <w:num w:numId="6" w16cid:durableId="1074547112">
    <w:abstractNumId w:val="2"/>
  </w:num>
  <w:num w:numId="7" w16cid:durableId="1925264559">
    <w:abstractNumId w:val="7"/>
  </w:num>
  <w:num w:numId="8" w16cid:durableId="185926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567"/>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1MDMzMzI2MjK1NDdS0lEKTi0uzszPAykwrAUA+tT5NywAAAA="/>
  </w:docVars>
  <w:rsids>
    <w:rsidRoot w:val="00B54941"/>
    <w:rsid w:val="000179CA"/>
    <w:rsid w:val="00024729"/>
    <w:rsid w:val="000258ED"/>
    <w:rsid w:val="00030F19"/>
    <w:rsid w:val="00031B9B"/>
    <w:rsid w:val="00032083"/>
    <w:rsid w:val="000345F8"/>
    <w:rsid w:val="00034CF5"/>
    <w:rsid w:val="00037463"/>
    <w:rsid w:val="00037FD7"/>
    <w:rsid w:val="00042C5D"/>
    <w:rsid w:val="00044AEA"/>
    <w:rsid w:val="0005434A"/>
    <w:rsid w:val="00056D43"/>
    <w:rsid w:val="00060FD1"/>
    <w:rsid w:val="00082525"/>
    <w:rsid w:val="000845D5"/>
    <w:rsid w:val="00097C37"/>
    <w:rsid w:val="000A63E4"/>
    <w:rsid w:val="000B00B6"/>
    <w:rsid w:val="000B22C2"/>
    <w:rsid w:val="000B2A87"/>
    <w:rsid w:val="000B5374"/>
    <w:rsid w:val="000C20C5"/>
    <w:rsid w:val="000C3B7A"/>
    <w:rsid w:val="000D1055"/>
    <w:rsid w:val="000D6499"/>
    <w:rsid w:val="000E14F8"/>
    <w:rsid w:val="000E25F1"/>
    <w:rsid w:val="000E5AEC"/>
    <w:rsid w:val="000F1602"/>
    <w:rsid w:val="000F289C"/>
    <w:rsid w:val="000F3807"/>
    <w:rsid w:val="000F50B7"/>
    <w:rsid w:val="00105A25"/>
    <w:rsid w:val="00115232"/>
    <w:rsid w:val="00115876"/>
    <w:rsid w:val="00120903"/>
    <w:rsid w:val="001223B9"/>
    <w:rsid w:val="00124C87"/>
    <w:rsid w:val="0012724E"/>
    <w:rsid w:val="00134FC4"/>
    <w:rsid w:val="00135D3C"/>
    <w:rsid w:val="00143114"/>
    <w:rsid w:val="00144B1A"/>
    <w:rsid w:val="00156D86"/>
    <w:rsid w:val="00165DE9"/>
    <w:rsid w:val="00181B12"/>
    <w:rsid w:val="0018417B"/>
    <w:rsid w:val="0018659E"/>
    <w:rsid w:val="00193883"/>
    <w:rsid w:val="001C1F93"/>
    <w:rsid w:val="001D07FB"/>
    <w:rsid w:val="001D38BE"/>
    <w:rsid w:val="001D46F3"/>
    <w:rsid w:val="001D75B1"/>
    <w:rsid w:val="001E1D62"/>
    <w:rsid w:val="001E25BD"/>
    <w:rsid w:val="001E4F54"/>
    <w:rsid w:val="001E564C"/>
    <w:rsid w:val="001E5D0E"/>
    <w:rsid w:val="001E6528"/>
    <w:rsid w:val="001F2597"/>
    <w:rsid w:val="00200886"/>
    <w:rsid w:val="00201D72"/>
    <w:rsid w:val="002042C9"/>
    <w:rsid w:val="00210FFB"/>
    <w:rsid w:val="00211941"/>
    <w:rsid w:val="00213A13"/>
    <w:rsid w:val="00220D9F"/>
    <w:rsid w:val="00226A00"/>
    <w:rsid w:val="002346A1"/>
    <w:rsid w:val="0024139F"/>
    <w:rsid w:val="00242C24"/>
    <w:rsid w:val="00243899"/>
    <w:rsid w:val="00247D37"/>
    <w:rsid w:val="00251F24"/>
    <w:rsid w:val="00252DDA"/>
    <w:rsid w:val="00254639"/>
    <w:rsid w:val="00267317"/>
    <w:rsid w:val="00271398"/>
    <w:rsid w:val="002739D9"/>
    <w:rsid w:val="002741B5"/>
    <w:rsid w:val="00275449"/>
    <w:rsid w:val="00280FD3"/>
    <w:rsid w:val="00290D67"/>
    <w:rsid w:val="00291B64"/>
    <w:rsid w:val="002947AB"/>
    <w:rsid w:val="002A136A"/>
    <w:rsid w:val="002A22EC"/>
    <w:rsid w:val="002A319A"/>
    <w:rsid w:val="002A67AC"/>
    <w:rsid w:val="002B3CD9"/>
    <w:rsid w:val="002C1787"/>
    <w:rsid w:val="002C370E"/>
    <w:rsid w:val="002C56AB"/>
    <w:rsid w:val="002D1B18"/>
    <w:rsid w:val="002D3EB7"/>
    <w:rsid w:val="002E223A"/>
    <w:rsid w:val="002E51B3"/>
    <w:rsid w:val="002E55A3"/>
    <w:rsid w:val="002E7C74"/>
    <w:rsid w:val="002F2165"/>
    <w:rsid w:val="002F3A96"/>
    <w:rsid w:val="00303892"/>
    <w:rsid w:val="0031286D"/>
    <w:rsid w:val="00333C77"/>
    <w:rsid w:val="003362E6"/>
    <w:rsid w:val="00343252"/>
    <w:rsid w:val="00343D92"/>
    <w:rsid w:val="0034791F"/>
    <w:rsid w:val="003554C1"/>
    <w:rsid w:val="00370972"/>
    <w:rsid w:val="003869D4"/>
    <w:rsid w:val="00392167"/>
    <w:rsid w:val="0039742C"/>
    <w:rsid w:val="003A1EF7"/>
    <w:rsid w:val="003A32BB"/>
    <w:rsid w:val="003A3580"/>
    <w:rsid w:val="003A5638"/>
    <w:rsid w:val="003B02EB"/>
    <w:rsid w:val="003B6D6C"/>
    <w:rsid w:val="003C4AEC"/>
    <w:rsid w:val="003C664F"/>
    <w:rsid w:val="003D457F"/>
    <w:rsid w:val="003D6D04"/>
    <w:rsid w:val="003E2583"/>
    <w:rsid w:val="003F0C08"/>
    <w:rsid w:val="00401086"/>
    <w:rsid w:val="00414720"/>
    <w:rsid w:val="00414B44"/>
    <w:rsid w:val="00422019"/>
    <w:rsid w:val="00423A01"/>
    <w:rsid w:val="0042545E"/>
    <w:rsid w:val="00425BED"/>
    <w:rsid w:val="00431E47"/>
    <w:rsid w:val="00431F40"/>
    <w:rsid w:val="00436E19"/>
    <w:rsid w:val="004421A4"/>
    <w:rsid w:val="00442FE8"/>
    <w:rsid w:val="00445F04"/>
    <w:rsid w:val="004564EF"/>
    <w:rsid w:val="00456FC1"/>
    <w:rsid w:val="00457A86"/>
    <w:rsid w:val="00477A59"/>
    <w:rsid w:val="00481440"/>
    <w:rsid w:val="00486F0C"/>
    <w:rsid w:val="00490D5C"/>
    <w:rsid w:val="004A0EE1"/>
    <w:rsid w:val="004A19CF"/>
    <w:rsid w:val="004C713A"/>
    <w:rsid w:val="004C7ABB"/>
    <w:rsid w:val="004C7E22"/>
    <w:rsid w:val="004D3A93"/>
    <w:rsid w:val="004D6424"/>
    <w:rsid w:val="004E145F"/>
    <w:rsid w:val="004E64AD"/>
    <w:rsid w:val="004E73F7"/>
    <w:rsid w:val="004E770F"/>
    <w:rsid w:val="004F0DCD"/>
    <w:rsid w:val="004F14A3"/>
    <w:rsid w:val="004F19A6"/>
    <w:rsid w:val="004F26F7"/>
    <w:rsid w:val="004F3716"/>
    <w:rsid w:val="005020C9"/>
    <w:rsid w:val="00502878"/>
    <w:rsid w:val="0050713F"/>
    <w:rsid w:val="005105BC"/>
    <w:rsid w:val="00510EED"/>
    <w:rsid w:val="00514633"/>
    <w:rsid w:val="0051476E"/>
    <w:rsid w:val="00520F8E"/>
    <w:rsid w:val="00521781"/>
    <w:rsid w:val="005224B2"/>
    <w:rsid w:val="00522ACE"/>
    <w:rsid w:val="005241D1"/>
    <w:rsid w:val="005254D7"/>
    <w:rsid w:val="00541E6C"/>
    <w:rsid w:val="0054475B"/>
    <w:rsid w:val="00555DE8"/>
    <w:rsid w:val="00561786"/>
    <w:rsid w:val="005714D6"/>
    <w:rsid w:val="0057312D"/>
    <w:rsid w:val="00577003"/>
    <w:rsid w:val="00584EB7"/>
    <w:rsid w:val="0059698D"/>
    <w:rsid w:val="005972B3"/>
    <w:rsid w:val="005A44F4"/>
    <w:rsid w:val="005A491C"/>
    <w:rsid w:val="005A78DC"/>
    <w:rsid w:val="005B74B2"/>
    <w:rsid w:val="005C3273"/>
    <w:rsid w:val="005D1B89"/>
    <w:rsid w:val="005E25C9"/>
    <w:rsid w:val="005E579A"/>
    <w:rsid w:val="00605DA8"/>
    <w:rsid w:val="00623C89"/>
    <w:rsid w:val="00626D08"/>
    <w:rsid w:val="006313CD"/>
    <w:rsid w:val="0063423B"/>
    <w:rsid w:val="00637823"/>
    <w:rsid w:val="00664E4B"/>
    <w:rsid w:val="0066577D"/>
    <w:rsid w:val="00670AED"/>
    <w:rsid w:val="00673233"/>
    <w:rsid w:val="006814D9"/>
    <w:rsid w:val="00681A7C"/>
    <w:rsid w:val="0068374D"/>
    <w:rsid w:val="00683E9E"/>
    <w:rsid w:val="00687EF1"/>
    <w:rsid w:val="006933FD"/>
    <w:rsid w:val="006A5B8C"/>
    <w:rsid w:val="006A5C34"/>
    <w:rsid w:val="006B20E7"/>
    <w:rsid w:val="006B23EC"/>
    <w:rsid w:val="006B5048"/>
    <w:rsid w:val="006B508D"/>
    <w:rsid w:val="006B58A4"/>
    <w:rsid w:val="006C2098"/>
    <w:rsid w:val="006C26C4"/>
    <w:rsid w:val="006C3D01"/>
    <w:rsid w:val="006D1FF0"/>
    <w:rsid w:val="006E0E22"/>
    <w:rsid w:val="006E47CA"/>
    <w:rsid w:val="006F1F73"/>
    <w:rsid w:val="006F43BC"/>
    <w:rsid w:val="007029A4"/>
    <w:rsid w:val="00705C18"/>
    <w:rsid w:val="00706803"/>
    <w:rsid w:val="007114C5"/>
    <w:rsid w:val="00714A4B"/>
    <w:rsid w:val="00727DCF"/>
    <w:rsid w:val="007565E9"/>
    <w:rsid w:val="00756E5E"/>
    <w:rsid w:val="0076147A"/>
    <w:rsid w:val="00762A53"/>
    <w:rsid w:val="00765CE7"/>
    <w:rsid w:val="00766DC0"/>
    <w:rsid w:val="00773634"/>
    <w:rsid w:val="00774E4C"/>
    <w:rsid w:val="00777646"/>
    <w:rsid w:val="00780ECC"/>
    <w:rsid w:val="007816FE"/>
    <w:rsid w:val="00786ECF"/>
    <w:rsid w:val="007904C4"/>
    <w:rsid w:val="007A181D"/>
    <w:rsid w:val="007A327B"/>
    <w:rsid w:val="007A3D85"/>
    <w:rsid w:val="007B10D5"/>
    <w:rsid w:val="007B7419"/>
    <w:rsid w:val="007D0741"/>
    <w:rsid w:val="007D398D"/>
    <w:rsid w:val="007E7E93"/>
    <w:rsid w:val="007F37C3"/>
    <w:rsid w:val="007F49C9"/>
    <w:rsid w:val="00814330"/>
    <w:rsid w:val="00814EE1"/>
    <w:rsid w:val="008214DA"/>
    <w:rsid w:val="0082456E"/>
    <w:rsid w:val="00824F85"/>
    <w:rsid w:val="00835D61"/>
    <w:rsid w:val="008463E3"/>
    <w:rsid w:val="00847851"/>
    <w:rsid w:val="00850677"/>
    <w:rsid w:val="0085485D"/>
    <w:rsid w:val="00864001"/>
    <w:rsid w:val="00867C4D"/>
    <w:rsid w:val="00867ED5"/>
    <w:rsid w:val="00870E04"/>
    <w:rsid w:val="0087384F"/>
    <w:rsid w:val="0088344C"/>
    <w:rsid w:val="00891106"/>
    <w:rsid w:val="0089296F"/>
    <w:rsid w:val="008A1B07"/>
    <w:rsid w:val="008A39F5"/>
    <w:rsid w:val="008A4F37"/>
    <w:rsid w:val="008B057E"/>
    <w:rsid w:val="008B0CF0"/>
    <w:rsid w:val="008B2B73"/>
    <w:rsid w:val="008B2F6B"/>
    <w:rsid w:val="008C3EB2"/>
    <w:rsid w:val="008D1F65"/>
    <w:rsid w:val="008E13BB"/>
    <w:rsid w:val="008E20A0"/>
    <w:rsid w:val="008E38DC"/>
    <w:rsid w:val="008E547A"/>
    <w:rsid w:val="008E64B7"/>
    <w:rsid w:val="00900DF7"/>
    <w:rsid w:val="00904F81"/>
    <w:rsid w:val="00906DF8"/>
    <w:rsid w:val="00911B77"/>
    <w:rsid w:val="00917CE6"/>
    <w:rsid w:val="00932B24"/>
    <w:rsid w:val="00932C8C"/>
    <w:rsid w:val="0093373E"/>
    <w:rsid w:val="00943262"/>
    <w:rsid w:val="00947F6D"/>
    <w:rsid w:val="00951D67"/>
    <w:rsid w:val="00952030"/>
    <w:rsid w:val="00953D0C"/>
    <w:rsid w:val="00953E15"/>
    <w:rsid w:val="00955994"/>
    <w:rsid w:val="009654D1"/>
    <w:rsid w:val="00971F7B"/>
    <w:rsid w:val="00981F29"/>
    <w:rsid w:val="00983F0E"/>
    <w:rsid w:val="00990FED"/>
    <w:rsid w:val="00994447"/>
    <w:rsid w:val="009945D0"/>
    <w:rsid w:val="009A3FB4"/>
    <w:rsid w:val="009A4CEB"/>
    <w:rsid w:val="009C4031"/>
    <w:rsid w:val="009D0768"/>
    <w:rsid w:val="009D169D"/>
    <w:rsid w:val="009E0A20"/>
    <w:rsid w:val="009E6641"/>
    <w:rsid w:val="009E79A8"/>
    <w:rsid w:val="009E7AB2"/>
    <w:rsid w:val="009E7CAE"/>
    <w:rsid w:val="009F1B3F"/>
    <w:rsid w:val="009F523B"/>
    <w:rsid w:val="009F5F27"/>
    <w:rsid w:val="00A01612"/>
    <w:rsid w:val="00A02E9B"/>
    <w:rsid w:val="00A11EB7"/>
    <w:rsid w:val="00A25132"/>
    <w:rsid w:val="00A37DC3"/>
    <w:rsid w:val="00A41EFF"/>
    <w:rsid w:val="00A4342C"/>
    <w:rsid w:val="00A472E1"/>
    <w:rsid w:val="00A521E7"/>
    <w:rsid w:val="00A56E95"/>
    <w:rsid w:val="00A57EDE"/>
    <w:rsid w:val="00A64B25"/>
    <w:rsid w:val="00A65C83"/>
    <w:rsid w:val="00A72AD2"/>
    <w:rsid w:val="00A73F7E"/>
    <w:rsid w:val="00A80A45"/>
    <w:rsid w:val="00A85C52"/>
    <w:rsid w:val="00A909FE"/>
    <w:rsid w:val="00A93742"/>
    <w:rsid w:val="00A95835"/>
    <w:rsid w:val="00AA1C9E"/>
    <w:rsid w:val="00AB293C"/>
    <w:rsid w:val="00AC72A7"/>
    <w:rsid w:val="00AE15DC"/>
    <w:rsid w:val="00AF40DF"/>
    <w:rsid w:val="00B13BAF"/>
    <w:rsid w:val="00B156B4"/>
    <w:rsid w:val="00B2548C"/>
    <w:rsid w:val="00B4082C"/>
    <w:rsid w:val="00B44F51"/>
    <w:rsid w:val="00B54941"/>
    <w:rsid w:val="00B57DE0"/>
    <w:rsid w:val="00B60C60"/>
    <w:rsid w:val="00B70A85"/>
    <w:rsid w:val="00B83C37"/>
    <w:rsid w:val="00B85A08"/>
    <w:rsid w:val="00B903F6"/>
    <w:rsid w:val="00BA2300"/>
    <w:rsid w:val="00BA3A24"/>
    <w:rsid w:val="00BA51FD"/>
    <w:rsid w:val="00BA61DC"/>
    <w:rsid w:val="00BB712C"/>
    <w:rsid w:val="00BC2429"/>
    <w:rsid w:val="00BC4854"/>
    <w:rsid w:val="00BD2A26"/>
    <w:rsid w:val="00BD52D2"/>
    <w:rsid w:val="00BD61E5"/>
    <w:rsid w:val="00BD6A46"/>
    <w:rsid w:val="00BE7D25"/>
    <w:rsid w:val="00BF6922"/>
    <w:rsid w:val="00C03BA9"/>
    <w:rsid w:val="00C13C4D"/>
    <w:rsid w:val="00C17E6C"/>
    <w:rsid w:val="00C2116E"/>
    <w:rsid w:val="00C21BD9"/>
    <w:rsid w:val="00C2703B"/>
    <w:rsid w:val="00C27D06"/>
    <w:rsid w:val="00C34B17"/>
    <w:rsid w:val="00C375C2"/>
    <w:rsid w:val="00C3781C"/>
    <w:rsid w:val="00C40950"/>
    <w:rsid w:val="00C42E66"/>
    <w:rsid w:val="00C4460E"/>
    <w:rsid w:val="00C45080"/>
    <w:rsid w:val="00C45C3C"/>
    <w:rsid w:val="00C63F1F"/>
    <w:rsid w:val="00C75445"/>
    <w:rsid w:val="00C768D6"/>
    <w:rsid w:val="00C80176"/>
    <w:rsid w:val="00C81477"/>
    <w:rsid w:val="00C92096"/>
    <w:rsid w:val="00C93513"/>
    <w:rsid w:val="00CA0150"/>
    <w:rsid w:val="00CA2C47"/>
    <w:rsid w:val="00CA58B3"/>
    <w:rsid w:val="00CA66C8"/>
    <w:rsid w:val="00CB01DE"/>
    <w:rsid w:val="00CC2206"/>
    <w:rsid w:val="00CC2B88"/>
    <w:rsid w:val="00CC47D7"/>
    <w:rsid w:val="00CD44CB"/>
    <w:rsid w:val="00CD6960"/>
    <w:rsid w:val="00CF70F4"/>
    <w:rsid w:val="00D04150"/>
    <w:rsid w:val="00D0628D"/>
    <w:rsid w:val="00D067ED"/>
    <w:rsid w:val="00D07393"/>
    <w:rsid w:val="00D11D86"/>
    <w:rsid w:val="00D14E0B"/>
    <w:rsid w:val="00D161EB"/>
    <w:rsid w:val="00D17F7B"/>
    <w:rsid w:val="00D22683"/>
    <w:rsid w:val="00D43E66"/>
    <w:rsid w:val="00D55258"/>
    <w:rsid w:val="00D56DE3"/>
    <w:rsid w:val="00D72A16"/>
    <w:rsid w:val="00D7495B"/>
    <w:rsid w:val="00D82921"/>
    <w:rsid w:val="00D83D7D"/>
    <w:rsid w:val="00D858A4"/>
    <w:rsid w:val="00D874E9"/>
    <w:rsid w:val="00D91F20"/>
    <w:rsid w:val="00D93D08"/>
    <w:rsid w:val="00D944A8"/>
    <w:rsid w:val="00DA48E7"/>
    <w:rsid w:val="00DB0093"/>
    <w:rsid w:val="00DD0DA2"/>
    <w:rsid w:val="00DD2537"/>
    <w:rsid w:val="00DD2B2A"/>
    <w:rsid w:val="00DE7318"/>
    <w:rsid w:val="00DF54E5"/>
    <w:rsid w:val="00E01339"/>
    <w:rsid w:val="00E015B2"/>
    <w:rsid w:val="00E017A4"/>
    <w:rsid w:val="00E018FF"/>
    <w:rsid w:val="00E254AA"/>
    <w:rsid w:val="00E27E6D"/>
    <w:rsid w:val="00E27FAE"/>
    <w:rsid w:val="00E324A4"/>
    <w:rsid w:val="00E34265"/>
    <w:rsid w:val="00E451E3"/>
    <w:rsid w:val="00E522EC"/>
    <w:rsid w:val="00E55F69"/>
    <w:rsid w:val="00E60274"/>
    <w:rsid w:val="00E6548A"/>
    <w:rsid w:val="00E66185"/>
    <w:rsid w:val="00E86031"/>
    <w:rsid w:val="00E912CE"/>
    <w:rsid w:val="00EB2A3E"/>
    <w:rsid w:val="00EC22CE"/>
    <w:rsid w:val="00EC5C69"/>
    <w:rsid w:val="00EC6594"/>
    <w:rsid w:val="00EC7423"/>
    <w:rsid w:val="00ED3A6B"/>
    <w:rsid w:val="00ED4E7D"/>
    <w:rsid w:val="00EE1DB0"/>
    <w:rsid w:val="00EE2AA1"/>
    <w:rsid w:val="00EE349F"/>
    <w:rsid w:val="00EE3DBD"/>
    <w:rsid w:val="00EE4AF0"/>
    <w:rsid w:val="00EF56C9"/>
    <w:rsid w:val="00F070F1"/>
    <w:rsid w:val="00F220D2"/>
    <w:rsid w:val="00F24977"/>
    <w:rsid w:val="00F26B9E"/>
    <w:rsid w:val="00F30337"/>
    <w:rsid w:val="00F3227D"/>
    <w:rsid w:val="00F33D99"/>
    <w:rsid w:val="00F35267"/>
    <w:rsid w:val="00F4649F"/>
    <w:rsid w:val="00F6141A"/>
    <w:rsid w:val="00F6142D"/>
    <w:rsid w:val="00F83796"/>
    <w:rsid w:val="00FA0FF1"/>
    <w:rsid w:val="00FD0A64"/>
    <w:rsid w:val="00FD1226"/>
    <w:rsid w:val="00FD6DFE"/>
    <w:rsid w:val="00FE22EA"/>
    <w:rsid w:val="00FF0C71"/>
    <w:rsid w:val="00FF74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B2EF"/>
  <w15:chartTrackingRefBased/>
  <w15:docId w15:val="{2B340767-A648-468F-981B-20C7B838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val="pl-PL" w:eastAsia="pl-PL"/>
    </w:rPr>
  </w:style>
  <w:style w:type="paragraph" w:styleId="Nagwek2">
    <w:name w:val="heading 2"/>
    <w:basedOn w:val="Normalny"/>
    <w:next w:val="Normalny"/>
    <w:qFormat/>
    <w:pPr>
      <w:keepNext/>
      <w:spacing w:line="360" w:lineRule="auto"/>
      <w:ind w:right="-851"/>
      <w:jc w:val="both"/>
      <w:outlineLvl w:val="1"/>
    </w:pPr>
    <w:rPr>
      <w:sz w:val="28"/>
      <w:szCs w:val="20"/>
    </w:rPr>
  </w:style>
  <w:style w:type="paragraph" w:styleId="Nagwek3">
    <w:name w:val="heading 3"/>
    <w:basedOn w:val="Normalny"/>
    <w:next w:val="Normalny"/>
    <w:qFormat/>
    <w:pPr>
      <w:keepNext/>
      <w:spacing w:line="360" w:lineRule="auto"/>
      <w:ind w:left="425"/>
      <w:outlineLvl w:val="2"/>
    </w:pPr>
    <w:rPr>
      <w:szCs w:val="20"/>
      <w:u w:val="single"/>
    </w:rPr>
  </w:style>
  <w:style w:type="paragraph" w:styleId="Nagwek4">
    <w:name w:val="heading 4"/>
    <w:basedOn w:val="Normalny"/>
    <w:next w:val="Normalny"/>
    <w:qFormat/>
    <w:pPr>
      <w:keepNext/>
      <w:spacing w:line="360" w:lineRule="auto"/>
      <w:ind w:left="425"/>
      <w:jc w:val="both"/>
      <w:outlineLvl w:val="3"/>
    </w:pPr>
    <w:rPr>
      <w:szCs w:val="20"/>
      <w:u w:val="single"/>
    </w:rPr>
  </w:style>
  <w:style w:type="paragraph" w:styleId="Nagwek6">
    <w:name w:val="heading 6"/>
    <w:basedOn w:val="Normalny"/>
    <w:next w:val="Normalny"/>
    <w:qFormat/>
    <w:pPr>
      <w:keepNext/>
      <w:spacing w:line="360" w:lineRule="auto"/>
      <w:ind w:left="426"/>
      <w:outlineLvl w:val="5"/>
    </w:pPr>
    <w:rPr>
      <w:szCs w:val="20"/>
      <w:u w:val="single"/>
    </w:rPr>
  </w:style>
  <w:style w:type="paragraph" w:styleId="Nagwek7">
    <w:name w:val="heading 7"/>
    <w:basedOn w:val="Normalny"/>
    <w:next w:val="Normalny"/>
    <w:qFormat/>
    <w:pPr>
      <w:keepNext/>
      <w:spacing w:line="360" w:lineRule="auto"/>
      <w:ind w:left="425" w:right="1512"/>
      <w:jc w:val="both"/>
      <w:outlineLvl w:val="6"/>
    </w:pPr>
    <w:rPr>
      <w:szCs w:val="20"/>
      <w:u w:val="single"/>
    </w:rPr>
  </w:style>
  <w:style w:type="paragraph" w:styleId="Nagwek8">
    <w:name w:val="heading 8"/>
    <w:basedOn w:val="Normalny"/>
    <w:next w:val="Normalny"/>
    <w:qFormat/>
    <w:pPr>
      <w:keepNext/>
      <w:spacing w:before="9" w:line="360" w:lineRule="auto"/>
      <w:ind w:left="425" w:right="144"/>
      <w:jc w:val="both"/>
      <w:outlineLvl w:val="7"/>
    </w:pPr>
    <w:rPr>
      <w:szCs w:val="20"/>
      <w:u w:val="single"/>
    </w:rPr>
  </w:style>
  <w:style w:type="paragraph" w:styleId="Nagwek9">
    <w:name w:val="heading 9"/>
    <w:basedOn w:val="Normalny"/>
    <w:next w:val="Normalny"/>
    <w:qFormat/>
    <w:pPr>
      <w:keepNext/>
      <w:spacing w:line="360" w:lineRule="auto"/>
      <w:ind w:left="425" w:right="4824"/>
      <w:jc w:val="both"/>
      <w:outlineLvl w:val="8"/>
    </w:pPr>
    <w:rPr>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pPr>
      <w:spacing w:line="360" w:lineRule="auto"/>
      <w:ind w:left="425" w:right="72"/>
    </w:pPr>
  </w:style>
  <w:style w:type="paragraph" w:styleId="Tekstpodstawowywcity">
    <w:name w:val="Body Text Indent"/>
    <w:basedOn w:val="Normalny"/>
    <w:pPr>
      <w:spacing w:line="360" w:lineRule="auto"/>
      <w:ind w:left="426" w:hanging="426"/>
    </w:pPr>
    <w:rPr>
      <w:szCs w:val="20"/>
    </w:rPr>
  </w:style>
  <w:style w:type="paragraph" w:styleId="Tekstpodstawowywcity3">
    <w:name w:val="Body Text Indent 3"/>
    <w:basedOn w:val="Normalny"/>
    <w:pPr>
      <w:spacing w:line="360" w:lineRule="auto"/>
      <w:ind w:left="426"/>
    </w:pPr>
    <w:rPr>
      <w:szCs w:val="20"/>
    </w:rPr>
  </w:style>
  <w:style w:type="character" w:styleId="Odwoaniedokomentarza">
    <w:name w:val="annotation reference"/>
    <w:semiHidden/>
    <w:rPr>
      <w:sz w:val="16"/>
    </w:rPr>
  </w:style>
  <w:style w:type="character" w:styleId="Numerstrony">
    <w:name w:val="page number"/>
    <w:basedOn w:val="Domylnaczcionkaakapitu"/>
  </w:style>
  <w:style w:type="paragraph" w:styleId="Stopka">
    <w:name w:val="footer"/>
    <w:basedOn w:val="Normalny"/>
    <w:pPr>
      <w:tabs>
        <w:tab w:val="center" w:pos="4536"/>
        <w:tab w:val="right" w:pos="9072"/>
      </w:tabs>
    </w:pPr>
    <w:rPr>
      <w:sz w:val="20"/>
      <w:szCs w:val="20"/>
    </w:rPr>
  </w:style>
  <w:style w:type="paragraph" w:styleId="Tekstdymka">
    <w:name w:val="Balloon Text"/>
    <w:basedOn w:val="Normalny"/>
    <w:semiHidden/>
    <w:rsid w:val="00032083"/>
    <w:rPr>
      <w:rFonts w:ascii="Tahoma" w:hAnsi="Tahoma" w:cs="Tahoma"/>
      <w:sz w:val="16"/>
      <w:szCs w:val="16"/>
    </w:rPr>
  </w:style>
  <w:style w:type="paragraph" w:styleId="Tekstkomentarza">
    <w:name w:val="annotation text"/>
    <w:basedOn w:val="Normalny"/>
    <w:semiHidden/>
    <w:rsid w:val="003D457F"/>
    <w:rPr>
      <w:sz w:val="20"/>
      <w:szCs w:val="20"/>
    </w:rPr>
  </w:style>
  <w:style w:type="paragraph" w:styleId="Tematkomentarza">
    <w:name w:val="annotation subject"/>
    <w:basedOn w:val="Tekstkomentarza"/>
    <w:next w:val="Tekstkomentarza"/>
    <w:semiHidden/>
    <w:rsid w:val="003D457F"/>
    <w:rPr>
      <w:b/>
      <w:bCs/>
    </w:rPr>
  </w:style>
  <w:style w:type="paragraph" w:styleId="Nagwek">
    <w:name w:val="header"/>
    <w:basedOn w:val="Normalny"/>
    <w:link w:val="NagwekZnak"/>
    <w:rsid w:val="001D75B1"/>
    <w:pPr>
      <w:tabs>
        <w:tab w:val="center" w:pos="4536"/>
        <w:tab w:val="right" w:pos="9072"/>
      </w:tabs>
    </w:pPr>
  </w:style>
  <w:style w:type="character" w:customStyle="1" w:styleId="NagwekZnak">
    <w:name w:val="Nagłówek Znak"/>
    <w:link w:val="Nagwek"/>
    <w:rsid w:val="001D75B1"/>
    <w:rPr>
      <w:sz w:val="24"/>
      <w:szCs w:val="24"/>
    </w:rPr>
  </w:style>
  <w:style w:type="paragraph" w:customStyle="1" w:styleId="Default">
    <w:name w:val="Default"/>
    <w:rsid w:val="00FD6DFE"/>
    <w:pPr>
      <w:autoSpaceDE w:val="0"/>
      <w:autoSpaceDN w:val="0"/>
      <w:adjustRightInd w:val="0"/>
    </w:pPr>
    <w:rPr>
      <w:color w:val="000000"/>
      <w:sz w:val="24"/>
      <w:szCs w:val="24"/>
      <w:lang w:val="pl-PL" w:eastAsia="pl-PL"/>
    </w:rPr>
  </w:style>
  <w:style w:type="table" w:styleId="Tabela-Siatka">
    <w:name w:val="Table Grid"/>
    <w:basedOn w:val="Standardowy"/>
    <w:uiPriority w:val="59"/>
    <w:rsid w:val="0076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CD6960"/>
    <w:pPr>
      <w:jc w:val="center"/>
    </w:pPr>
    <w:rPr>
      <w:b/>
      <w:sz w:val="22"/>
      <w:szCs w:val="20"/>
      <w:lang w:val="en-GB" w:eastAsia="en-US"/>
    </w:rPr>
  </w:style>
  <w:style w:type="character" w:customStyle="1" w:styleId="TytuZnak">
    <w:name w:val="Tytuł Znak"/>
    <w:link w:val="Tytu"/>
    <w:rsid w:val="00CD6960"/>
    <w:rPr>
      <w:b/>
      <w:sz w:val="22"/>
      <w:lang w:val="en-GB" w:eastAsia="en-US"/>
    </w:rPr>
  </w:style>
  <w:style w:type="character" w:styleId="Hipercze">
    <w:name w:val="Hyperlink"/>
    <w:uiPriority w:val="99"/>
    <w:unhideWhenUsed/>
    <w:rsid w:val="00210FFB"/>
    <w:rPr>
      <w:color w:val="0000FF"/>
      <w:u w:val="single"/>
    </w:rPr>
  </w:style>
  <w:style w:type="character" w:styleId="Pogrubienie">
    <w:name w:val="Strong"/>
    <w:uiPriority w:val="22"/>
    <w:qFormat/>
    <w:rsid w:val="00210FFB"/>
    <w:rPr>
      <w:b/>
      <w:bCs/>
    </w:rPr>
  </w:style>
  <w:style w:type="paragraph" w:styleId="Poprawka">
    <w:name w:val="Revision"/>
    <w:hidden/>
    <w:uiPriority w:val="99"/>
    <w:semiHidden/>
    <w:rsid w:val="00200886"/>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61399">
      <w:bodyDiv w:val="1"/>
      <w:marLeft w:val="0"/>
      <w:marRight w:val="0"/>
      <w:marTop w:val="0"/>
      <w:marBottom w:val="0"/>
      <w:divBdr>
        <w:top w:val="none" w:sz="0" w:space="0" w:color="auto"/>
        <w:left w:val="none" w:sz="0" w:space="0" w:color="auto"/>
        <w:bottom w:val="none" w:sz="0" w:space="0" w:color="auto"/>
        <w:right w:val="none" w:sz="0" w:space="0" w:color="auto"/>
      </w:divBdr>
    </w:div>
    <w:div w:id="298153020">
      <w:bodyDiv w:val="1"/>
      <w:marLeft w:val="0"/>
      <w:marRight w:val="0"/>
      <w:marTop w:val="0"/>
      <w:marBottom w:val="0"/>
      <w:divBdr>
        <w:top w:val="none" w:sz="0" w:space="0" w:color="auto"/>
        <w:left w:val="none" w:sz="0" w:space="0" w:color="auto"/>
        <w:bottom w:val="none" w:sz="0" w:space="0" w:color="auto"/>
        <w:right w:val="none" w:sz="0" w:space="0" w:color="auto"/>
      </w:divBdr>
    </w:div>
    <w:div w:id="323631264">
      <w:bodyDiv w:val="1"/>
      <w:marLeft w:val="0"/>
      <w:marRight w:val="0"/>
      <w:marTop w:val="0"/>
      <w:marBottom w:val="0"/>
      <w:divBdr>
        <w:top w:val="none" w:sz="0" w:space="0" w:color="auto"/>
        <w:left w:val="none" w:sz="0" w:space="0" w:color="auto"/>
        <w:bottom w:val="none" w:sz="0" w:space="0" w:color="auto"/>
        <w:right w:val="none" w:sz="0" w:space="0" w:color="auto"/>
      </w:divBdr>
    </w:div>
    <w:div w:id="420833073">
      <w:bodyDiv w:val="1"/>
      <w:marLeft w:val="0"/>
      <w:marRight w:val="0"/>
      <w:marTop w:val="0"/>
      <w:marBottom w:val="0"/>
      <w:divBdr>
        <w:top w:val="none" w:sz="0" w:space="0" w:color="auto"/>
        <w:left w:val="none" w:sz="0" w:space="0" w:color="auto"/>
        <w:bottom w:val="none" w:sz="0" w:space="0" w:color="auto"/>
        <w:right w:val="none" w:sz="0" w:space="0" w:color="auto"/>
      </w:divBdr>
    </w:div>
    <w:div w:id="695348318">
      <w:bodyDiv w:val="1"/>
      <w:marLeft w:val="0"/>
      <w:marRight w:val="0"/>
      <w:marTop w:val="0"/>
      <w:marBottom w:val="0"/>
      <w:divBdr>
        <w:top w:val="none" w:sz="0" w:space="0" w:color="auto"/>
        <w:left w:val="none" w:sz="0" w:space="0" w:color="auto"/>
        <w:bottom w:val="none" w:sz="0" w:space="0" w:color="auto"/>
        <w:right w:val="none" w:sz="0" w:space="0" w:color="auto"/>
      </w:divBdr>
    </w:div>
    <w:div w:id="747119537">
      <w:bodyDiv w:val="1"/>
      <w:marLeft w:val="0"/>
      <w:marRight w:val="0"/>
      <w:marTop w:val="0"/>
      <w:marBottom w:val="0"/>
      <w:divBdr>
        <w:top w:val="none" w:sz="0" w:space="0" w:color="auto"/>
        <w:left w:val="none" w:sz="0" w:space="0" w:color="auto"/>
        <w:bottom w:val="none" w:sz="0" w:space="0" w:color="auto"/>
        <w:right w:val="none" w:sz="0" w:space="0" w:color="auto"/>
      </w:divBdr>
    </w:div>
    <w:div w:id="953025669">
      <w:bodyDiv w:val="1"/>
      <w:marLeft w:val="0"/>
      <w:marRight w:val="0"/>
      <w:marTop w:val="0"/>
      <w:marBottom w:val="0"/>
      <w:divBdr>
        <w:top w:val="none" w:sz="0" w:space="0" w:color="auto"/>
        <w:left w:val="none" w:sz="0" w:space="0" w:color="auto"/>
        <w:bottom w:val="none" w:sz="0" w:space="0" w:color="auto"/>
        <w:right w:val="none" w:sz="0" w:space="0" w:color="auto"/>
      </w:divBdr>
    </w:div>
    <w:div w:id="1006664979">
      <w:bodyDiv w:val="1"/>
      <w:marLeft w:val="0"/>
      <w:marRight w:val="0"/>
      <w:marTop w:val="0"/>
      <w:marBottom w:val="0"/>
      <w:divBdr>
        <w:top w:val="none" w:sz="0" w:space="0" w:color="auto"/>
        <w:left w:val="none" w:sz="0" w:space="0" w:color="auto"/>
        <w:bottom w:val="none" w:sz="0" w:space="0" w:color="auto"/>
        <w:right w:val="none" w:sz="0" w:space="0" w:color="auto"/>
      </w:divBdr>
    </w:div>
    <w:div w:id="1011108353">
      <w:bodyDiv w:val="1"/>
      <w:marLeft w:val="0"/>
      <w:marRight w:val="0"/>
      <w:marTop w:val="0"/>
      <w:marBottom w:val="0"/>
      <w:divBdr>
        <w:top w:val="none" w:sz="0" w:space="0" w:color="auto"/>
        <w:left w:val="none" w:sz="0" w:space="0" w:color="auto"/>
        <w:bottom w:val="none" w:sz="0" w:space="0" w:color="auto"/>
        <w:right w:val="none" w:sz="0" w:space="0" w:color="auto"/>
      </w:divBdr>
    </w:div>
    <w:div w:id="1033269027">
      <w:bodyDiv w:val="1"/>
      <w:marLeft w:val="0"/>
      <w:marRight w:val="0"/>
      <w:marTop w:val="0"/>
      <w:marBottom w:val="0"/>
      <w:divBdr>
        <w:top w:val="none" w:sz="0" w:space="0" w:color="auto"/>
        <w:left w:val="none" w:sz="0" w:space="0" w:color="auto"/>
        <w:bottom w:val="none" w:sz="0" w:space="0" w:color="auto"/>
        <w:right w:val="none" w:sz="0" w:space="0" w:color="auto"/>
      </w:divBdr>
    </w:div>
    <w:div w:id="1234202608">
      <w:bodyDiv w:val="1"/>
      <w:marLeft w:val="0"/>
      <w:marRight w:val="0"/>
      <w:marTop w:val="0"/>
      <w:marBottom w:val="0"/>
      <w:divBdr>
        <w:top w:val="none" w:sz="0" w:space="0" w:color="auto"/>
        <w:left w:val="none" w:sz="0" w:space="0" w:color="auto"/>
        <w:bottom w:val="none" w:sz="0" w:space="0" w:color="auto"/>
        <w:right w:val="none" w:sz="0" w:space="0" w:color="auto"/>
      </w:divBdr>
    </w:div>
    <w:div w:id="1251963327">
      <w:bodyDiv w:val="1"/>
      <w:marLeft w:val="0"/>
      <w:marRight w:val="0"/>
      <w:marTop w:val="0"/>
      <w:marBottom w:val="0"/>
      <w:divBdr>
        <w:top w:val="none" w:sz="0" w:space="0" w:color="auto"/>
        <w:left w:val="none" w:sz="0" w:space="0" w:color="auto"/>
        <w:bottom w:val="none" w:sz="0" w:space="0" w:color="auto"/>
        <w:right w:val="none" w:sz="0" w:space="0" w:color="auto"/>
      </w:divBdr>
    </w:div>
    <w:div w:id="1291129415">
      <w:bodyDiv w:val="1"/>
      <w:marLeft w:val="0"/>
      <w:marRight w:val="0"/>
      <w:marTop w:val="0"/>
      <w:marBottom w:val="0"/>
      <w:divBdr>
        <w:top w:val="none" w:sz="0" w:space="0" w:color="auto"/>
        <w:left w:val="none" w:sz="0" w:space="0" w:color="auto"/>
        <w:bottom w:val="none" w:sz="0" w:space="0" w:color="auto"/>
        <w:right w:val="none" w:sz="0" w:space="0" w:color="auto"/>
      </w:divBdr>
    </w:div>
    <w:div w:id="1386367986">
      <w:bodyDiv w:val="1"/>
      <w:marLeft w:val="0"/>
      <w:marRight w:val="0"/>
      <w:marTop w:val="0"/>
      <w:marBottom w:val="0"/>
      <w:divBdr>
        <w:top w:val="none" w:sz="0" w:space="0" w:color="auto"/>
        <w:left w:val="none" w:sz="0" w:space="0" w:color="auto"/>
        <w:bottom w:val="none" w:sz="0" w:space="0" w:color="auto"/>
        <w:right w:val="none" w:sz="0" w:space="0" w:color="auto"/>
      </w:divBdr>
    </w:div>
    <w:div w:id="1437410538">
      <w:bodyDiv w:val="1"/>
      <w:marLeft w:val="0"/>
      <w:marRight w:val="0"/>
      <w:marTop w:val="0"/>
      <w:marBottom w:val="0"/>
      <w:divBdr>
        <w:top w:val="none" w:sz="0" w:space="0" w:color="auto"/>
        <w:left w:val="none" w:sz="0" w:space="0" w:color="auto"/>
        <w:bottom w:val="none" w:sz="0" w:space="0" w:color="auto"/>
        <w:right w:val="none" w:sz="0" w:space="0" w:color="auto"/>
      </w:divBdr>
    </w:div>
    <w:div w:id="1564871290">
      <w:bodyDiv w:val="1"/>
      <w:marLeft w:val="0"/>
      <w:marRight w:val="0"/>
      <w:marTop w:val="0"/>
      <w:marBottom w:val="0"/>
      <w:divBdr>
        <w:top w:val="none" w:sz="0" w:space="0" w:color="auto"/>
        <w:left w:val="none" w:sz="0" w:space="0" w:color="auto"/>
        <w:bottom w:val="none" w:sz="0" w:space="0" w:color="auto"/>
        <w:right w:val="none" w:sz="0" w:space="0" w:color="auto"/>
      </w:divBdr>
    </w:div>
    <w:div w:id="1651443109">
      <w:bodyDiv w:val="1"/>
      <w:marLeft w:val="0"/>
      <w:marRight w:val="0"/>
      <w:marTop w:val="0"/>
      <w:marBottom w:val="0"/>
      <w:divBdr>
        <w:top w:val="none" w:sz="0" w:space="0" w:color="auto"/>
        <w:left w:val="none" w:sz="0" w:space="0" w:color="auto"/>
        <w:bottom w:val="none" w:sz="0" w:space="0" w:color="auto"/>
        <w:right w:val="none" w:sz="0" w:space="0" w:color="auto"/>
      </w:divBdr>
    </w:div>
    <w:div w:id="1761413788">
      <w:bodyDiv w:val="1"/>
      <w:marLeft w:val="0"/>
      <w:marRight w:val="0"/>
      <w:marTop w:val="0"/>
      <w:marBottom w:val="0"/>
      <w:divBdr>
        <w:top w:val="none" w:sz="0" w:space="0" w:color="auto"/>
        <w:left w:val="none" w:sz="0" w:space="0" w:color="auto"/>
        <w:bottom w:val="none" w:sz="0" w:space="0" w:color="auto"/>
        <w:right w:val="none" w:sz="0" w:space="0" w:color="auto"/>
      </w:divBdr>
    </w:div>
    <w:div w:id="1943142486">
      <w:bodyDiv w:val="1"/>
      <w:marLeft w:val="0"/>
      <w:marRight w:val="0"/>
      <w:marTop w:val="0"/>
      <w:marBottom w:val="0"/>
      <w:divBdr>
        <w:top w:val="none" w:sz="0" w:space="0" w:color="auto"/>
        <w:left w:val="none" w:sz="0" w:space="0" w:color="auto"/>
        <w:bottom w:val="none" w:sz="0" w:space="0" w:color="auto"/>
        <w:right w:val="none" w:sz="0" w:space="0" w:color="auto"/>
      </w:divBdr>
    </w:div>
    <w:div w:id="21467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3e9TlJZEcqQfabIBS3DQUkay1gF1Nx1CWO1brz_mmUUyCGl-At6J2eL3FWkoJQLy7vDdVj7IURRbaV1cw6j7ulpZxpdJeNCrSkTaJVnwh3CYs8R8ChyEE47zYyDie21N-p1eMU7SiPRdQ3XbCzIFfKKv6ExKnIvMCc0UkLPYt5ua5at53RV3vjZjzd1c7yFKFhvzN3UFIKkNZD9hYBrwBisPKkvhlSZwgyTd7aVh7nPypz3C_rrJtebLVM9Ri-8U4Vge-lVPlPM4ItOQiy49s24K2HU9ZPhEXoRVWwbRP8fIiv_GWi-c0bW6B2Dg2zbfTOvPr0ARg7ALZdfkW8_7-A/https%3A%2F%2Fsmz.ezdrowie.gov.pl%2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53C0-DC63-4027-85E9-7584569B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5863</Words>
  <Characters>41854</Characters>
  <Application>Microsoft Office Word</Application>
  <DocSecurity>0</DocSecurity>
  <Lines>348</Lines>
  <Paragraphs>95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CHARAKTERYSTYKA PRODUKTU LECZNICZEGO</vt:lpstr>
      <vt:lpstr>CHARAKTERYSTYKA PRODUKTU LECZNICZEGO</vt:lpstr>
    </vt:vector>
  </TitlesOfParts>
  <Company>JELFA S.A.</Company>
  <LinksUpToDate>false</LinksUpToDate>
  <CharactersWithSpaces>47622</CharactersWithSpaces>
  <SharedDoc>false</SharedDoc>
  <HLinks>
    <vt:vector size="6" baseType="variant">
      <vt:variant>
        <vt:i4>2424857</vt:i4>
      </vt:variant>
      <vt:variant>
        <vt:i4>0</vt:i4>
      </vt:variant>
      <vt:variant>
        <vt:i4>0</vt:i4>
      </vt:variant>
      <vt:variant>
        <vt:i4>5</vt:i4>
      </vt:variant>
      <vt:variant>
        <vt:lpwstr>https://secure-web.cisco.com/13e9TlJZEcqQfabIBS3DQUkay1gF1Nx1CWO1brz_mmUUyCGl-At6J2eL3FWkoJQLy7vDdVj7IURRbaV1cw6j7ulpZxpdJeNCrSkTaJVnwh3CYs8R8ChyEE47zYyDie21N-p1eMU7SiPRdQ3XbCzIFfKKv6ExKnIvMCc0UkLPYt5ua5at53RV3vjZjzd1c7yFKFhvzN3UFIKkNZD9hYBrwBisPKkvhlSZwgyTd7aVh7nPypz3C_rrJtebLVM9Ri-8U4Vge-lVPlPM4ItOQiy49s24K2HU9ZPhEXoRVWwbRP8fIiv_GWi-c0bW6B2Dg2zbfTOvPr0ARg7ALZdfkW8_7-A/https%3A%2F%2Fsmz.ezdrowie.gov.pl%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subject/>
  <dc:creator>krystynak</dc:creator>
  <cp:keywords/>
  <cp:lastModifiedBy>Stachura, Paulina</cp:lastModifiedBy>
  <cp:revision>72</cp:revision>
  <cp:lastPrinted>2021-08-05T13:30:00Z</cp:lastPrinted>
  <dcterms:created xsi:type="dcterms:W3CDTF">2023-01-09T11:37:00Z</dcterms:created>
  <dcterms:modified xsi:type="dcterms:W3CDTF">2024-03-05T15:46:00Z</dcterms:modified>
</cp:coreProperties>
</file>